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0.xml" ContentType="application/vnd.openxmlformats-officedocument.drawingml.chartshapes+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1.xml" ContentType="application/vnd.openxmlformats-officedocument.drawingml.chartshapes+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9.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drawings/drawing14.xml" ContentType="application/vnd.openxmlformats-officedocument.drawingml.chartshapes+xml"/>
  <Override PartName="/word/charts/chart22.xml" ContentType="application/vnd.openxmlformats-officedocument.drawingml.chart+xml"/>
  <Override PartName="/word/theme/themeOverride16.xml" ContentType="application/vnd.openxmlformats-officedocument.themeOverride+xml"/>
  <Override PartName="/word/drawings/drawing15.xml" ContentType="application/vnd.openxmlformats-officedocument.drawingml.chartshapes+xml"/>
  <Override PartName="/word/charts/chart23.xml" ContentType="application/vnd.openxmlformats-officedocument.drawingml.chart+xml"/>
  <Override PartName="/word/theme/themeOverride17.xml" ContentType="application/vnd.openxmlformats-officedocument.themeOverride+xml"/>
  <Override PartName="/word/drawings/drawing16.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drawings/drawing17.xml" ContentType="application/vnd.openxmlformats-officedocument.drawingml.chartshapes+xml"/>
  <Override PartName="/word/charts/chart31.xml" ContentType="application/vnd.openxmlformats-officedocument.drawingml.chart+xml"/>
  <Override PartName="/word/theme/themeOverride20.xml" ContentType="application/vnd.openxmlformats-officedocument.themeOverride+xml"/>
  <Override PartName="/word/drawings/drawing18.xml" ContentType="application/vnd.openxmlformats-officedocument.drawingml.chartshapes+xml"/>
  <Override PartName="/word/charts/chart3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35.xml" ContentType="application/vnd.openxmlformats-officedocument.drawingml.chart+xml"/>
  <Override PartName="/word/theme/themeOverride21.xml" ContentType="application/vnd.openxmlformats-officedocument.themeOverride+xml"/>
  <Override PartName="/word/drawings/drawing19.xml" ContentType="application/vnd.openxmlformats-officedocument.drawingml.chartshapes+xml"/>
  <Override PartName="/word/charts/chart36.xml" ContentType="application/vnd.openxmlformats-officedocument.drawingml.chart+xml"/>
  <Override PartName="/word/theme/themeOverride22.xml" ContentType="application/vnd.openxmlformats-officedocument.themeOverride+xml"/>
  <Override PartName="/word/drawings/drawing20.xml" ContentType="application/vnd.openxmlformats-officedocument.drawingml.chartshapes+xml"/>
  <Override PartName="/word/charts/chart37.xml" ContentType="application/vnd.openxmlformats-officedocument.drawingml.chart+xml"/>
  <Override PartName="/word/theme/themeOverride23.xml" ContentType="application/vnd.openxmlformats-officedocument.themeOverride+xml"/>
  <Override PartName="/word/drawings/drawing21.xml" ContentType="application/vnd.openxmlformats-officedocument.drawingml.chartshapes+xml"/>
  <Override PartName="/word/charts/chart38.xml" ContentType="application/vnd.openxmlformats-officedocument.drawingml.chart+xml"/>
  <Override PartName="/word/theme/themeOverride24.xml" ContentType="application/vnd.openxmlformats-officedocument.themeOverride+xml"/>
  <Override PartName="/word/drawings/drawing22.xml" ContentType="application/vnd.openxmlformats-officedocument.drawingml.chartshapes+xml"/>
  <Override PartName="/word/charts/chart39.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23.xml" ContentType="application/vnd.openxmlformats-officedocument.drawingml.chartshapes+xml"/>
  <Override PartName="/word/charts/chart40.xml" ContentType="application/vnd.openxmlformats-officedocument.drawingml.chart+xml"/>
  <Override PartName="/word/theme/themeOverride25.xml" ContentType="application/vnd.openxmlformats-officedocument.themeOverride+xml"/>
  <Override PartName="/word/charts/chart41.xml" ContentType="application/vnd.openxmlformats-officedocument.drawingml.chart+xml"/>
  <Override PartName="/word/theme/themeOverride26.xml" ContentType="application/vnd.openxmlformats-officedocument.themeOverride+xml"/>
  <Override PartName="/word/charts/chart42.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24.xml" ContentType="application/vnd.openxmlformats-officedocument.drawingml.chartshapes+xml"/>
  <Override PartName="/word/charts/chart43.xml" ContentType="application/vnd.openxmlformats-officedocument.drawingml.chart+xml"/>
  <Override PartName="/word/theme/themeOverride27.xml" ContentType="application/vnd.openxmlformats-officedocument.themeOverride+xml"/>
  <Override PartName="/word/charts/chart44.xml" ContentType="application/vnd.openxmlformats-officedocument.drawingml.chart+xml"/>
  <Override PartName="/word/charts/style15.xml" ContentType="application/vnd.ms-office.chartstyle+xml"/>
  <Override PartName="/word/charts/colors15.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45.xml" ContentType="application/vnd.openxmlformats-officedocument.drawingml.chart+xml"/>
  <Override PartName="/word/theme/themeOverride28.xml" ContentType="application/vnd.openxmlformats-officedocument.themeOverride+xml"/>
  <Override PartName="/word/charts/chart46.xml" ContentType="application/vnd.openxmlformats-officedocument.drawingml.chart+xml"/>
  <Override PartName="/word/theme/themeOverride29.xml" ContentType="application/vnd.openxmlformats-officedocument.themeOverride+xml"/>
  <Override PartName="/word/drawings/drawing25.xml" ContentType="application/vnd.openxmlformats-officedocument.drawingml.chartshapes+xml"/>
  <Override PartName="/word/charts/chart47.xml" ContentType="application/vnd.openxmlformats-officedocument.drawingml.chart+xml"/>
  <Override PartName="/word/theme/themeOverride30.xml" ContentType="application/vnd.openxmlformats-officedocument.themeOverride+xml"/>
  <Override PartName="/word/charts/chart48.xml" ContentType="application/vnd.openxmlformats-officedocument.drawingml.chart+xml"/>
  <Override PartName="/word/theme/themeOverride31.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49.xml" ContentType="application/vnd.openxmlformats-officedocument.drawingml.chart+xml"/>
  <Override PartName="/word/theme/themeOverride32.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82074339"/>
    <w:p w14:paraId="7B0B6DD6" w14:textId="37F7E2E1" w:rsidR="00FC293C" w:rsidRDefault="00FC293C" w:rsidP="00FC293C">
      <w:pPr>
        <w:spacing w:after="0"/>
        <w:jc w:val="center"/>
        <w:rPr>
          <w:rFonts w:ascii="Times New Roman" w:hAnsi="Times New Roman"/>
          <w:b/>
          <w:sz w:val="24"/>
          <w:szCs w:val="24"/>
        </w:rPr>
      </w:pPr>
      <w:r>
        <w:rPr>
          <w:noProof/>
        </w:rPr>
        <mc:AlternateContent>
          <mc:Choice Requires="wps">
            <w:drawing>
              <wp:anchor distT="0" distB="0" distL="114300" distR="114300" simplePos="0" relativeHeight="251732992" behindDoc="0" locked="0" layoutInCell="1" allowOverlap="1" wp14:anchorId="363935A9" wp14:editId="469D2B19">
                <wp:simplePos x="0" y="0"/>
                <wp:positionH relativeFrom="column">
                  <wp:posOffset>584883</wp:posOffset>
                </wp:positionH>
                <wp:positionV relativeFrom="paragraph">
                  <wp:posOffset>-716915</wp:posOffset>
                </wp:positionV>
                <wp:extent cx="12022455" cy="11379200"/>
                <wp:effectExtent l="0" t="0" r="0" b="0"/>
                <wp:wrapNone/>
                <wp:docPr id="99" name="Pentago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2022455" cy="11379200"/>
                        </a:xfrm>
                        <a:prstGeom prst="homePlate">
                          <a:avLst>
                            <a:gd name="adj" fmla="val 37857"/>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637DCE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6" type="#_x0000_t15" style="position:absolute;margin-left:46.05pt;margin-top:-56.45pt;width:946.65pt;height:89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JnyAIAAP8FAAAOAAAAZHJzL2Uyb0RvYy54bWysVG1v0zAQ/o7Ef7D8naXJWrpGS6dq0wCp&#10;bBUb2mfPsduA7TO2+7Zfz9lJsw6GkBD5EPl85+funns5v9hpRTbC+QZMRfOTASXCcKgbs6zo1/vr&#10;d2eU+MBMzRQYUdG98PRi+vbN+daWooAVqFo4giDGl1tb0VUItswyz1dCM38CVhhUSnCaBRTdMqsd&#10;2yK6VlkxGLzPtuBq64AL7/H2qlXSacKXUvBwK6UXgaiKYmwh/V36P8Z/Nj1n5dIxu2p4Fwb7hyg0&#10;aww67aGuWGBk7ZrfoHTDHXiQ4YSDzkDKhouUA2aTD37J5m7FrEi5IDne9jT5/wfLbzYLR5q6opMJ&#10;JYZprNFCmMCWYEgR6dlaX6LVnV24mKC3c+DfPSqyF5oo+M5mJ50mUjX2I7ZEogUTJbvE+r5nXewC&#10;4XiZF4OiGI5GlHBU5vnpeIKVja4zVkao6NY6Hz4I0CQeMH3QYqFYiOywkm3mPiT26y4FVn+jRGqF&#10;tdwwRU7HZ6Nxh9gZI/YBM6UFqqmvG6WSELtPXCpH8HFFw65IbtRaf4a6vRsN8OsQU7NG8xSxP0ZS&#10;JuIZiMhtQvEmMdeSlWgLeyWinTJfhMRiICmtxx65dco4x9K0jPoVq8XfYkmAEVmi/x67A3iZ5AG7&#10;jbKzj09FmqL+8SBR8YfA2sf9i+QZTOgf68aAew1AYVad59b+QFJLTWTpEeo9tqqDdoa95dcN9sKc&#10;+bBgDguN442LKNziTyrYVhS6EyUrcE+v3Uf72EzuiZItLoGK+h9r5gQl6pPBKZvkw2HcGkkYjsYF&#10;Cu5Y83isMWt9CdgvOa48y9Mx2gd1OEoH+gH31Sx6RRUzHH1XlAd3EC5Du5xw43ExmyUz3BSWhbm5&#10;s/wwT7F173cPzNluIAJO0w0cFkY3Ei2jz7axHgZm6wCyCVH5zGsn4JbB04s1diwnq+e9Pf0JAAD/&#10;/wMAUEsDBBQABgAIAAAAIQDoJE3s4gAAAA0BAAAPAAAAZHJzL2Rvd25yZXYueG1sTI/BTsMwDIbv&#10;SLxDZCQu05amgrGUptOEhLghGENcvSRrC41Tmmwtb092gpstf/r9/eV6ch072SG0nhSIRQbMkvam&#10;pVrB7u1xvgIWIpLBzpNV8GMDrKvLixIL40d6tadtrFkKoVCggibGvuA86MY6DAvfW0q3gx8cxrQO&#10;NTcDjincdTzPsiV32FL60GBvHxqrv7ZHp0AfdrNWj99Ps+eX9w/aTBLjp1Tq+mra3AOLdop/MJz1&#10;kzpUyWnvj2QC6xTIXCRSwVyIXAI7E3J1ewNsn6blnRTAq5L/b1H9AgAA//8DAFBLAQItABQABgAI&#10;AAAAIQC2gziS/gAAAOEBAAATAAAAAAAAAAAAAAAAAAAAAABbQ29udGVudF9UeXBlc10ueG1sUEsB&#10;Ai0AFAAGAAgAAAAhADj9If/WAAAAlAEAAAsAAAAAAAAAAAAAAAAALwEAAF9yZWxzLy5yZWxzUEsB&#10;Ai0AFAAGAAgAAAAhAIi8YmfIAgAA/wUAAA4AAAAAAAAAAAAAAAAALgIAAGRycy9lMm9Eb2MueG1s&#10;UEsBAi0AFAAGAAgAAAAhAOgkTeziAAAADQEAAA8AAAAAAAAAAAAAAAAAIgUAAGRycy9kb3ducmV2&#10;LnhtbFBLBQYAAAAABAAEAPMAAAAxBgAAAAA=&#10;" adj="13860" fillcolor="#212934 [1615]" stroked="f" strokeweight="1pt"/>
            </w:pict>
          </mc:Fallback>
        </mc:AlternateContent>
      </w:r>
      <w:r>
        <w:rPr>
          <w:noProof/>
        </w:rPr>
        <mc:AlternateContent>
          <mc:Choice Requires="wps">
            <w:drawing>
              <wp:anchor distT="0" distB="0" distL="114300" distR="114300" simplePos="0" relativeHeight="251739136" behindDoc="0" locked="0" layoutInCell="1" allowOverlap="1" wp14:anchorId="4605AE29" wp14:editId="62F7261F">
                <wp:simplePos x="0" y="0"/>
                <wp:positionH relativeFrom="column">
                  <wp:posOffset>138430</wp:posOffset>
                </wp:positionH>
                <wp:positionV relativeFrom="paragraph">
                  <wp:posOffset>-191770</wp:posOffset>
                </wp:positionV>
                <wp:extent cx="3901440" cy="1133475"/>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1440" cy="1133475"/>
                        </a:xfrm>
                        <a:prstGeom prst="rect">
                          <a:avLst/>
                        </a:prstGeom>
                        <a:noFill/>
                        <a:ln w="6350">
                          <a:noFill/>
                        </a:ln>
                      </wps:spPr>
                      <wps:txbx>
                        <w:txbxContent>
                          <w:p w14:paraId="33F998A5" w14:textId="77777777" w:rsidR="00540656" w:rsidRPr="00FC293C" w:rsidRDefault="00540656" w:rsidP="00FC293C">
                            <w:pPr>
                              <w:contextualSpacing/>
                              <w:rPr>
                                <w:rFonts w:ascii="Times New Roman" w:hAnsi="Times New Roman"/>
                                <w:sz w:val="28"/>
                                <w:szCs w:val="28"/>
                              </w:rPr>
                            </w:pPr>
                            <w:r w:rsidRPr="00FC293C">
                              <w:rPr>
                                <w:rFonts w:ascii="Times New Roman" w:hAnsi="Times New Roman"/>
                                <w:sz w:val="28"/>
                                <w:szCs w:val="28"/>
                              </w:rPr>
                              <w:t>Министерство экономического развития Приднестровской Молдавской Республики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605AE29" id="_x0000_t202" coordsize="21600,21600" o:spt="202" path="m,l,21600r21600,l21600,xe">
                <v:stroke joinstyle="miter"/>
                <v:path gradientshapeok="t" o:connecttype="rect"/>
              </v:shapetype>
              <v:shape id="Text Box 9" o:spid="_x0000_s1026" type="#_x0000_t202" style="position:absolute;left:0;text-align:left;margin-left:10.9pt;margin-top:-15.1pt;width:307.2pt;height:8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7bNQIAAGwEAAAOAAAAZHJzL2Uyb0RvYy54bWysVMlu2zAQvRfoPxC815K8JLVgOXATuChg&#10;JAHsImeaoiyhJIclaUvu13dIeUPaU9ELNeS8Wd+MZg+dkuQgrGtAFzQbpJQIzaFs9K6g3zfLT58p&#10;cZ7pkknQoqBH4ejD/OOHWWtyMYQaZCksQSfa5a0paO29yZPE8Voo5gZghEZlBVYxj1e7S0rLWvSu&#10;ZDJM07ukBVsaC1w4h69PvZLOo/+qEty/VJUTnsiCYm4+njae23Am8xnLd5aZuuGnNNg/ZKFYozHo&#10;xdUT84zsbfOHK9VwCw4qP+CgEqiqhotYA1aTpe+qWdfMiFgLNseZS5vc/3PLnw+vljQlcndPiWYK&#10;OdqIzpMv0JFpaE9rXI6otUGc7/AZobFUZ1bAfziEJDeY3sAhOrSjq6wKXyyUoCEycLx0PUTh+Dia&#10;ptl4jCqOuiwbjcb3kxA4uZob6/xXAYoEoaAWaY0psMPK+R56hoRoGpaNlPjOcqlJW9C70SSNBhcN&#10;Opf6lHmfbKjBd9sOzYK4hfKIFVvoR8YZvmww+Io5/8oszggmjHPvX/CoJGAQOEmU1GB//e094JE6&#10;1FLS4swV1P3cMysokd80kjrt++DjZTy5H2IMe6vZ3mr0Xj0CjnWGG2Z4FAPey7NYWVBvuB6LEBVV&#10;THOMXVB/Fh99vwm4XlwsFhGEY2mYX+m14WeiQ2s33Ruz5tR/j9Q9w3k6Wf6Ohh7bE7HYe6iayNG1&#10;q6e+40hHlk/rF3bm9h5R15/E/DcAAAD//wMAUEsDBBQABgAIAAAAIQCzal2o4QAAAAoBAAAPAAAA&#10;ZHJzL2Rvd25yZXYueG1sTI/BSsNAEIbvgu+wjOCt3TTREGI2pQSKIHpo7cXbJpkmwd3ZmN220ad3&#10;PNnbDPPxz/cX69kaccbJD44UrJYRCKTGtQN1Cg7v20UGwgdNrTaOUME3eliXtzeFzlt3oR2e96ET&#10;HEI+1wr6EMZcSt/0aLVfuhGJb0c3WR14nTrZTvrC4dbIOIpSafVA/KHXI1Y9Np/7k1XwUm3f9K6O&#10;bfZjqufX42b8Onw8KnV/N2+eQAScwz8Mf/qsDiU71e5ErRdGQbxi86BgkUQxCAbSJOWhZvIhS0CW&#10;hbyuUP4CAAD//wMAUEsBAi0AFAAGAAgAAAAhALaDOJL+AAAA4QEAABMAAAAAAAAAAAAAAAAAAAAA&#10;AFtDb250ZW50X1R5cGVzXS54bWxQSwECLQAUAAYACAAAACEAOP0h/9YAAACUAQAACwAAAAAAAAAA&#10;AAAAAAAvAQAAX3JlbHMvLnJlbHNQSwECLQAUAAYACAAAACEAzYNO2zUCAABsBAAADgAAAAAAAAAA&#10;AAAAAAAuAgAAZHJzL2Uyb0RvYy54bWxQSwECLQAUAAYACAAAACEAs2pdqOEAAAAKAQAADwAAAAAA&#10;AAAAAAAAAACPBAAAZHJzL2Rvd25yZXYueG1sUEsFBgAAAAAEAAQA8wAAAJ0FAAAAAA==&#10;" filled="f" stroked="f" strokeweight=".5pt">
                <v:textbox>
                  <w:txbxContent>
                    <w:p w14:paraId="33F998A5" w14:textId="77777777" w:rsidR="00540656" w:rsidRPr="00FC293C" w:rsidRDefault="00540656" w:rsidP="00FC293C">
                      <w:pPr>
                        <w:contextualSpacing/>
                        <w:rPr>
                          <w:rFonts w:ascii="Times New Roman" w:hAnsi="Times New Roman"/>
                          <w:sz w:val="28"/>
                          <w:szCs w:val="28"/>
                        </w:rPr>
                      </w:pPr>
                      <w:r w:rsidRPr="00FC293C">
                        <w:rPr>
                          <w:rFonts w:ascii="Times New Roman" w:hAnsi="Times New Roman"/>
                          <w:sz w:val="28"/>
                          <w:szCs w:val="28"/>
                        </w:rPr>
                        <w:t>Министерство экономического развития Приднестровской Молдавской Республики</w:t>
                      </w:r>
                    </w:p>
                  </w:txbxContent>
                </v:textbox>
              </v:shape>
            </w:pict>
          </mc:Fallback>
        </mc:AlternateContent>
      </w:r>
    </w:p>
    <w:p w14:paraId="0081A28F" w14:textId="77777777" w:rsidR="00FC293C" w:rsidRDefault="00FC293C" w:rsidP="00FC293C">
      <w:pPr>
        <w:spacing w:after="0"/>
        <w:jc w:val="center"/>
        <w:rPr>
          <w:rFonts w:ascii="Times New Roman" w:hAnsi="Times New Roman"/>
          <w:b/>
          <w:sz w:val="24"/>
          <w:szCs w:val="24"/>
        </w:rPr>
      </w:pPr>
    </w:p>
    <w:p w14:paraId="0845E626" w14:textId="0C377E7A" w:rsidR="00FC293C" w:rsidRPr="00832F43" w:rsidRDefault="00FC293C" w:rsidP="00FC293C">
      <w:r>
        <w:rPr>
          <w:noProof/>
        </w:rPr>
        <mc:AlternateContent>
          <mc:Choice Requires="wps">
            <w:drawing>
              <wp:anchor distT="0" distB="0" distL="114300" distR="114300" simplePos="0" relativeHeight="251740160" behindDoc="0" locked="0" layoutInCell="1" allowOverlap="1" wp14:anchorId="74D4E04B" wp14:editId="355154AD">
                <wp:simplePos x="0" y="0"/>
                <wp:positionH relativeFrom="column">
                  <wp:posOffset>-570865</wp:posOffset>
                </wp:positionH>
                <wp:positionV relativeFrom="paragraph">
                  <wp:posOffset>-549275</wp:posOffset>
                </wp:positionV>
                <wp:extent cx="508000" cy="508000"/>
                <wp:effectExtent l="0" t="0" r="0" b="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5080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83F660F" id="Rectangle 10" o:spid="_x0000_s1026" style="position:absolute;margin-left:-44.95pt;margin-top:-43.25pt;width:40pt;height:4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donwIAAMIFAAAOAAAAZHJzL2Uyb0RvYy54bWysVFFv1DAMfkfiP0R5Z+2dNhjVetNp0xDS&#10;MaZtaM9Zmlwrkjgkuesdvx4nabvbmEBCvERxbH+2v9g+O99pRbbC+Q5MTWdHJSXCcGg6s67pt/ur&#10;d6eU+MBMwxQYUdO98PR88fbNWW8rMYcWVCMcQRDjq97WtA3BVkXheSs080dghUGlBKdZQNGti8ax&#10;HtG1KuZl+b7owTXWARfe4+tlVtJFwpdS8PBVSi8CUTXF3EI6XTof41kszli1dsy2HR/SYP+QhWad&#10;waAT1CULjGxc9xuU7rgDDzIccdAFSNlxkWrAambli2ruWmZFqgXJ8Xaiyf8/WH69vXGka2o6n1Fi&#10;mMY/ukXWmFkrQWaJoN76Cu3u7I2LJXq7Av7dI3PFM00U/GCzk05HWyyQ7BLb+4ltsQuE4+NJeVqW&#10;+CccVcM9YrJqdLbOh08CNImXmjpMK3HMtisfsulokvIC1TVXnVJJiA0kLpQjW4ZfH3bz5Ko2+gs0&#10;+e0Eo6f6MGTqt2ieEvCHSMpEPAMROQeNL6n0XG2qO+yViHbK3AqJfGJ9OeKEnIMyzoUJs5SMb1kj&#10;/pZLAozIEuNP2APA8yJH7JzlYB9dRRqEybnM0f/kPHmkyGDC5Kw7A+41AIVVDZGz/UhSpiay9AjN&#10;HrvNQR5Db/lVh1+7Yj7cMIdzh92AuyR8xUMq6GsKw42SFtzP196jPY4DainpcY5r6n9smBOUqM8G&#10;B+Xj7Pg4Dn4Sjk8+zFFwh5rHQ43Z6AvAfsFZwOzSNdoHNV6lA/2AK2cZo6KKGY6xa8qDG4WLkPcL&#10;Li0ulstkhsNuWViZO8sjeGQ1tu797oE5O/R3wMG4hnHmWfWizbNt9DSw3ASQXZqBJ14HvnFRpCYe&#10;llrcRIdysnpavYtfAAAA//8DAFBLAwQUAAYACAAAACEArARtq9wAAAAJAQAADwAAAGRycy9kb3du&#10;cmV2LnhtbEyPQU/DMAyF70j8h8hI3LoUEFNXmk6AxG1CokM7p41pIxqnNFnX7dfjnuBkP/vp+XOx&#10;nV0vJhyD9aTgbpWCQGq8sdQq+Ny/JRmIEDUZ3XtCBWcMsC2vrwqdG3+iD5yq2AoOoZBrBV2MQy5l&#10;aDp0Oqz8gMS7Lz86HVmOrTSjPnG46+V9mq6l05b4QqcHfO2w+a6OTsHBVtPl5+XwrndVdnmo95Xd&#10;ybNStzfz8xOIiHP8M8OCz+hQMlPtj2SC6BUk2WbD1qVZP4JgR7IMaq6sZVnI/x+UvwAAAP//AwBQ&#10;SwECLQAUAAYACAAAACEAtoM4kv4AAADhAQAAEwAAAAAAAAAAAAAAAAAAAAAAW0NvbnRlbnRfVHlw&#10;ZXNdLnhtbFBLAQItABQABgAIAAAAIQA4/SH/1gAAAJQBAAALAAAAAAAAAAAAAAAAAC8BAABfcmVs&#10;cy8ucmVsc1BLAQItABQABgAIAAAAIQDh1ndonwIAAMIFAAAOAAAAAAAAAAAAAAAAAC4CAABkcnMv&#10;ZTJvRG9jLnhtbFBLAQItABQABgAIAAAAIQCsBG2r3AAAAAkBAAAPAAAAAAAAAAAAAAAAAPkEAABk&#10;cnMvZG93bnJldi54bWxQSwUGAAAAAAQABADzAAAAAgYAAAAA&#10;" fillcolor="#212934 [1615]" stroked="f" strokeweight="1pt"/>
            </w:pict>
          </mc:Fallback>
        </mc:AlternateContent>
      </w:r>
      <w:r>
        <w:rPr>
          <w:noProof/>
        </w:rPr>
        <mc:AlternateContent>
          <mc:Choice Requires="wps">
            <w:drawing>
              <wp:anchor distT="0" distB="0" distL="114300" distR="114300" simplePos="0" relativeHeight="251743232" behindDoc="0" locked="0" layoutInCell="1" allowOverlap="1" wp14:anchorId="0E8FACC6" wp14:editId="147F870D">
                <wp:simplePos x="0" y="0"/>
                <wp:positionH relativeFrom="column">
                  <wp:posOffset>-410210</wp:posOffset>
                </wp:positionH>
                <wp:positionV relativeFrom="paragraph">
                  <wp:posOffset>-407035</wp:posOffset>
                </wp:positionV>
                <wp:extent cx="548640" cy="548640"/>
                <wp:effectExtent l="0" t="0" r="3810" b="381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54864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758CD1D" id="Rectangle 13" o:spid="_x0000_s1026" style="position:absolute;margin-left:-32.3pt;margin-top:-32.05pt;width:43.2pt;height:43.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fcoAIAAMIFAAAOAAAAZHJzL2Uyb0RvYy54bWysVG1P2zAQ/j5p/8Hy95G2K4xFpKgCMU3q&#10;AAETn13HbqLZPs923/brOdtJKAxt0rR8sHy+5557yd2dne+0IhvhfAumouOjESXCcKhbs6ro94er&#10;D6eU+MBMzRQYUdG98PR89v7d2daWYgINqFo4giTGl1tb0SYEWxaF543QzB+BFQaVEpxmAUW3KmrH&#10;tsiuVTEZjU6KLbjaOuDCe3y9zEo6S/xSCh5upPQiEFVRjC2k06VzGc9idsbKlWO2aXkXBvuHKDRr&#10;DTodqC5ZYGTt2t+odMsdeJDhiIMuQMqWi5QDZjMevcrmvmFWpFywON4OZfL/j5Zfb24daeuKTiaU&#10;GKbxH91h1ZhZKUHGH2OBttaXiLu3ty6m6O0C+A+PiuKFJgq+w+yk0xGLCZJdqvZ+qLbYBcLx8Xh6&#10;ejLFf8JR1d0jJyt7Y+t8+CJAk3ipqMOwUo3ZZuFDhvaQFBeotr5qlUpCbCBxoRzZMPz1y9U4maq1&#10;/gZ1fjse4RfzQ5ep3yI8S4dMykQ+A5E5g+NLSj1nm/IOeyUiTpk7IbGemN8keRyYs1PGuTAhB+Mb&#10;Vou/xZIII7NE/wN3R/AyyZ47R9nho6lIgzAYj/4UWDYeLJJnMGEw1q0B9xaBwqw6zxnfFymXJlZp&#10;CfUeu81BHkNv+VWLv3bBfLhlDucOuwF3SbjBQyrYVhS6GyUNuF9vvUc8jgNqKdniHFfU/1wzJyhR&#10;Xw0OyufxNDZZSML0+NMEBXeoWR5qzFpfAPbLGLeW5eka8UH1V+lAP+LKmUevqGKGo++K8uB64SLk&#10;/YJLi4v5PMFw2C0LC3NveSSPVY2t+7B7ZM52/R1wMK6hn3lWvmrzjI2WBubrALJNM/Bc167euChS&#10;E3dLLW6iQzmhnlfv7AkAAP//AwBQSwMEFAAGAAgAAAAhAO84ZbveAAAACQEAAA8AAABkcnMvZG93&#10;bnJldi54bWxMj9FKw0AQRd8F/2EZwbd2kxiCxGyKFYpIQUj1A7bZMYlmZ5Pstk3+3tEXfZoZ7uXO&#10;ucVmtr044+Q7RwridQQCqXamo0bB+9tudQ/CB01G945QwYIeNuX1VaFz4y5U4fkQGsEh5HOtoA1h&#10;yKX0dYtW+7UbkFj7cJPVgc+pkWbSFw63vUyiKJNWd8QfWj3gU4v11+FkFYxb8+KXdPxMt/vqdXne&#10;V7t0rJS6vZkfH0AEnMOfGX7wGR1KZjq6ExkvegWrLM3Y+rvEINiRxNzlyDO5A1kW8n+D8hsAAP//&#10;AwBQSwECLQAUAAYACAAAACEAtoM4kv4AAADhAQAAEwAAAAAAAAAAAAAAAAAAAAAAW0NvbnRlbnRf&#10;VHlwZXNdLnhtbFBLAQItABQABgAIAAAAIQA4/SH/1gAAAJQBAAALAAAAAAAAAAAAAAAAAC8BAABf&#10;cmVscy8ucmVsc1BLAQItABQABgAIAAAAIQCFpjfcoAIAAMIFAAAOAAAAAAAAAAAAAAAAAC4CAABk&#10;cnMvZTJvRG9jLnhtbFBLAQItABQABgAIAAAAIQDvOGW73gAAAAkBAAAPAAAAAAAAAAAAAAAAAPoE&#10;AABkcnMvZG93bnJldi54bWxQSwUGAAAAAAQABADzAAAABQYAAAAA&#10;" fillcolor="#7f7f7f [1612]" stroked="f" strokeweight="1pt"/>
            </w:pict>
          </mc:Fallback>
        </mc:AlternateContent>
      </w:r>
      <w:r>
        <w:rPr>
          <w:noProof/>
        </w:rPr>
        <mc:AlternateContent>
          <mc:Choice Requires="wps">
            <w:drawing>
              <wp:anchor distT="4294967294" distB="4294967294" distL="114300" distR="114300" simplePos="0" relativeHeight="251745280" behindDoc="0" locked="0" layoutInCell="1" allowOverlap="1" wp14:anchorId="57CD0FEE" wp14:editId="0303926D">
                <wp:simplePos x="0" y="0"/>
                <wp:positionH relativeFrom="column">
                  <wp:posOffset>4015105</wp:posOffset>
                </wp:positionH>
                <wp:positionV relativeFrom="paragraph">
                  <wp:posOffset>8030844</wp:posOffset>
                </wp:positionV>
                <wp:extent cx="3061335" cy="0"/>
                <wp:effectExtent l="0" t="0" r="0" b="0"/>
                <wp:wrapNone/>
                <wp:docPr id="2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1335"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7E4905B" id="Straight Connector 22" o:spid="_x0000_s1026" style="position:absolute;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16.15pt,632.35pt" to="557.2pt,6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m48wEAAEUEAAAOAAAAZHJzL2Uyb0RvYy54bWysU02P0zAQvSPxHyzfadKUXUHUdA9dLZcF&#10;Kgo/wHXsxML2WLa3Sf89Y6cJy4eQQFyseGbem3kv4+3daDQ5Cx8U2IauVyUlwnJole0a+uXzw6s3&#10;lITIbMs0WNHQiwj0bvfyxXZwtaigB90KT5DEhnpwDe1jdHVRBN4Lw8IKnLCYlOANi3j1XdF6NiC7&#10;0UVVlrfFAL51HrgIAaP3U5LuMr+UgsePUgYRiW4ozhbz6fN5Smex27K688z1il/HYP8whWHKYtOF&#10;6p5FRp68+oXKKO4hgIwrDqYAKRUXWQOqWZc/qTn2zImsBc0JbrEp/D9a/uF88ES1Da1eU2KZwX90&#10;jJ6pro9kD9aig+BJVSWnBhdqBOztwSetfLRH9wj8a8Bc8UMyXYKbykbpTSpHsWTMzl8W58UYCcfg&#10;prxdbzY3lPA5V7B6Bjof4jsBhqSPhmplkymsZufHEFNrVs8lKaxtOgNo1T4orfMlrZPYa0/ODBfh&#10;1K0zgX4y76GdYm9vyjKvA7Ll7UvlmfsZE+YSe9Y6yctC40WLqfMnIdFMFDQ1WIimHoxzYeM6WZmZ&#10;sDrBJE65AMs82R+B1/oEFXnF/wa8IHJnsHEBG2XB/657HOeR5VQ/OzDpThacoL0c/LwGuKtZ4fVd&#10;pcfw/J7h31//7hsAAAD//wMAUEsDBBQABgAIAAAAIQAwLIEA4QAAAA4BAAAPAAAAZHJzL2Rvd25y&#10;ZXYueG1sTI/BSsQwEIbvgu8QRvAibtpurVKbLiK4yJ52qwjess3YFJtJadLd7NubPYgeZ/6Pf76p&#10;VsEM7ICT6y0JSBcJMKTWqp46Ae9vL7cPwJyXpORgCQWc0MGqvryoZKnskXZ4aHzHYgm5UgrQ3o8l&#10;567VaKRb2BEpZl92MtLHceq4muQxlpuBZ0lScCN7ihe0HPFZY/vdzEZAHpp5s12Pdv05bT7CHe5u&#10;Tq9aiOur8PQIzGPwfzCc9aM61NFpb2dSjg0CimW2jGgMsiK/B3ZG0jTPge1/d7yu+P836h8AAAD/&#10;/wMAUEsBAi0AFAAGAAgAAAAhALaDOJL+AAAA4QEAABMAAAAAAAAAAAAAAAAAAAAAAFtDb250ZW50&#10;X1R5cGVzXS54bWxQSwECLQAUAAYACAAAACEAOP0h/9YAAACUAQAACwAAAAAAAAAAAAAAAAAvAQAA&#10;X3JlbHMvLnJlbHNQSwECLQAUAAYACAAAACEA9iMpuPMBAABFBAAADgAAAAAAAAAAAAAAAAAuAgAA&#10;ZHJzL2Uyb0RvYy54bWxQSwECLQAUAAYACAAAACEAMCyBAOEAAAAOAQAADwAAAAAAAAAAAAAAAABN&#10;BAAAZHJzL2Rvd25yZXYueG1sUEsFBgAAAAAEAAQA8wAAAFsFAAAAAA==&#10;" strokecolor="#f2f2f2 [3052]" strokeweight=".5pt">
                <v:stroke joinstyle="miter"/>
                <o:lock v:ext="edit" shapetype="f"/>
              </v:line>
            </w:pict>
          </mc:Fallback>
        </mc:AlternateContent>
      </w:r>
      <w:r w:rsidRPr="00B02AE3">
        <w:rPr>
          <w:noProof/>
        </w:rPr>
        <w:drawing>
          <wp:anchor distT="0" distB="0" distL="114300" distR="114300" simplePos="0" relativeHeight="251731968" behindDoc="0" locked="0" layoutInCell="1" allowOverlap="1" wp14:anchorId="35D40617" wp14:editId="21FA837D">
            <wp:simplePos x="0" y="0"/>
            <wp:positionH relativeFrom="column">
              <wp:posOffset>-3048000</wp:posOffset>
            </wp:positionH>
            <wp:positionV relativeFrom="paragraph">
              <wp:posOffset>-1897380</wp:posOffset>
            </wp:positionV>
            <wp:extent cx="11684000" cy="11684000"/>
            <wp:effectExtent l="19050" t="0" r="0" b="0"/>
            <wp:wrapNone/>
            <wp:docPr id="29" name="Picture 1" descr="C:\Users\ASUS\Desktop\Cover Makalah\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Cover Makalah\31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4000" cy="11684000"/>
                    </a:xfrm>
                    <a:prstGeom prst="rect">
                      <a:avLst/>
                    </a:prstGeom>
                    <a:noFill/>
                    <a:ln>
                      <a:noFill/>
                    </a:ln>
                  </pic:spPr>
                </pic:pic>
              </a:graphicData>
            </a:graphic>
          </wp:anchor>
        </w:drawing>
      </w:r>
      <w:r>
        <w:rPr>
          <w:noProof/>
        </w:rPr>
        <mc:AlternateContent>
          <mc:Choice Requires="wps">
            <w:drawing>
              <wp:anchor distT="0" distB="0" distL="114300" distR="114300" simplePos="0" relativeHeight="251742208" behindDoc="0" locked="0" layoutInCell="1" allowOverlap="1" wp14:anchorId="229311CD" wp14:editId="7F1EB292">
                <wp:simplePos x="0" y="0"/>
                <wp:positionH relativeFrom="column">
                  <wp:posOffset>-3403600</wp:posOffset>
                </wp:positionH>
                <wp:positionV relativeFrom="paragraph">
                  <wp:posOffset>-924560</wp:posOffset>
                </wp:positionV>
                <wp:extent cx="508000" cy="508000"/>
                <wp:effectExtent l="0" t="0" r="0" b="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508000"/>
                        </a:xfrm>
                        <a:prstGeom prst="rect">
                          <a:avLst/>
                        </a:prstGeom>
                        <a:solidFill>
                          <a:srgbClr val="335B7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15AB8B8" id="Rectangle 12" o:spid="_x0000_s1026" style="position:absolute;margin-left:-268pt;margin-top:-72.8pt;width:40pt;height:4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cAfgIAAAQFAAAOAAAAZHJzL2Uyb0RvYy54bWysVE1vEzEQvSPxHyzf6W7ShJZVN1VoVYQU&#10;2ooW9Tzxej+E7TG2k0359Yy9mzQUToiL5fGMZ948v/HF5U4rtpXOd2hKPjnJOZNGYNWZpuTfHm/e&#10;nXPmA5gKFBpZ8mfp+eXi7ZuL3hZyii2qSjpGSYwvelvyNgRbZJkXrdTgT9BKQ84anYZApmuyykFP&#10;2bXKpnn+PuvRVdahkN7T6fXg5IuUv66lCHd17WVgquSELaTVpXUd12xxAUXjwLadGGHAP6DQ0Bkq&#10;ekh1DQHYxnV/pNKdcOixDicCdYZ13QmZeqBuJvmrbh5asDL1QuR4e6DJ/7+04nZ771hXlXw658yA&#10;pjf6SqyBaZRkk2kkqLe+oLgHe+9ii96uUHz35Mh+80TDjzG72ukYSw2yXWL7+cC23AUm6HCen+c5&#10;vYkg17iPOaHYX7bOh08SNYubkjuClTiG7cqHIXQfknCh6qqbTqlkuGZ9pRzbAj386en849ks3VUb&#10;/QWr4XhO5ZMCqKYf4lN9f5xIGdaTsKdnCSqQRGsFgVBrS6R503AGqiHti+BSBYMRA8GDIqK7Bt8O&#10;5VLaQXC6C6R61emSRw4OKJSJ12TS7djjC6txt8bqmd7L4SBkb8VNR0VW4MM9OFIu8UnTGO5oqRUS&#10;chx3nLXofv7tPMaToMjLWU+TQF392ICTnKnPhqT2YTKbxdFJxmx+NiXDHXvWxx6z0VdInE9o7q1I&#10;2xgf1H5bO9RPNLTLWJVcYATVHvgbjaswTCiNvZDLZQqjcbEQVubBiph8T+/j7gmcHRUSSFq3uJ8a&#10;KF4JZYiNNw0uNwHrLqnohddR0TRqSQfjtxBn+dhOUS+f1+IXAAAA//8DAFBLAwQUAAYACAAAACEA&#10;FjWO0N4AAAAOAQAADwAAAGRycy9kb3ducmV2LnhtbExPwU6EMBS8m/gPzTPxxhZ0QUXKBk3ckxfX&#10;jV4LfQKBvhLaZfHvfZ70Nm9mMm+m2K12FAvOvnekINnEIJAaZ3pqFRzfX6J7ED5oMnp0hAq+0cOu&#10;vLwodG7cmd5wOYRWcAj5XCvoQphyKX3TodV+4yYk1r7cbHXgc26lmfWZw+0ob+I4k1b3xB86PeFz&#10;h81wOFkFVf207B/aalu9DnQ3H4d9kn5+KHV9tVaPIAKu4c8Mv/W5OpTcqXYnMl6MCqL0NuMxgVGy&#10;TTMQ7IkYMFczypiSZSH/zyh/AAAA//8DAFBLAQItABQABgAIAAAAIQC2gziS/gAAAOEBAAATAAAA&#10;AAAAAAAAAAAAAAAAAABbQ29udGVudF9UeXBlc10ueG1sUEsBAi0AFAAGAAgAAAAhADj9If/WAAAA&#10;lAEAAAsAAAAAAAAAAAAAAAAALwEAAF9yZWxzLy5yZWxzUEsBAi0AFAAGAAgAAAAhABQhRwB+AgAA&#10;BAUAAA4AAAAAAAAAAAAAAAAALgIAAGRycy9lMm9Eb2MueG1sUEsBAi0AFAAGAAgAAAAhABY1jtDe&#10;AAAADgEAAA8AAAAAAAAAAAAAAAAA2AQAAGRycy9kb3ducmV2LnhtbFBLBQYAAAAABAAEAPMAAADj&#10;BQAAAAA=&#10;" fillcolor="#192e3a" stroked="f" strokeweight="1pt"/>
            </w:pict>
          </mc:Fallback>
        </mc:AlternateContent>
      </w:r>
      <w:r>
        <w:rPr>
          <w:noProof/>
        </w:rPr>
        <mc:AlternateContent>
          <mc:Choice Requires="wps">
            <w:drawing>
              <wp:anchor distT="0" distB="0" distL="114300" distR="114300" simplePos="0" relativeHeight="251741184" behindDoc="0" locked="0" layoutInCell="1" allowOverlap="1" wp14:anchorId="57B587B8" wp14:editId="6A248145">
                <wp:simplePos x="0" y="0"/>
                <wp:positionH relativeFrom="column">
                  <wp:posOffset>-3556000</wp:posOffset>
                </wp:positionH>
                <wp:positionV relativeFrom="paragraph">
                  <wp:posOffset>-1076960</wp:posOffset>
                </wp:positionV>
                <wp:extent cx="508000" cy="508000"/>
                <wp:effectExtent l="0" t="0" r="0" b="0"/>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508000"/>
                        </a:xfrm>
                        <a:prstGeom prst="rect">
                          <a:avLst/>
                        </a:prstGeom>
                        <a:solidFill>
                          <a:srgbClr val="335B7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711D09A" id="Rectangle 11" o:spid="_x0000_s1026" style="position:absolute;margin-left:-280pt;margin-top:-84.8pt;width:40pt;height:4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nUfgIAAAUFAAAOAAAAZHJzL2Uyb0RvYy54bWysVE1vEzEQvSPxHyzf6W7ShJZVN1VoVYQU&#10;2ooW9Tzxej+E7TG2k0359Yy9mzQUToiL5fGMZ948v/HF5U4rtpXOd2hKPjnJOZNGYNWZpuTfHm/e&#10;nXPmA5gKFBpZ8mfp+eXi7ZuL3hZyii2qSjpGSYwvelvyNgRbZJkXrdTgT9BKQ84anYZApmuyykFP&#10;2bXKpnn+PuvRVdahkN7T6fXg5IuUv66lCHd17WVgquSELaTVpXUd12xxAUXjwLadGGHAP6DQ0Bkq&#10;ekh1DQHYxnV/pNKdcOixDicCdYZ13QmZeqBuJvmrbh5asDL1QuR4e6DJ/7+04nZ771hX0dvlc84M&#10;aHqkr0QbmEZJNplEhnrrCwp8sPcu9ujtCsV3T47sN080/Bizq52OsdQh2yW6nw90y11ggg7n+Xme&#10;06MIco37mBOK/WXrfPgkUbO4KbkjWIlk2K58GEL3IQkXqq666ZRKhmvWV8qxLdDLn57OP57N0l21&#10;0V+wGo7nVD5JgGr6IT7V98eJlGE9sTM9S1CBNForCIRaW2LNm4YzUA2JXwSXKhiMGAgeFBHdNfh2&#10;KJfSDorTXSDZq06XPHJwQKFMvCaTcMceX1iNuzVWz/RgDgcleytuOiqyAh/uwZF0iU8ax3BHS62Q&#10;kOO446xF9/Nv5zGeFEVeznoaBerqxwac5Ex9NqS1D5PZLM5OMmbzsykZ7tizPvaYjb5C4nxCg29F&#10;2sb4oPbb2qF+oqldxqrkAiOo9sDfaFyFYURp7oVcLlMYzYuFsDIPVsTke3ofd0/g7KiQQNK6xf3Y&#10;QPFKKENsvGlwuQlYd0lFL7yOiqZZSzoY/4U4zMd2inr5vRa/AAAA//8DAFBLAwQUAAYACAAAACEA&#10;QmKhpeAAAAAOAQAADwAAAGRycy9kb3ducmV2LnhtbExPQW6DMBC8V+ofrI3UGzFUCSUUE9FKzamX&#10;plF7NdgBBF4j2yH0992c2tvszGh2ptgvZmSzdr63KCBZx8A0Nlb12Ao4fb5FGTAfJCo5WtQCfrSH&#10;fXl/V8hc2St+6PkYWkYh6HMpoAthyjn3TaeN9Gs7aSTtbJ2RgU7XcuXklcLNyB/jOOVG9kgfOjnp&#10;1043w/FiBFT1y3zYtdWmeh/wyZ2GQ7L9/hLiYbVUz8CCXsKfGW71qTqU1Km2F1SejQKibRrTmEAo&#10;SXcpMPJEm+zG1YQyonhZ8P8zyl8AAAD//wMAUEsBAi0AFAAGAAgAAAAhALaDOJL+AAAA4QEAABMA&#10;AAAAAAAAAAAAAAAAAAAAAFtDb250ZW50X1R5cGVzXS54bWxQSwECLQAUAAYACAAAACEAOP0h/9YA&#10;AACUAQAACwAAAAAAAAAAAAAAAAAvAQAAX3JlbHMvLnJlbHNQSwECLQAUAAYACAAAACEACG1p1H4C&#10;AAAFBQAADgAAAAAAAAAAAAAAAAAuAgAAZHJzL2Uyb0RvYy54bWxQSwECLQAUAAYACAAAACEAQmKh&#10;peAAAAAOAQAADwAAAAAAAAAAAAAAAADYBAAAZHJzL2Rvd25yZXYueG1sUEsFBgAAAAAEAAQA8wAA&#10;AOUFAAAAAA==&#10;" fillcolor="#192e3a" stroked="f" strokeweight="1pt"/>
            </w:pict>
          </mc:Fallback>
        </mc:AlternateContent>
      </w:r>
      <w:r>
        <w:rPr>
          <w:noProof/>
        </w:rPr>
        <mc:AlternateContent>
          <mc:Choice Requires="wps">
            <w:drawing>
              <wp:anchor distT="0" distB="0" distL="114300" distR="114300" simplePos="0" relativeHeight="251736064" behindDoc="0" locked="0" layoutInCell="1" allowOverlap="1" wp14:anchorId="158035B2" wp14:editId="14BCB8DB">
                <wp:simplePos x="0" y="0"/>
                <wp:positionH relativeFrom="column">
                  <wp:posOffset>2214880</wp:posOffset>
                </wp:positionH>
                <wp:positionV relativeFrom="paragraph">
                  <wp:posOffset>7274560</wp:posOffset>
                </wp:positionV>
                <wp:extent cx="2113280" cy="2844800"/>
                <wp:effectExtent l="19050" t="19050" r="20320" b="31750"/>
                <wp:wrapNone/>
                <wp:docPr id="2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3280" cy="284480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FA5AAFF" id="Straight Connector 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4.4pt,572.8pt" to="340.8pt,7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9pAQIAAFQEAAAOAAAAZHJzL2Uyb0RvYy54bWysVE2P2yAQvVfqf0DcG390s42sOHvIanvZ&#10;tqum/QEEQ4wKDAI2dv59B5w4u20vrZoDCsybN/Meg9d3o9HkKHxQYFtaLUpKhOXQKXto6fdvD+9W&#10;lITIbMc0WNHSkwj0bvP2zXpwjaihB90JT5DEhmZwLe1jdE1RBN4Lw8ICnLAYlOANi7j1h6LzbEB2&#10;o4u6LG+LAXznPHARAp7eT0G6yfxSCh6/SBlEJLql2FvMq8/rPq3FZs2ag2euV/zcBvuHLgxTFovO&#10;VPcsMvLs1W9URnEPAWRccDAFSKm4yBpQTVX+ombXMyeyFjQnuNmm8P9o+efjkyeqa2l9S4llBu9o&#10;Fz1Thz6SLViLDoIny2TU4EKD+K198kkqH+3OPQL/ETBWvAqmTXATbJTeJDhqJWM2/jQbL8ZIOB7W&#10;VfW+XuH9cIzVq5ubVZmvpmDNJd35ED8KMCT9aalWNjnDGnZ8DDE1wJoLJB1rS4ZEtfywzLAAWnUP&#10;SusUzNMlttqTI8O52B+qjNHP5hN009myxF8SjbwzfNpdmTCm7Vn7JDcLjyctph6+ConeosCpwEw0&#10;1WCcCxurcxVtEZ3SJHY5J5ZT9+k5XBt+nXjGp1SRJ/5vkueMXBlsnJONsuD/VD2Ol5blhL84MOlO&#10;FuyhOz35y1jg6Gbnzs8svY2X+5x+/RhsfgIAAP//AwBQSwMEFAAGAAgAAAAhAO5F/5niAAAADQEA&#10;AA8AAABkcnMvZG93bnJldi54bWxMj09PhDAQxe8mfodmTLy5hf1DWKRsjIlGT0Z23cRbgZGidEpo&#10;2cVv73jS28y8lze/l+9m24sTjr5zpCBeRCCQatd01Co47B9uUhA+aGp07wgVfKOHXXF5keuscWd6&#10;xVMZWsEh5DOtwIQwZFL62qDVfuEGJNY+3Gh14HVsZTPqM4fbXi6jKJFWd8QfjB7w3mD9VU5WwfN7&#10;cN1UPpr0E1/2b8uno6kOVqnrq/nuFkTAOfyZ4Ref0aFgpspN1HjRK1itU0YPLMTrTQKCLUka81Dx&#10;abNdJSCLXP5vUfwAAAD//wMAUEsBAi0AFAAGAAgAAAAhALaDOJL+AAAA4QEAABMAAAAAAAAAAAAA&#10;AAAAAAAAAFtDb250ZW50X1R5cGVzXS54bWxQSwECLQAUAAYACAAAACEAOP0h/9YAAACUAQAACwAA&#10;AAAAAAAAAAAAAAAvAQAAX3JlbHMvLnJlbHNQSwECLQAUAAYACAAAACEAIU6faQECAABUBAAADgAA&#10;AAAAAAAAAAAAAAAuAgAAZHJzL2Uyb0RvYy54bWxQSwECLQAUAAYACAAAACEA7kX/meIAAAANAQAA&#10;DwAAAAAAAAAAAAAAAABbBAAAZHJzL2Rvd25yZXYueG1sUEsFBgAAAAAEAAQA8wAAAGoFAAAAAA==&#10;" strokecolor="#7f7f7f [1612]" strokeweight="2.25pt">
                <v:stroke joinstyle="miter"/>
                <o:lock v:ext="edit" shapetype="f"/>
              </v:line>
            </w:pict>
          </mc:Fallback>
        </mc:AlternateContent>
      </w:r>
      <w:r>
        <w:rPr>
          <w:noProof/>
        </w:rPr>
        <mc:AlternateContent>
          <mc:Choice Requires="wps">
            <w:drawing>
              <wp:anchor distT="0" distB="0" distL="114300" distR="114300" simplePos="0" relativeHeight="251735040" behindDoc="0" locked="0" layoutInCell="1" allowOverlap="1" wp14:anchorId="65C963F8" wp14:editId="3BC79D6B">
                <wp:simplePos x="0" y="0"/>
                <wp:positionH relativeFrom="column">
                  <wp:posOffset>2357120</wp:posOffset>
                </wp:positionH>
                <wp:positionV relativeFrom="paragraph">
                  <wp:posOffset>-1422400</wp:posOffset>
                </wp:positionV>
                <wp:extent cx="2377440" cy="3048000"/>
                <wp:effectExtent l="19050" t="19050" r="22860" b="19050"/>
                <wp:wrapNone/>
                <wp:docPr id="10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77440" cy="304800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EC4BCF6" id="Straight Connector 4"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112pt" to="37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HnBwIAAF8EAAAOAAAAZHJzL2Uyb0RvYy54bWysVMGO2yAQvVfqPyDfGzvZpImsOHvIanvZ&#10;tlHT9k4wxKjAIGBj5+87QOLstr206gUZZubNe2/A6/tBK3LizkswTTGdVAXhhkErzbEpvn19fLcq&#10;iA/UtFSB4U1x5r6437x9s+5tzWfQgWq5IwhifN3bpuhCsHVZetZxTf0ELDcYFOA0Dbh1x7J1tEd0&#10;rcpZVb0ve3CtdcC493j6kIPFJuELwVn4LITngaimQG4hrS6th7iWmzWtj47aTrILDfoPLDSVBpuO&#10;UA80UPLs5G9QWjIHHkSYMNAlCCEZTxpQzbT6Rc2+o5YnLWiOt6NN/v/Bsk+nnSOyxdlV04IYqnFI&#10;++CoPHaBbMEYtBAcmUeneutrLNianYta2WD29gnYD4+x8lUwbrzNaYNwmggl7XdskkxC2WRIMziP&#10;M+BDIAwPZ3fL5XyOo2IYu6vmq6pKUyppHYFiX+t8+MBBk/jRFEqaaBKt6enJh0jllhKPlSE94q4W&#10;y0VK86Bk+yiVisF00fhWOXKieEUOx8xQPeuP0OazBTK4UhjTU5cXSNhTmYsLWXiyIJwVzxy+cIE2&#10;o8DcYATKPShj3IRpNDkhYXYsE8hyLKwy+/gyboRfF17yYylPl/9viseK1BlMGIu1NOD+1D0MV8oi&#10;518dyLqjBQdozzt3vSB4i5PCy4uLz+TlPpXf/gubnwAAAP//AwBQSwMEFAAGAAgAAAAhAIDhbrPj&#10;AAAADAEAAA8AAABkcnMvZG93bnJldi54bWxMj0FLw0AQhe+C/2EZwYu0m65NKjGTUhQVFATbHjxu&#10;s2sSzM6G7LZN/r3jSY/DfLz3vWI9uk6c7BBaTwiLeQLCUuVNSzXCfvc0uwMRoiajO08WYbIB1uXl&#10;RaFz48/0YU/bWAsOoZBrhCbGPpcyVI11Osx9b4l/X35wOvI51NIM+szhrpMqSTLpdEvc0OjePjS2&#10;+t4eHcIurTbucXp5dp/9q9qbm+n9rZkQr6/GzT2IaMf4B8OvPqtDyU4HfyQTRIdwu1ooRhFmSi15&#10;FSOrZZqBOCCoNEtAloX8P6L8AQAA//8DAFBLAQItABQABgAIAAAAIQC2gziS/gAAAOEBAAATAAAA&#10;AAAAAAAAAAAAAAAAAABbQ29udGVudF9UeXBlc10ueG1sUEsBAi0AFAAGAAgAAAAhADj9If/WAAAA&#10;lAEAAAsAAAAAAAAAAAAAAAAALwEAAF9yZWxzLy5yZWxzUEsBAi0AFAAGAAgAAAAhAEY5IecHAgAA&#10;XwQAAA4AAAAAAAAAAAAAAAAALgIAAGRycy9lMm9Eb2MueG1sUEsBAi0AFAAGAAgAAAAhAIDhbrPj&#10;AAAADAEAAA8AAAAAAAAAAAAAAAAAYQQAAGRycy9kb3ducmV2LnhtbFBLBQYAAAAABAAEAPMAAABx&#10;BQAAAAA=&#10;" strokecolor="#7f7f7f [1612]" strokeweight="2.25pt">
                <v:stroke joinstyle="miter"/>
                <o:lock v:ext="edit" shapetype="f"/>
              </v:line>
            </w:pict>
          </mc:Fallback>
        </mc:AlternateContent>
      </w:r>
      <w:r>
        <w:rPr>
          <w:noProof/>
        </w:rPr>
        <mc:AlternateContent>
          <mc:Choice Requires="wps">
            <w:drawing>
              <wp:anchor distT="0" distB="0" distL="114300" distR="114300" simplePos="0" relativeHeight="251734016" behindDoc="0" locked="0" layoutInCell="1" allowOverlap="1" wp14:anchorId="6416BA0A" wp14:editId="0B41EDAF">
                <wp:simplePos x="0" y="0"/>
                <wp:positionH relativeFrom="column">
                  <wp:posOffset>121920</wp:posOffset>
                </wp:positionH>
                <wp:positionV relativeFrom="paragraph">
                  <wp:posOffset>2844800</wp:posOffset>
                </wp:positionV>
                <wp:extent cx="2438400" cy="3393440"/>
                <wp:effectExtent l="0" t="0" r="0" b="0"/>
                <wp:wrapNone/>
                <wp:docPr id="31" name="Chevro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438400" cy="3393440"/>
                        </a:xfrm>
                        <a:prstGeom prst="chevron">
                          <a:avLst/>
                        </a:prstGeom>
                        <a:solidFill>
                          <a:schemeClr val="bg1">
                            <a:lumMod val="50000"/>
                            <a:alpha val="8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15AD0B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 o:spid="_x0000_s1026" type="#_x0000_t55" style="position:absolute;margin-left:9.6pt;margin-top:224pt;width:192pt;height:267.2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GcuQIAAOQFAAAOAAAAZHJzL2Uyb0RvYy54bWysVEtv2zAMvg/YfxB0X+08uqVBnSJI0W1A&#10;1gZrh54VWYqNyaImKXGyXz9Kctz0gR2G+SCYD30kP5G8vNo3iuyEdTXogg7OckqE5lDWelPQHw83&#10;HyaUOM90yRRoUdCDcPRq9v7dZWumYggVqFJYgiDaTVtT0Mp7M80yxyvRMHcGRmg0SrAN8yjaTVZa&#10;1iJ6o7Jhnn/MWrClscCFc6i9TkY6i/hSCu7vpHTCE1VQzM3H08ZzHc5sdsmmG8tMVfMuDfYPWTSs&#10;1hi0h7pmnpGtrV9BNTW34ED6Mw5NBlLWXMQasJpB/qKa+4oZEWtBcpzpaXL/D5bf7laW1GVBRwNK&#10;NGvwjRaV2FnQZBTYaY2botO9WdlQnzNL4D8dGrJnliC4zmcvbUOkqs0X7IjICtZJ9pH0Q0+62HvC&#10;UTkcjybjHN+Go200uhiNx/FZMjYNQCGosc5/FtCQ8FNQ7I2QX0Rmu6XzIZsnr5gmqLq8qZWKQmgm&#10;sVCW7Bi2wXqTklLb5huUSXee45eagSlTsaSdXEzycdAieuzIAJKkU3ylQxQNIV5yDprIT6IkkuMP&#10;SgQ/pb8LiYyH0mMJPXIKyjgX2qcUXcVK8SLDV7lEwIAsMX6P3QE8L/2InbLs/MNVEUelv5z/LbF0&#10;ub8RI4P2/eWm1mDfAlBYVRc5+R9JStQEltZQHrAfLaRBdYbf1PjmS+b8ilmcTOwT3Db+Dg+poC0o&#10;dH+UVGB/v6UP/jgwaKWkxUkvqPu1ZVZQor5qHKWLQeg44qMwPv80RMGeWtanFr1tFoBdhNOC2cXf&#10;4O/V8VdaaB5xKc1DVDQxzTE2dq23R2Hh0wbCtcbFfB7dcB0Y5pf63vDj1IRuf9g/Mmu6xvc4M7dw&#10;3Aps+qL5k294Dw3zrQdZx8l44rXjG1dJbOJu7YVddSpHr6flPPsDAAD//wMAUEsDBBQABgAIAAAA&#10;IQDKwyCy4AAAAAoBAAAPAAAAZHJzL2Rvd25yZXYueG1sTI9BT4NAEIXvJv6HzZh4Me1SJIZSlsYY&#10;jYeeqCZy3LJTILKzyG4p+usdT/X4Zl7e+16+nW0vJhx950jBahmBQKqd6ahR8P72skhB+KDJ6N4R&#10;KvhGD9vi+irXmXFnKnHah0ZwCPlMK2hDGDIpfd2i1X7pBiT+Hd1odWA5NtKM+szhtpdxFD1Iqzvi&#10;hlYP+NRi/bk/WS6ppg/ZV5X9unt9/inL1e5ocKfU7c38uAERcA4XM/zhMzoUzHRwJzJe9KzXMTsV&#10;JEnKm9iQRPd8OShYp3ECssjl/wnFLwAAAP//AwBQSwECLQAUAAYACAAAACEAtoM4kv4AAADhAQAA&#10;EwAAAAAAAAAAAAAAAAAAAAAAW0NvbnRlbnRfVHlwZXNdLnhtbFBLAQItABQABgAIAAAAIQA4/SH/&#10;1gAAAJQBAAALAAAAAAAAAAAAAAAAAC8BAABfcmVscy8ucmVsc1BLAQItABQABgAIAAAAIQAdx3Gc&#10;uQIAAOQFAAAOAAAAAAAAAAAAAAAAAC4CAABkcnMvZTJvRG9jLnhtbFBLAQItABQABgAIAAAAIQDK&#10;wyCy4AAAAAoBAAAPAAAAAAAAAAAAAAAAABMFAABkcnMvZG93bnJldi54bWxQSwUGAAAAAAQABADz&#10;AAAAIAYAAAAA&#10;" adj="10800" fillcolor="#7f7f7f [1612]" stroked="f" strokeweight="1pt">
                <v:fill opacity="58853f"/>
              </v:shape>
            </w:pict>
          </mc:Fallback>
        </mc:AlternateContent>
      </w:r>
      <w:r>
        <w:t>ф</w:t>
      </w:r>
    </w:p>
    <w:p w14:paraId="7C9AFAFF" w14:textId="47286DB3" w:rsidR="00FC293C" w:rsidRDefault="00FC293C" w:rsidP="00FC293C">
      <w:pPr>
        <w:spacing w:after="0"/>
        <w:jc w:val="center"/>
        <w:rPr>
          <w:rFonts w:ascii="Times New Roman" w:hAnsi="Times New Roman"/>
          <w:b/>
          <w:sz w:val="24"/>
          <w:szCs w:val="24"/>
        </w:rPr>
      </w:pPr>
    </w:p>
    <w:p w14:paraId="609C0102" w14:textId="7230CA74" w:rsidR="00FC293C" w:rsidRDefault="00FC293C" w:rsidP="00FC293C">
      <w:pPr>
        <w:spacing w:after="0"/>
        <w:jc w:val="center"/>
        <w:rPr>
          <w:rFonts w:ascii="Times New Roman" w:hAnsi="Times New Roman"/>
          <w:b/>
          <w:sz w:val="24"/>
          <w:szCs w:val="24"/>
        </w:rPr>
      </w:pPr>
      <w:r>
        <w:rPr>
          <w:noProof/>
        </w:rPr>
        <mc:AlternateContent>
          <mc:Choice Requires="wps">
            <w:drawing>
              <wp:anchor distT="0" distB="0" distL="114300" distR="114300" simplePos="0" relativeHeight="251746304" behindDoc="0" locked="0" layoutInCell="1" allowOverlap="1" wp14:anchorId="3E7E5B30" wp14:editId="0A7433DE">
                <wp:simplePos x="0" y="0"/>
                <wp:positionH relativeFrom="page">
                  <wp:posOffset>4511615</wp:posOffset>
                </wp:positionH>
                <wp:positionV relativeFrom="paragraph">
                  <wp:posOffset>129587</wp:posOffset>
                </wp:positionV>
                <wp:extent cx="2921552" cy="439947"/>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552" cy="439947"/>
                        </a:xfrm>
                        <a:prstGeom prst="rect">
                          <a:avLst/>
                        </a:prstGeom>
                        <a:noFill/>
                        <a:ln w="6350">
                          <a:noFill/>
                        </a:ln>
                      </wps:spPr>
                      <wps:txbx>
                        <w:txbxContent>
                          <w:p w14:paraId="03AEF00E" w14:textId="3EEF47E9" w:rsidR="00540656" w:rsidRPr="00FC293C" w:rsidRDefault="00540656" w:rsidP="00FC293C">
                            <w:pPr>
                              <w:tabs>
                                <w:tab w:val="left" w:pos="3420"/>
                              </w:tabs>
                              <w:contextualSpacing/>
                              <w:jc w:val="right"/>
                              <w:rPr>
                                <w:rFonts w:ascii="Times New Roman" w:hAnsi="Times New Roman"/>
                                <w:color w:val="FFFFFF" w:themeColor="background1"/>
                                <w:sz w:val="40"/>
                                <w:szCs w:val="40"/>
                              </w:rPr>
                            </w:pPr>
                            <w:r>
                              <w:rPr>
                                <w:rFonts w:ascii="Times New Roman" w:hAnsi="Times New Roman"/>
                                <w:color w:val="FFFFFF" w:themeColor="background1"/>
                                <w:sz w:val="40"/>
                                <w:szCs w:val="40"/>
                              </w:rPr>
                              <w:t xml:space="preserve">Аналитический </w:t>
                            </w:r>
                            <w:r w:rsidRPr="00FC293C">
                              <w:rPr>
                                <w:rFonts w:ascii="Times New Roman" w:hAnsi="Times New Roman"/>
                                <w:color w:val="FFFFFF" w:themeColor="background1"/>
                                <w:sz w:val="40"/>
                                <w:szCs w:val="40"/>
                              </w:rPr>
                              <w:t>доклад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E7E5B30" id="Text Box 16" o:spid="_x0000_s1027" type="#_x0000_t202" style="position:absolute;left:0;text-align:left;margin-left:355.25pt;margin-top:10.2pt;width:230.05pt;height:34.6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nJOwIAAHMEAAAOAAAAZHJzL2Uyb0RvYy54bWysVN9v2jAQfp+0/8Hy+whJgY6IULFWTJNQ&#10;WwmmPhvHJtEcn2cbku6v39kJFHV7mvbinO8+36/vLou7rlHkJKyrQRc0HY0pEZpDWetDQb/v1p8+&#10;U+I80yVToEVBX4Wjd8uPHxatyUUGFahSWIJOtMtbU9DKe5MnieOVaJgbgREajRJswzxe7SEpLWvR&#10;e6OSbDyeJS3Y0ljgwjnUPvRGuoz+pRTcP0nphCeqoJibj6eN5z6cyXLB8oNlpqr5kAb7hywaVmsM&#10;enH1wDwjR1v/4aqpuQUH0o84NAlIWXMRa8Bq0vG7arYVMyLWgs1x5tIm9//c8sfTsyV1idzNKdGs&#10;QY52ovPkC3QknYX+tMblCNsaBPoO9YiNtTqzAf7DISS5wvQPHKJDPzppm/DFSgk+RApeL20PYTgq&#10;s3mWTqcZJRxtk5v5fHIb4iZvr411/quAhgShoBZpjRmw08b5HnqGhGAa1rVSqGe50qQt6OxmOo4P&#10;LhZ0rvSQeJ9rKMF3+65vxrnwPZSvWLeFfnKc4esac9gw55+ZxVHBinD8/RMeUgHGgkGipAL762/6&#10;gEcG0UpJi6NXUPfzyKygRH3TyO08nUzCrMbLZHqb4cVeW/bXFn1s7gGnO8VFMzyKAe/VWZQWmhfc&#10;klWIiiamOcYuqD+L975fCNwyLlarCMLpNMxv9NbwM92hw7vuhVkz0OCRwEc4DynL37HRY3s+VkcP&#10;so5UhT73XR3aj5MdyR62MKzO9T2i3v4Vy98AAAD//wMAUEsDBBQABgAIAAAAIQD2r7/54gAAAAoB&#10;AAAPAAAAZHJzL2Rvd25yZXYueG1sTI/BTsMwEETvSPyDtUjcqJ2INiGNU1WRKiQEh5ZeuG3ibRI1&#10;tkPstoGvxz2V42qeZt7mq0n37Eyj66yREM0EMDK1VZ1pJOw/N08pMOfRKOytIQk/5GBV3N/lmCl7&#10;MVs673zDQolxGUpovR8yzl3dkkY3swOZkB3sqNGHc2y4GvESynXPYyEWXGNnwkKLA5Ut1cfdSUt4&#10;KzcfuK1inf725ev7YT1877/mUj4+TOslME+Tv8Fw1Q/qUASnyp6McqyXkERiHlAJsXgGdgWiRCyA&#10;VRLSlwR4kfP/LxR/AAAA//8DAFBLAQItABQABgAIAAAAIQC2gziS/gAAAOEBAAATAAAAAAAAAAAA&#10;AAAAAAAAAABbQ29udGVudF9UeXBlc10ueG1sUEsBAi0AFAAGAAgAAAAhADj9If/WAAAAlAEAAAsA&#10;AAAAAAAAAAAAAAAALwEAAF9yZWxzLy5yZWxzUEsBAi0AFAAGAAgAAAAhAMPdqck7AgAAcwQAAA4A&#10;AAAAAAAAAAAAAAAALgIAAGRycy9lMm9Eb2MueG1sUEsBAi0AFAAGAAgAAAAhAPavv/niAAAACgEA&#10;AA8AAAAAAAAAAAAAAAAAlQQAAGRycy9kb3ducmV2LnhtbFBLBQYAAAAABAAEAPMAAACkBQAAAAA=&#10;" filled="f" stroked="f" strokeweight=".5pt">
                <v:textbox>
                  <w:txbxContent>
                    <w:p w14:paraId="03AEF00E" w14:textId="3EEF47E9" w:rsidR="00540656" w:rsidRPr="00FC293C" w:rsidRDefault="00540656" w:rsidP="00FC293C">
                      <w:pPr>
                        <w:tabs>
                          <w:tab w:val="left" w:pos="3420"/>
                        </w:tabs>
                        <w:contextualSpacing/>
                        <w:jc w:val="right"/>
                        <w:rPr>
                          <w:rFonts w:ascii="Times New Roman" w:hAnsi="Times New Roman"/>
                          <w:color w:val="FFFFFF" w:themeColor="background1"/>
                          <w:sz w:val="40"/>
                          <w:szCs w:val="40"/>
                        </w:rPr>
                      </w:pPr>
                      <w:r>
                        <w:rPr>
                          <w:rFonts w:ascii="Times New Roman" w:hAnsi="Times New Roman"/>
                          <w:color w:val="FFFFFF" w:themeColor="background1"/>
                          <w:sz w:val="40"/>
                          <w:szCs w:val="40"/>
                        </w:rPr>
                        <w:t xml:space="preserve">Аналитический </w:t>
                      </w:r>
                      <w:r w:rsidRPr="00FC293C">
                        <w:rPr>
                          <w:rFonts w:ascii="Times New Roman" w:hAnsi="Times New Roman"/>
                          <w:color w:val="FFFFFF" w:themeColor="background1"/>
                          <w:sz w:val="40"/>
                          <w:szCs w:val="40"/>
                        </w:rPr>
                        <w:t>доклад</w:t>
                      </w:r>
                    </w:p>
                  </w:txbxContent>
                </v:textbox>
                <w10:wrap anchorx="page"/>
              </v:shape>
            </w:pict>
          </mc:Fallback>
        </mc:AlternateContent>
      </w:r>
    </w:p>
    <w:p w14:paraId="5BDF8F67" w14:textId="77777777" w:rsidR="00FC293C" w:rsidRDefault="00FC293C" w:rsidP="00FC293C">
      <w:pPr>
        <w:spacing w:after="0"/>
        <w:jc w:val="center"/>
        <w:rPr>
          <w:rFonts w:ascii="Times New Roman" w:hAnsi="Times New Roman"/>
          <w:b/>
          <w:sz w:val="24"/>
          <w:szCs w:val="24"/>
        </w:rPr>
      </w:pPr>
    </w:p>
    <w:p w14:paraId="2A8D4EEA" w14:textId="2C389CAE" w:rsidR="00FC293C" w:rsidRDefault="00FC293C" w:rsidP="00FC293C">
      <w:pPr>
        <w:spacing w:after="0"/>
        <w:jc w:val="center"/>
        <w:rPr>
          <w:rFonts w:ascii="Times New Roman" w:hAnsi="Times New Roman"/>
          <w:b/>
          <w:sz w:val="24"/>
          <w:szCs w:val="24"/>
        </w:rPr>
      </w:pPr>
      <w:r>
        <w:rPr>
          <w:noProof/>
        </w:rPr>
        <mc:AlternateContent>
          <mc:Choice Requires="wps">
            <w:drawing>
              <wp:anchor distT="4294967294" distB="4294967294" distL="114300" distR="114300" simplePos="0" relativeHeight="251747328" behindDoc="0" locked="0" layoutInCell="1" allowOverlap="1" wp14:anchorId="2A070BBC" wp14:editId="521BE6F9">
                <wp:simplePos x="0" y="0"/>
                <wp:positionH relativeFrom="column">
                  <wp:posOffset>3696691</wp:posOffset>
                </wp:positionH>
                <wp:positionV relativeFrom="paragraph">
                  <wp:posOffset>143510</wp:posOffset>
                </wp:positionV>
                <wp:extent cx="3189249"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9249"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A68DADB" id="Straight Connector 20" o:spid="_x0000_s1026" style="position:absolute;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91.1pt,11.3pt" to="542.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638QEAAEUEAAAOAAAAZHJzL2Uyb0RvYy54bWysU9uO2yAQfa/Uf0C8N7bTizZWnH3Iavuy&#10;baOm/QCCwUYFBgEbO3/fAcfe7UWVWvUFmZk5Z+YcD9vb0WhyFj4osA2tViUlwnJole0a+vXL/asb&#10;SkJktmUarGjoRQR6u3v5Yju4WqyhB90KT5DEhnpwDe1jdHVRBN4Lw8IKnLCYlOANi3j1XdF6NiC7&#10;0cW6LN8VA/jWeeAiBIzeTUm6y/xSCh4/SRlEJLqhOFvMp8/nKZ3FbsvqzjPXK34dg/3DFIYpi00X&#10;qjsWGXn06hcqo7iHADKuOJgCpFRcZA2opip/UnPsmRNZC5oT3GJT+H+0/OP54IlqG7pGeywz+I+O&#10;0TPV9ZHswVp0EDzBJDo1uFAjYG8PPmnloz26B+DfAuaKH5LpEtxUNkpvUjmKJWN2/rI4L8ZIOAZf&#10;Vzeb9ZsNJXzOFayegc6H+F6AIemjoVrZZAqr2fkhxNSa1XNJCmubzgBatfdK63xJ6yT22pMzw0U4&#10;dVUm0I/mA7RTbPO2LLNIZMvbl8oz9zMmzCX2rHWSl4XGixZT589CopkoaGqwEE09GOfCxipZmZmw&#10;OsEkTrkAyzzZH4HX+gQVecX/BrwgcmewcQEbZcH/rnsc55HlVD87MOlOFpygvRz8vAa4q1nh9V2l&#10;x/D8nuFPr3/3HQAA//8DAFBLAwQUAAYACAAAACEA/dsVhN8AAAAKAQAADwAAAGRycy9kb3ducmV2&#10;LnhtbEyPUUvDMBDH3wW/QzjBF3GpoRulNh0iOGRProrgW9acTbG5lCbdsm9vhg/u8e5+/O/3r9bR&#10;DuyAk+8dSXhYZMCQWqd76iR8vL/cF8B8UKTV4AglnNDDur6+qlSp3ZF2eGhCx1II+VJJMCGMJee+&#10;NWiVX7gRKd2+3WRVSOPUcT2pYwq3AxdZtuJW9ZQ+GDXis8H2p5mthDw28/ZtM7rN17T9jEvc3Z1e&#10;jZS3N/HpEVjAGP5hOOsndaiT097NpD0bJCwLIRIqQYgVsDOQFXkObP+34XXFLyvUvwAAAP//AwBQ&#10;SwECLQAUAAYACAAAACEAtoM4kv4AAADhAQAAEwAAAAAAAAAAAAAAAAAAAAAAW0NvbnRlbnRfVHlw&#10;ZXNdLnhtbFBLAQItABQABgAIAAAAIQA4/SH/1gAAAJQBAAALAAAAAAAAAAAAAAAAAC8BAABfcmVs&#10;cy8ucmVsc1BLAQItABQABgAIAAAAIQCDws638QEAAEUEAAAOAAAAAAAAAAAAAAAAAC4CAABkcnMv&#10;ZTJvRG9jLnhtbFBLAQItABQABgAIAAAAIQD92xWE3wAAAAoBAAAPAAAAAAAAAAAAAAAAAEsEAABk&#10;cnMvZG93bnJldi54bWxQSwUGAAAAAAQABADzAAAAVwUAAAAA&#10;" strokecolor="#f2f2f2 [3052]" strokeweight=".5pt">
                <v:stroke joinstyle="miter"/>
                <o:lock v:ext="edit" shapetype="f"/>
              </v:line>
            </w:pict>
          </mc:Fallback>
        </mc:AlternateContent>
      </w:r>
    </w:p>
    <w:p w14:paraId="0A194173" w14:textId="77777777" w:rsidR="00FC293C" w:rsidRDefault="00FC293C" w:rsidP="00FC293C">
      <w:pPr>
        <w:spacing w:after="0"/>
        <w:jc w:val="center"/>
        <w:rPr>
          <w:rFonts w:ascii="Times New Roman" w:hAnsi="Times New Roman"/>
          <w:b/>
          <w:sz w:val="24"/>
          <w:szCs w:val="24"/>
        </w:rPr>
      </w:pPr>
    </w:p>
    <w:p w14:paraId="05F09579" w14:textId="77777777" w:rsidR="00FC293C" w:rsidRDefault="00FC293C" w:rsidP="00FC293C">
      <w:pPr>
        <w:spacing w:after="0"/>
        <w:jc w:val="center"/>
        <w:rPr>
          <w:rFonts w:ascii="Times New Roman" w:hAnsi="Times New Roman"/>
          <w:b/>
          <w:sz w:val="24"/>
          <w:szCs w:val="24"/>
        </w:rPr>
      </w:pPr>
    </w:p>
    <w:p w14:paraId="79A2FB60" w14:textId="77777777" w:rsidR="00FC293C" w:rsidRDefault="00FC293C" w:rsidP="00FC293C">
      <w:pPr>
        <w:spacing w:after="0"/>
        <w:jc w:val="center"/>
        <w:rPr>
          <w:rFonts w:ascii="Times New Roman" w:hAnsi="Times New Roman"/>
          <w:b/>
          <w:sz w:val="24"/>
          <w:szCs w:val="24"/>
        </w:rPr>
      </w:pPr>
    </w:p>
    <w:p w14:paraId="7C928975" w14:textId="77777777" w:rsidR="00FC293C" w:rsidRDefault="00FC293C" w:rsidP="00FC293C">
      <w:pPr>
        <w:spacing w:after="0"/>
        <w:jc w:val="center"/>
        <w:rPr>
          <w:rFonts w:ascii="Times New Roman" w:hAnsi="Times New Roman"/>
          <w:b/>
          <w:sz w:val="24"/>
          <w:szCs w:val="24"/>
        </w:rPr>
      </w:pPr>
    </w:p>
    <w:p w14:paraId="1CB049D0" w14:textId="77777777" w:rsidR="00FC293C" w:rsidRDefault="00FC293C" w:rsidP="00FC293C">
      <w:pPr>
        <w:spacing w:after="0"/>
        <w:jc w:val="center"/>
        <w:rPr>
          <w:rFonts w:ascii="Times New Roman" w:hAnsi="Times New Roman"/>
          <w:b/>
          <w:sz w:val="24"/>
          <w:szCs w:val="24"/>
        </w:rPr>
      </w:pPr>
    </w:p>
    <w:p w14:paraId="320C713A" w14:textId="77777777" w:rsidR="00FC293C" w:rsidRDefault="00FC293C" w:rsidP="00FC293C">
      <w:pPr>
        <w:spacing w:after="0"/>
        <w:jc w:val="center"/>
        <w:rPr>
          <w:rFonts w:ascii="Times New Roman" w:hAnsi="Times New Roman"/>
          <w:b/>
          <w:sz w:val="24"/>
          <w:szCs w:val="24"/>
        </w:rPr>
      </w:pPr>
    </w:p>
    <w:p w14:paraId="22608E8C" w14:textId="77777777" w:rsidR="00FC293C" w:rsidRDefault="00FC293C" w:rsidP="00FC293C">
      <w:pPr>
        <w:spacing w:after="0"/>
        <w:jc w:val="center"/>
        <w:rPr>
          <w:rFonts w:ascii="Times New Roman" w:hAnsi="Times New Roman"/>
          <w:b/>
          <w:sz w:val="24"/>
          <w:szCs w:val="24"/>
        </w:rPr>
      </w:pPr>
    </w:p>
    <w:p w14:paraId="6D49477B" w14:textId="6E281E5A" w:rsidR="00FC293C" w:rsidRDefault="00FC293C" w:rsidP="00FC293C">
      <w:pPr>
        <w:spacing w:after="0"/>
        <w:jc w:val="center"/>
        <w:rPr>
          <w:rFonts w:ascii="Times New Roman" w:hAnsi="Times New Roman"/>
          <w:b/>
          <w:sz w:val="24"/>
          <w:szCs w:val="24"/>
        </w:rPr>
      </w:pPr>
    </w:p>
    <w:p w14:paraId="2F48237C" w14:textId="542F3ABE" w:rsidR="00FC293C" w:rsidRDefault="00FC293C" w:rsidP="00FC293C">
      <w:pPr>
        <w:spacing w:after="0"/>
        <w:jc w:val="center"/>
        <w:rPr>
          <w:rFonts w:ascii="Times New Roman" w:hAnsi="Times New Roman"/>
          <w:b/>
          <w:sz w:val="24"/>
          <w:szCs w:val="24"/>
        </w:rPr>
      </w:pPr>
    </w:p>
    <w:p w14:paraId="7D8611CD" w14:textId="7B4E6B78" w:rsidR="00FC293C" w:rsidRDefault="00FC293C" w:rsidP="00FC293C">
      <w:pPr>
        <w:spacing w:after="0"/>
        <w:jc w:val="center"/>
        <w:rPr>
          <w:rFonts w:ascii="Times New Roman" w:hAnsi="Times New Roman"/>
          <w:b/>
          <w:sz w:val="24"/>
          <w:szCs w:val="24"/>
        </w:rPr>
      </w:pPr>
    </w:p>
    <w:p w14:paraId="1B65E9CC" w14:textId="266556A6" w:rsidR="00FC293C" w:rsidRDefault="00FC293C" w:rsidP="00FC293C">
      <w:pPr>
        <w:spacing w:after="0"/>
        <w:jc w:val="center"/>
        <w:rPr>
          <w:rFonts w:ascii="Times New Roman" w:hAnsi="Times New Roman"/>
          <w:b/>
          <w:sz w:val="24"/>
          <w:szCs w:val="24"/>
        </w:rPr>
      </w:pPr>
    </w:p>
    <w:p w14:paraId="2FC7088F" w14:textId="7FFDBB6A" w:rsidR="00FC293C" w:rsidRDefault="00FC293C" w:rsidP="00FC293C">
      <w:pPr>
        <w:spacing w:after="0"/>
        <w:jc w:val="center"/>
        <w:rPr>
          <w:rFonts w:ascii="Times New Roman" w:hAnsi="Times New Roman"/>
          <w:b/>
          <w:sz w:val="24"/>
          <w:szCs w:val="24"/>
        </w:rPr>
      </w:pPr>
      <w:r>
        <w:rPr>
          <w:noProof/>
        </w:rPr>
        <mc:AlternateContent>
          <mc:Choice Requires="wps">
            <w:drawing>
              <wp:anchor distT="0" distB="0" distL="114300" distR="114300" simplePos="0" relativeHeight="251737088" behindDoc="0" locked="0" layoutInCell="1" allowOverlap="1" wp14:anchorId="7C408A61" wp14:editId="6D56CF30">
                <wp:simplePos x="0" y="0"/>
                <wp:positionH relativeFrom="page">
                  <wp:posOffset>2356485</wp:posOffset>
                </wp:positionH>
                <wp:positionV relativeFrom="paragraph">
                  <wp:posOffset>88900</wp:posOffset>
                </wp:positionV>
                <wp:extent cx="4999990" cy="2190750"/>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9990" cy="2190750"/>
                        </a:xfrm>
                        <a:prstGeom prst="rect">
                          <a:avLst/>
                        </a:prstGeom>
                        <a:noFill/>
                        <a:ln w="6350">
                          <a:noFill/>
                        </a:ln>
                      </wps:spPr>
                      <wps:txbx>
                        <w:txbxContent>
                          <w:p w14:paraId="265B80C5" w14:textId="77777777" w:rsidR="00540656" w:rsidRPr="00272F71" w:rsidRDefault="00540656" w:rsidP="00FC293C">
                            <w:pPr>
                              <w:spacing w:after="0" w:line="240" w:lineRule="auto"/>
                              <w:jc w:val="right"/>
                              <w:rPr>
                                <w:rFonts w:ascii="Times New Roman" w:hAnsi="Times New Roman"/>
                                <w:b/>
                                <w:color w:val="FFFFFF" w:themeColor="background1"/>
                                <w:sz w:val="56"/>
                                <w:szCs w:val="56"/>
                              </w:rPr>
                            </w:pPr>
                            <w:r w:rsidRPr="00272F71">
                              <w:rPr>
                                <w:rFonts w:ascii="Times New Roman" w:hAnsi="Times New Roman"/>
                                <w:b/>
                                <w:color w:val="FFFFFF" w:themeColor="background1"/>
                                <w:sz w:val="56"/>
                                <w:szCs w:val="56"/>
                              </w:rPr>
                              <w:t xml:space="preserve">Итоги социально-экономического развития Приднестровской Молдавской Республики  </w:t>
                            </w:r>
                          </w:p>
                          <w:p w14:paraId="3493B20F" w14:textId="12DF94C8" w:rsidR="00540656" w:rsidRPr="00272F71" w:rsidRDefault="00540656" w:rsidP="00FC293C">
                            <w:pPr>
                              <w:spacing w:after="0" w:line="240" w:lineRule="auto"/>
                              <w:jc w:val="right"/>
                              <w:rPr>
                                <w:rFonts w:ascii="Times New Roman" w:hAnsi="Times New Roman"/>
                                <w:b/>
                                <w:color w:val="FFFFFF" w:themeColor="background1"/>
                                <w:sz w:val="56"/>
                                <w:szCs w:val="56"/>
                              </w:rPr>
                            </w:pPr>
                            <w:r w:rsidRPr="00272F71">
                              <w:rPr>
                                <w:rFonts w:ascii="Times New Roman" w:hAnsi="Times New Roman"/>
                                <w:b/>
                                <w:color w:val="FFFFFF" w:themeColor="background1"/>
                                <w:sz w:val="56"/>
                                <w:szCs w:val="56"/>
                              </w:rPr>
                              <w:t>в 2021 году</w:t>
                            </w:r>
                          </w:p>
                          <w:p w14:paraId="2122CB9C" w14:textId="77777777" w:rsidR="00540656" w:rsidRPr="008623D3" w:rsidRDefault="00540656" w:rsidP="00FC293C">
                            <w:pPr>
                              <w:spacing w:after="0"/>
                              <w:jc w:val="right"/>
                              <w:rPr>
                                <w:rFonts w:ascii="Montserrat Black" w:hAnsi="Montserrat Black"/>
                                <w:b/>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C408A61" id="Text Box 6" o:spid="_x0000_s1028" type="#_x0000_t202" style="position:absolute;left:0;text-align:left;margin-left:185.55pt;margin-top:7pt;width:393.7pt;height:17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cOOAIAAHMEAAAOAAAAZHJzL2Uyb0RvYy54bWysVE1vGjEQvVfqf7B8LwuEkLBiiWgiqkoo&#10;iQRVzsZrs6vaHtc27NJf37GXTWjaU1UOxvY8z8d7Mzu/a7UiR+F8Daago8GQEmE4lLXZF/TbdvXp&#10;lhIfmCmZAiMKehKe3i0+fpg3NhdjqECVwhF0Ynze2IJWIdg8yzyvhGZ+AFYYNEpwmgU8un1WOtag&#10;d62y8XA4zRpwpXXAhfd4+9AZ6SL5l1Lw8CSlF4GogmJuIa0urbu4Zos5y/eO2arm5zTYP2ShWW0w&#10;6KurBxYYObj6D1e65g48yDDgoDOQsuYi1YDVjIbvqtlUzIpUC5Lj7StN/v+55Y/HZ0fqsqBXSI9h&#10;GjXaijaQz9CSaaSnsT5H1MYiLrR4jTKnUr1dA//uEZJdYLoHHtGRjlY6Hf+xUIIPMcTplfUYhePl&#10;ZBZ/aOJoG49mw5vrpEv29tw6H74I0CRuCupQ1pQCO659iAmwvIfEaAZWtVJJWmVIU9DpFbr8zYIv&#10;lDln3iUbawjtrk1kjPvKd1CesHAHXed4y1c15rBmPjwzh62CeWP7hydcpAKMBecdJRW4n3+7j3hU&#10;EK2UNNh6BfU/DswJStRXg9rORpMJug3pMLm+GePBXVp2lxZz0PeA3T3CQbM8bSM+qH4rHegXnJJl&#10;jIomZjjGLmjot/ehGwicMi6WywTC7rQsrM3G8l7vyPC2fWHOnmUIqOAj9E3K8ndqdNiO9eUhgKyT&#10;VJHnjtUz/djZScHzFMbRuTwn1Nu3YvELAAD//wMAUEsDBBQABgAIAAAAIQByCVM24QAAAAsBAAAP&#10;AAAAZHJzL2Rvd25yZXYueG1sTI9BT4NAEIXvJv6HzZh4swtVlFKWpiFpTIweWnvxNrBTILK7yG5b&#10;9Nc7Pelx8r68+V6+mkwvTjT6zlkF8SwCQbZ2urONgv375i4F4QNajb2zpOCbPKyK66scM+3Odkun&#10;XWgEl1ifoYI2hCGT0tctGfQzN5Dl7OBGg4HPsZF6xDOXm17Oo+hRGuwsf2hxoLKl+nN3NApeys0b&#10;bqu5SX/68vn1sB6+9h+JUrc303oJItAU/mC46LM6FOxUuaPVXvQK7p/imFEOHnjTBYiTNAFRcZQs&#10;IpBFLv9vKH4BAAD//wMAUEsBAi0AFAAGAAgAAAAhALaDOJL+AAAA4QEAABMAAAAAAAAAAAAAAAAA&#10;AAAAAFtDb250ZW50X1R5cGVzXS54bWxQSwECLQAUAAYACAAAACEAOP0h/9YAAACUAQAACwAAAAAA&#10;AAAAAAAAAAAvAQAAX3JlbHMvLnJlbHNQSwECLQAUAAYACAAAACEAWb2XDjgCAABzBAAADgAAAAAA&#10;AAAAAAAAAAAuAgAAZHJzL2Uyb0RvYy54bWxQSwECLQAUAAYACAAAACEAcglTNuEAAAALAQAADwAA&#10;AAAAAAAAAAAAAACSBAAAZHJzL2Rvd25yZXYueG1sUEsFBgAAAAAEAAQA8wAAAKAFAAAAAA==&#10;" filled="f" stroked="f" strokeweight=".5pt">
                <v:textbox>
                  <w:txbxContent>
                    <w:p w14:paraId="265B80C5" w14:textId="77777777" w:rsidR="00540656" w:rsidRPr="00272F71" w:rsidRDefault="00540656" w:rsidP="00FC293C">
                      <w:pPr>
                        <w:spacing w:after="0" w:line="240" w:lineRule="auto"/>
                        <w:jc w:val="right"/>
                        <w:rPr>
                          <w:rFonts w:ascii="Times New Roman" w:hAnsi="Times New Roman"/>
                          <w:b/>
                          <w:color w:val="FFFFFF" w:themeColor="background1"/>
                          <w:sz w:val="56"/>
                          <w:szCs w:val="56"/>
                        </w:rPr>
                      </w:pPr>
                      <w:r w:rsidRPr="00272F71">
                        <w:rPr>
                          <w:rFonts w:ascii="Times New Roman" w:hAnsi="Times New Roman"/>
                          <w:b/>
                          <w:color w:val="FFFFFF" w:themeColor="background1"/>
                          <w:sz w:val="56"/>
                          <w:szCs w:val="56"/>
                        </w:rPr>
                        <w:t xml:space="preserve">Итоги социально-экономического развития Приднестровской Молдавской Республики  </w:t>
                      </w:r>
                    </w:p>
                    <w:p w14:paraId="3493B20F" w14:textId="12DF94C8" w:rsidR="00540656" w:rsidRPr="00272F71" w:rsidRDefault="00540656" w:rsidP="00FC293C">
                      <w:pPr>
                        <w:spacing w:after="0" w:line="240" w:lineRule="auto"/>
                        <w:jc w:val="right"/>
                        <w:rPr>
                          <w:rFonts w:ascii="Times New Roman" w:hAnsi="Times New Roman"/>
                          <w:b/>
                          <w:color w:val="FFFFFF" w:themeColor="background1"/>
                          <w:sz w:val="56"/>
                          <w:szCs w:val="56"/>
                        </w:rPr>
                      </w:pPr>
                      <w:r w:rsidRPr="00272F71">
                        <w:rPr>
                          <w:rFonts w:ascii="Times New Roman" w:hAnsi="Times New Roman"/>
                          <w:b/>
                          <w:color w:val="FFFFFF" w:themeColor="background1"/>
                          <w:sz w:val="56"/>
                          <w:szCs w:val="56"/>
                        </w:rPr>
                        <w:t>в 2021 году</w:t>
                      </w:r>
                    </w:p>
                    <w:p w14:paraId="2122CB9C" w14:textId="77777777" w:rsidR="00540656" w:rsidRPr="008623D3" w:rsidRDefault="00540656" w:rsidP="00FC293C">
                      <w:pPr>
                        <w:spacing w:after="0"/>
                        <w:jc w:val="right"/>
                        <w:rPr>
                          <w:rFonts w:ascii="Montserrat Black" w:hAnsi="Montserrat Black"/>
                          <w:b/>
                          <w:color w:val="FFFFFF" w:themeColor="background1"/>
                          <w:sz w:val="60"/>
                          <w:szCs w:val="60"/>
                        </w:rPr>
                      </w:pPr>
                    </w:p>
                  </w:txbxContent>
                </v:textbox>
                <w10:wrap anchorx="page"/>
              </v:shape>
            </w:pict>
          </mc:Fallback>
        </mc:AlternateContent>
      </w:r>
    </w:p>
    <w:p w14:paraId="01A01A70" w14:textId="7C130041" w:rsidR="00FC293C" w:rsidRDefault="00FC293C" w:rsidP="00FC293C">
      <w:pPr>
        <w:spacing w:after="0"/>
        <w:jc w:val="center"/>
        <w:rPr>
          <w:rFonts w:ascii="Times New Roman" w:hAnsi="Times New Roman"/>
          <w:b/>
          <w:sz w:val="24"/>
          <w:szCs w:val="24"/>
        </w:rPr>
      </w:pPr>
    </w:p>
    <w:p w14:paraId="7622EEE9" w14:textId="388D48C7" w:rsidR="00FC293C" w:rsidRDefault="00FC293C" w:rsidP="00FC293C">
      <w:pPr>
        <w:spacing w:after="0"/>
        <w:jc w:val="center"/>
        <w:rPr>
          <w:rFonts w:ascii="Times New Roman" w:hAnsi="Times New Roman"/>
          <w:b/>
          <w:sz w:val="24"/>
          <w:szCs w:val="24"/>
        </w:rPr>
      </w:pPr>
    </w:p>
    <w:p w14:paraId="353451A3" w14:textId="2073CE60" w:rsidR="00FC293C" w:rsidRDefault="00FC293C" w:rsidP="00FC293C">
      <w:pPr>
        <w:spacing w:after="0"/>
        <w:jc w:val="center"/>
        <w:rPr>
          <w:rFonts w:ascii="Times New Roman" w:hAnsi="Times New Roman"/>
          <w:b/>
          <w:sz w:val="24"/>
          <w:szCs w:val="24"/>
        </w:rPr>
      </w:pPr>
    </w:p>
    <w:p w14:paraId="332CBC4C" w14:textId="77777777" w:rsidR="00FC293C" w:rsidRDefault="00FC293C" w:rsidP="00FC293C">
      <w:pPr>
        <w:spacing w:after="0"/>
        <w:jc w:val="center"/>
        <w:rPr>
          <w:rFonts w:ascii="Times New Roman" w:hAnsi="Times New Roman"/>
          <w:b/>
          <w:sz w:val="24"/>
          <w:szCs w:val="24"/>
        </w:rPr>
      </w:pPr>
    </w:p>
    <w:p w14:paraId="56408088" w14:textId="77777777" w:rsidR="00FC293C" w:rsidRDefault="00FC293C" w:rsidP="00FC293C">
      <w:pPr>
        <w:spacing w:after="0"/>
        <w:jc w:val="center"/>
        <w:rPr>
          <w:rFonts w:ascii="Times New Roman" w:hAnsi="Times New Roman"/>
          <w:b/>
          <w:sz w:val="24"/>
          <w:szCs w:val="24"/>
        </w:rPr>
      </w:pPr>
    </w:p>
    <w:p w14:paraId="038FC1D8" w14:textId="77777777" w:rsidR="00FC293C" w:rsidRDefault="00FC293C" w:rsidP="00FC293C">
      <w:pPr>
        <w:spacing w:after="0"/>
        <w:jc w:val="center"/>
        <w:rPr>
          <w:rFonts w:ascii="Times New Roman" w:hAnsi="Times New Roman"/>
          <w:b/>
          <w:sz w:val="24"/>
          <w:szCs w:val="24"/>
        </w:rPr>
      </w:pPr>
    </w:p>
    <w:p w14:paraId="3D0C262E" w14:textId="77777777" w:rsidR="00FC293C" w:rsidRDefault="00FC293C" w:rsidP="00FC293C">
      <w:pPr>
        <w:spacing w:after="0"/>
        <w:jc w:val="center"/>
        <w:rPr>
          <w:rFonts w:ascii="Times New Roman" w:hAnsi="Times New Roman"/>
          <w:b/>
          <w:sz w:val="24"/>
          <w:szCs w:val="24"/>
        </w:rPr>
      </w:pPr>
    </w:p>
    <w:p w14:paraId="16217AB8" w14:textId="77777777" w:rsidR="00FC293C" w:rsidRDefault="00FC293C" w:rsidP="00FC293C">
      <w:pPr>
        <w:spacing w:after="0"/>
        <w:jc w:val="center"/>
        <w:rPr>
          <w:rFonts w:ascii="Times New Roman" w:hAnsi="Times New Roman"/>
          <w:b/>
          <w:sz w:val="24"/>
          <w:szCs w:val="24"/>
        </w:rPr>
      </w:pPr>
    </w:p>
    <w:p w14:paraId="1D6DADAD" w14:textId="6F4324C4" w:rsidR="00FC293C" w:rsidRDefault="00FC293C" w:rsidP="00FC293C">
      <w:pPr>
        <w:spacing w:after="0"/>
        <w:jc w:val="center"/>
        <w:rPr>
          <w:rFonts w:ascii="Times New Roman" w:hAnsi="Times New Roman"/>
          <w:b/>
          <w:sz w:val="24"/>
          <w:szCs w:val="24"/>
        </w:rPr>
      </w:pPr>
    </w:p>
    <w:p w14:paraId="13AC8E9B" w14:textId="225028B7" w:rsidR="00FC293C" w:rsidRDefault="00FC293C" w:rsidP="00FC293C">
      <w:pPr>
        <w:spacing w:after="0"/>
        <w:jc w:val="center"/>
        <w:rPr>
          <w:rFonts w:ascii="Times New Roman" w:hAnsi="Times New Roman"/>
          <w:b/>
          <w:sz w:val="24"/>
          <w:szCs w:val="24"/>
        </w:rPr>
      </w:pPr>
    </w:p>
    <w:p w14:paraId="5DE79218" w14:textId="54670D38" w:rsidR="00FC293C" w:rsidRDefault="00FC293C" w:rsidP="00FC293C">
      <w:pPr>
        <w:spacing w:after="0"/>
        <w:jc w:val="center"/>
        <w:rPr>
          <w:rFonts w:ascii="Times New Roman" w:hAnsi="Times New Roman"/>
          <w:b/>
          <w:sz w:val="24"/>
          <w:szCs w:val="24"/>
        </w:rPr>
      </w:pPr>
    </w:p>
    <w:p w14:paraId="17DC8EFE" w14:textId="1072FBAF" w:rsidR="00FC293C" w:rsidRDefault="00FC293C" w:rsidP="00FC293C">
      <w:pPr>
        <w:spacing w:after="0"/>
        <w:jc w:val="center"/>
        <w:rPr>
          <w:rFonts w:ascii="Times New Roman" w:hAnsi="Times New Roman"/>
          <w:b/>
          <w:sz w:val="24"/>
          <w:szCs w:val="24"/>
        </w:rPr>
      </w:pPr>
      <w:r>
        <w:rPr>
          <w:noProof/>
        </w:rPr>
        <mc:AlternateContent>
          <mc:Choice Requires="wps">
            <w:drawing>
              <wp:anchor distT="4294967294" distB="4294967294" distL="114300" distR="114300" simplePos="0" relativeHeight="251738112" behindDoc="0" locked="0" layoutInCell="1" allowOverlap="1" wp14:anchorId="356A5B25" wp14:editId="22A45990">
                <wp:simplePos x="0" y="0"/>
                <wp:positionH relativeFrom="column">
                  <wp:posOffset>3164205</wp:posOffset>
                </wp:positionH>
                <wp:positionV relativeFrom="paragraph">
                  <wp:posOffset>70485</wp:posOffset>
                </wp:positionV>
                <wp:extent cx="3474720" cy="0"/>
                <wp:effectExtent l="0" t="0" r="0" b="0"/>
                <wp:wrapNone/>
                <wp:docPr id="2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472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3A8AA6D" id="Straight Connector 8"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9.15pt,5.55pt" to="522.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qn8gEAAEQEAAAOAAAAZHJzL2Uyb0RvYy54bWysU8Fu3CAQvVfqPyDuXXu3aZNa681ho/SS&#10;tqts+wEsBhsFGARk7f37DnjtJmlVqVUuCJh5b+Y9hvX1YDQ5Ch8U2JouFyUlwnJolG1r+uP77bsr&#10;SkJktmEarKjpSQR6vXn7Zt27SqygA90IT5DEhqp3Ne1idFVRBN4Jw8ICnLAYlOANi3j0bdF41iO7&#10;0cWqLD8WPfjGeeAiBLy9GYN0k/mlFDx+kzKISHRNsbeYV5/XQ1qLzZpVrWeuU/zcBvuPLgxTFovO&#10;VDcsMvLo1W9URnEPAWRccDAFSKm4yBpQzbJ8oWbfMSeyFjQnuNmm8Hq0/Otx54lqarrCl7LM4Bvt&#10;o2eq7SLZgrXoIHhylYzqXagwf2t3Pknlg927O+APAWPFs2A6BDemDdKblI5ayZCNP83GiyESjpfv&#10;Ly4vLlf4PnyKFayagM6H+FmAIWlTU61s8oRV7HgXYirNqiklXWub1gBaNbdK63xI0yS22pMjwzk4&#10;tMtMoB/NF2jGu08fyjJPA7Ll4UvpmfsJE8YSe9Y6ystC40mLsfK9kOglChoLzERjDca5sHGZrMxM&#10;mJ1gErucgWXu7K/Ac36Cijzh/wKeEbky2DiDjbLg/1Q9DlPLcsyfHBh1JwsO0Jx2fhoDHNWs8Pyt&#10;0l94es7wX59/8xMAAP//AwBQSwMEFAAGAAgAAAAhADqDNWbfAAAACgEAAA8AAABkcnMvZG93bnJl&#10;di54bWxMj1FLwzAQx98Fv0M4wRdxaXWVWZsOERyyJ1fHwLesOZticylJumXf3gwf9PHu/+d3v6uW&#10;0QzsgM73lgTkswwYUmtVT52A7cfr7QKYD5KUHCyhgBN6WNaXF5UslT3SBg9N6FiCkC+lAB3CWHLu&#10;W41G+pkdkVL2ZZ2RIY2u48rJY4Kbgd9l2QM3sqd0QcsRXzS2381kBMxjM63fV6Ndfbr1Lha4uTm9&#10;aSGur+LzE7CAMfyV4ayf1KFOTns7kfJsSIzHxX2qpiDPgZ0L2bwogO1/N7yu+P8X6h8AAAD//wMA&#10;UEsBAi0AFAAGAAgAAAAhALaDOJL+AAAA4QEAABMAAAAAAAAAAAAAAAAAAAAAAFtDb250ZW50X1R5&#10;cGVzXS54bWxQSwECLQAUAAYACAAAACEAOP0h/9YAAACUAQAACwAAAAAAAAAAAAAAAAAvAQAAX3Jl&#10;bHMvLnJlbHNQSwECLQAUAAYACAAAACEAwkH6p/IBAABEBAAADgAAAAAAAAAAAAAAAAAuAgAAZHJz&#10;L2Uyb0RvYy54bWxQSwECLQAUAAYACAAAACEAOoM1Zt8AAAAKAQAADwAAAAAAAAAAAAAAAABMBAAA&#10;ZHJzL2Rvd25yZXYueG1sUEsFBgAAAAAEAAQA8wAAAFgFAAAAAA==&#10;" strokecolor="#f2f2f2 [3052]" strokeweight=".5pt">
                <v:stroke joinstyle="miter"/>
                <o:lock v:ext="edit" shapetype="f"/>
              </v:line>
            </w:pict>
          </mc:Fallback>
        </mc:AlternateContent>
      </w:r>
    </w:p>
    <w:p w14:paraId="03666BD0" w14:textId="77777777" w:rsidR="00FC293C" w:rsidRDefault="00FC293C" w:rsidP="00FC293C">
      <w:pPr>
        <w:spacing w:after="0"/>
        <w:jc w:val="center"/>
        <w:rPr>
          <w:rFonts w:ascii="Times New Roman" w:hAnsi="Times New Roman"/>
          <w:b/>
          <w:sz w:val="24"/>
          <w:szCs w:val="24"/>
        </w:rPr>
      </w:pPr>
    </w:p>
    <w:p w14:paraId="0B42AD42" w14:textId="77777777" w:rsidR="00FC293C" w:rsidRDefault="00FC293C" w:rsidP="00FC293C">
      <w:pPr>
        <w:spacing w:after="0"/>
        <w:jc w:val="center"/>
        <w:rPr>
          <w:rFonts w:ascii="Times New Roman" w:hAnsi="Times New Roman"/>
          <w:b/>
          <w:sz w:val="24"/>
          <w:szCs w:val="24"/>
        </w:rPr>
      </w:pPr>
    </w:p>
    <w:p w14:paraId="17FD7447" w14:textId="77777777" w:rsidR="00FC293C" w:rsidRDefault="00FC293C" w:rsidP="00FC293C">
      <w:pPr>
        <w:spacing w:after="0"/>
        <w:jc w:val="center"/>
        <w:rPr>
          <w:rFonts w:ascii="Times New Roman" w:hAnsi="Times New Roman"/>
          <w:b/>
          <w:sz w:val="24"/>
          <w:szCs w:val="24"/>
        </w:rPr>
      </w:pPr>
    </w:p>
    <w:p w14:paraId="71627D37" w14:textId="77777777" w:rsidR="00FC293C" w:rsidRDefault="00FC293C" w:rsidP="00FC293C">
      <w:pPr>
        <w:spacing w:after="0"/>
        <w:jc w:val="center"/>
        <w:rPr>
          <w:rFonts w:ascii="Times New Roman" w:hAnsi="Times New Roman"/>
          <w:b/>
          <w:sz w:val="24"/>
          <w:szCs w:val="24"/>
        </w:rPr>
      </w:pPr>
    </w:p>
    <w:p w14:paraId="6A6A9460" w14:textId="77777777" w:rsidR="00FC293C" w:rsidRDefault="00FC293C" w:rsidP="00FC293C">
      <w:pPr>
        <w:spacing w:after="0"/>
        <w:jc w:val="center"/>
        <w:rPr>
          <w:rFonts w:ascii="Times New Roman" w:hAnsi="Times New Roman"/>
          <w:b/>
          <w:sz w:val="24"/>
          <w:szCs w:val="24"/>
        </w:rPr>
      </w:pPr>
    </w:p>
    <w:p w14:paraId="15CB0836" w14:textId="77777777" w:rsidR="00FC293C" w:rsidRDefault="00FC293C" w:rsidP="00FC293C">
      <w:pPr>
        <w:spacing w:after="0"/>
        <w:jc w:val="center"/>
        <w:rPr>
          <w:rFonts w:ascii="Times New Roman" w:hAnsi="Times New Roman"/>
          <w:b/>
          <w:sz w:val="24"/>
          <w:szCs w:val="24"/>
        </w:rPr>
      </w:pPr>
    </w:p>
    <w:p w14:paraId="2906B139" w14:textId="77777777" w:rsidR="00FC293C" w:rsidRDefault="00FC293C" w:rsidP="00FC293C">
      <w:pPr>
        <w:spacing w:after="0"/>
        <w:jc w:val="center"/>
        <w:rPr>
          <w:rFonts w:ascii="Times New Roman" w:hAnsi="Times New Roman"/>
          <w:b/>
          <w:sz w:val="24"/>
          <w:szCs w:val="24"/>
        </w:rPr>
      </w:pPr>
    </w:p>
    <w:p w14:paraId="00C994A1" w14:textId="77777777" w:rsidR="00FC293C" w:rsidRDefault="00FC293C" w:rsidP="00FC293C">
      <w:pPr>
        <w:spacing w:after="0"/>
        <w:jc w:val="center"/>
        <w:rPr>
          <w:rFonts w:ascii="Times New Roman" w:hAnsi="Times New Roman"/>
          <w:b/>
          <w:sz w:val="24"/>
          <w:szCs w:val="24"/>
        </w:rPr>
      </w:pPr>
    </w:p>
    <w:p w14:paraId="50578B73" w14:textId="77777777" w:rsidR="00FC293C" w:rsidRDefault="00FC293C" w:rsidP="00FC293C">
      <w:pPr>
        <w:spacing w:after="0"/>
        <w:jc w:val="center"/>
        <w:rPr>
          <w:rFonts w:ascii="Times New Roman" w:hAnsi="Times New Roman"/>
          <w:b/>
          <w:sz w:val="24"/>
          <w:szCs w:val="24"/>
        </w:rPr>
      </w:pPr>
    </w:p>
    <w:p w14:paraId="498DA600" w14:textId="77777777" w:rsidR="00FC293C" w:rsidRDefault="00FC293C" w:rsidP="00FC293C">
      <w:pPr>
        <w:spacing w:after="0"/>
        <w:jc w:val="center"/>
        <w:rPr>
          <w:rFonts w:ascii="Times New Roman" w:hAnsi="Times New Roman"/>
          <w:b/>
          <w:sz w:val="24"/>
          <w:szCs w:val="24"/>
        </w:rPr>
      </w:pPr>
    </w:p>
    <w:p w14:paraId="5A263088" w14:textId="47FBC278" w:rsidR="00FC293C" w:rsidRDefault="001D3299" w:rsidP="00FC293C">
      <w:pPr>
        <w:spacing w:after="0"/>
        <w:jc w:val="center"/>
        <w:rPr>
          <w:rFonts w:ascii="Times New Roman" w:hAnsi="Times New Roman"/>
          <w:b/>
          <w:sz w:val="24"/>
          <w:szCs w:val="24"/>
        </w:rPr>
      </w:pPr>
      <w:r>
        <w:rPr>
          <w:noProof/>
        </w:rPr>
        <mc:AlternateContent>
          <mc:Choice Requires="wps">
            <w:drawing>
              <wp:anchor distT="0" distB="0" distL="114300" distR="114300" simplePos="0" relativeHeight="251744256" behindDoc="0" locked="0" layoutInCell="1" allowOverlap="1" wp14:anchorId="165CADDD" wp14:editId="2B7A1CFA">
                <wp:simplePos x="0" y="0"/>
                <wp:positionH relativeFrom="column">
                  <wp:posOffset>2368550</wp:posOffset>
                </wp:positionH>
                <wp:positionV relativeFrom="paragraph">
                  <wp:posOffset>84455</wp:posOffset>
                </wp:positionV>
                <wp:extent cx="3901440" cy="2865120"/>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1440" cy="2865120"/>
                        </a:xfrm>
                        <a:prstGeom prst="rect">
                          <a:avLst/>
                        </a:prstGeom>
                        <a:noFill/>
                        <a:ln w="6350">
                          <a:noFill/>
                        </a:ln>
                      </wps:spPr>
                      <wps:txbx>
                        <w:txbxContent>
                          <w:p w14:paraId="25D6E412" w14:textId="6323D747" w:rsidR="00540656" w:rsidRPr="00FC293C" w:rsidRDefault="00540656" w:rsidP="00FC293C">
                            <w:pPr>
                              <w:tabs>
                                <w:tab w:val="left" w:pos="3420"/>
                              </w:tabs>
                              <w:contextualSpacing/>
                              <w:jc w:val="right"/>
                              <w:rPr>
                                <w:rFonts w:ascii="Times New Roman" w:hAnsi="Times New Roman"/>
                                <w:b/>
                                <w:color w:val="FFFFFF" w:themeColor="background1"/>
                                <w:sz w:val="56"/>
                                <w:szCs w:val="48"/>
                              </w:rPr>
                            </w:pPr>
                            <w:r w:rsidRPr="00FC293C">
                              <w:rPr>
                                <w:rFonts w:ascii="Times New Roman" w:hAnsi="Times New Roman"/>
                                <w:color w:val="FFFFFF" w:themeColor="background1"/>
                                <w:sz w:val="40"/>
                                <w:szCs w:val="40"/>
                              </w:rPr>
                              <w:t>Тирасполь, 2022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65CADDD" id="Text Box 15" o:spid="_x0000_s1029" type="#_x0000_t202" style="position:absolute;left:0;text-align:left;margin-left:186.5pt;margin-top:6.65pt;width:307.2pt;height:225.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mOwIAAHQEAAAOAAAAZHJzL2Uyb0RvYy54bWysVF1v2yAUfZ+0/4B4X2zna60Vp8paZZoU&#10;tZWSqc8EQ2zNcBmQ2N2v3wXHadTtadoLBu7hfpxzrxd3nWrISVhXgy5oNkopEZpDWetDQb/v1p9u&#10;KHGe6ZI1oEVBX4Wjd8uPHxatycUYKmhKYQk60S5vTUEr702eJI5XQjE3AiM0GiVYxTwe7SEpLWvR&#10;u2qScZrOkxZsaSxw4RzePvRGuoz+pRTcP0nphCdNQTE3H1cb131Yk+WC5QfLTFXzcxrsH7JQrNYY&#10;9OLqgXlGjrb+w5WquQUH0o84qASkrLmINWA1Wfqumm3FjIi1IDnOXGhy/88tfzw9W1KXBR1PKNFM&#10;oUY70XnyBTqSzQI/rXE5wrYGgb7De9Q51urMBvgPh5DkCtM/cIgOfHTSqvDFSgk+RAleL7SHMBwv&#10;J7dpNp2iiaNtfDOfZeMoTPL23FjnvwpQJGwKalHXmAI7bZwPCbB8gIRoGtZ100RtG03ags4nszQ+&#10;uFjwRaPPmffJhhp8t+8iG5Oh8j2Ur1i4hb51nOHrGnPYMOefmcVewbyx//0TLrIBjAXnHSUV2F9/&#10;uw94lBCtlLTYewV1P4/MCkqabxrFve3p8PEwnX1GOoi9tuyvLfqo7gHbO8NJMzxuA943w1ZaUC84&#10;JqsQFU1Mc4xdUD9s730/EThmXKxWEYTtaZjf6K3hg96B4V33wqw5y+BRwUcYupTl79Tosb0eq6MH&#10;WUepAs89q2f6sbWjgucxDLNzfY6ot5/F8jcAAAD//wMAUEsDBBQABgAIAAAAIQBWzW+64gAAAAoB&#10;AAAPAAAAZHJzL2Rvd25yZXYueG1sTI9BT4NAFITvJv6HzTPxZhcLbRFZmoakMTF6aO3F28K+ApF9&#10;i+y2RX+9z5MeJzOZ+SZfT7YXZxx950jB/SwCgVQ701Gj4PC2vUtB+KDJ6N4RKvhCD+vi+irXmXEX&#10;2uF5HxrBJeQzraANYcik9HWLVvuZG5DYO7rR6sBybKQZ9YXLbS/nUbSUVnfEC60esGyx/tifrILn&#10;cvuqd9Xcpt99+fRy3Ayfh/eFUrc30+YRRMAp/IXhF5/RoWCmyp3IeNEriFcxfwlsxDEIDjykqwRE&#10;pSBZJguQRS7/Xyh+AAAA//8DAFBLAQItABQABgAIAAAAIQC2gziS/gAAAOEBAAATAAAAAAAAAAAA&#10;AAAAAAAAAABbQ29udGVudF9UeXBlc10ueG1sUEsBAi0AFAAGAAgAAAAhADj9If/WAAAAlAEAAAsA&#10;AAAAAAAAAAAAAAAALwEAAF9yZWxzLy5yZWxzUEsBAi0AFAAGAAgAAAAhAFFgP6Y7AgAAdAQAAA4A&#10;AAAAAAAAAAAAAAAALgIAAGRycy9lMm9Eb2MueG1sUEsBAi0AFAAGAAgAAAAhAFbNb7riAAAACgEA&#10;AA8AAAAAAAAAAAAAAAAAlQQAAGRycy9kb3ducmV2LnhtbFBLBQYAAAAABAAEAPMAAACkBQAAAAA=&#10;" filled="f" stroked="f" strokeweight=".5pt">
                <v:textbox>
                  <w:txbxContent>
                    <w:p w14:paraId="25D6E412" w14:textId="6323D747" w:rsidR="00540656" w:rsidRPr="00FC293C" w:rsidRDefault="00540656" w:rsidP="00FC293C">
                      <w:pPr>
                        <w:tabs>
                          <w:tab w:val="left" w:pos="3420"/>
                        </w:tabs>
                        <w:contextualSpacing/>
                        <w:jc w:val="right"/>
                        <w:rPr>
                          <w:rFonts w:ascii="Times New Roman" w:hAnsi="Times New Roman"/>
                          <w:b/>
                          <w:color w:val="FFFFFF" w:themeColor="background1"/>
                          <w:sz w:val="56"/>
                          <w:szCs w:val="48"/>
                        </w:rPr>
                      </w:pPr>
                      <w:r w:rsidRPr="00FC293C">
                        <w:rPr>
                          <w:rFonts w:ascii="Times New Roman" w:hAnsi="Times New Roman"/>
                          <w:color w:val="FFFFFF" w:themeColor="background1"/>
                          <w:sz w:val="40"/>
                          <w:szCs w:val="40"/>
                        </w:rPr>
                        <w:t>Тирасполь, 2022 г.</w:t>
                      </w:r>
                    </w:p>
                  </w:txbxContent>
                </v:textbox>
              </v:shape>
            </w:pict>
          </mc:Fallback>
        </mc:AlternateContent>
      </w:r>
    </w:p>
    <w:p w14:paraId="0620A5C8" w14:textId="77777777" w:rsidR="00FC293C" w:rsidRDefault="00FC293C" w:rsidP="00FC293C">
      <w:pPr>
        <w:spacing w:after="0"/>
        <w:jc w:val="center"/>
        <w:rPr>
          <w:rFonts w:ascii="Times New Roman" w:hAnsi="Times New Roman"/>
          <w:b/>
          <w:sz w:val="24"/>
          <w:szCs w:val="24"/>
        </w:rPr>
      </w:pPr>
    </w:p>
    <w:p w14:paraId="2D848B00" w14:textId="77777777" w:rsidR="00FC293C" w:rsidRDefault="00FC293C" w:rsidP="00FC293C">
      <w:pPr>
        <w:spacing w:after="0"/>
        <w:jc w:val="center"/>
        <w:rPr>
          <w:rFonts w:ascii="Times New Roman" w:hAnsi="Times New Roman"/>
          <w:b/>
          <w:sz w:val="24"/>
          <w:szCs w:val="24"/>
        </w:rPr>
      </w:pPr>
    </w:p>
    <w:p w14:paraId="50D55252" w14:textId="77777777" w:rsidR="00FC293C" w:rsidRDefault="00FC293C" w:rsidP="00FC293C">
      <w:pPr>
        <w:spacing w:after="0"/>
        <w:jc w:val="both"/>
        <w:rPr>
          <w:rFonts w:ascii="Times New Roman" w:hAnsi="Times New Roman"/>
          <w:sz w:val="24"/>
          <w:szCs w:val="24"/>
        </w:rPr>
      </w:pPr>
    </w:p>
    <w:sdt>
      <w:sdtPr>
        <w:rPr>
          <w:rFonts w:ascii="Times New Roman" w:eastAsia="Times New Roman" w:hAnsi="Times New Roman" w:cs="Times New Roman"/>
          <w:b/>
          <w:color w:val="auto"/>
          <w:sz w:val="28"/>
          <w:szCs w:val="28"/>
        </w:rPr>
        <w:id w:val="1973861597"/>
        <w:docPartObj>
          <w:docPartGallery w:val="Table of Contents"/>
          <w:docPartUnique/>
        </w:docPartObj>
      </w:sdtPr>
      <w:sdtEndPr>
        <w:rPr>
          <w:bCs/>
        </w:rPr>
      </w:sdtEndPr>
      <w:sdtContent>
        <w:p w14:paraId="58EAC300" w14:textId="77777777" w:rsidR="00EC2FE3" w:rsidRPr="00375059" w:rsidRDefault="00EC2FE3" w:rsidP="00EC2FE3">
          <w:pPr>
            <w:pStyle w:val="af2"/>
            <w:spacing w:before="0" w:line="240" w:lineRule="auto"/>
            <w:jc w:val="center"/>
            <w:rPr>
              <w:rFonts w:ascii="Times New Roman" w:hAnsi="Times New Roman" w:cs="Times New Roman"/>
              <w:b/>
              <w:color w:val="auto"/>
              <w:sz w:val="28"/>
              <w:szCs w:val="28"/>
            </w:rPr>
          </w:pPr>
          <w:r w:rsidRPr="00375059">
            <w:rPr>
              <w:rFonts w:ascii="Times New Roman" w:hAnsi="Times New Roman" w:cs="Times New Roman"/>
              <w:b/>
              <w:color w:val="auto"/>
              <w:sz w:val="28"/>
              <w:szCs w:val="28"/>
            </w:rPr>
            <w:t>Содержание</w:t>
          </w:r>
        </w:p>
        <w:p w14:paraId="4147C140" w14:textId="77777777" w:rsidR="00EC2FE3" w:rsidRPr="00375059" w:rsidRDefault="00EC2FE3" w:rsidP="00EC2FE3">
          <w:pPr>
            <w:spacing w:after="0" w:line="240" w:lineRule="auto"/>
            <w:rPr>
              <w:rFonts w:ascii="Times New Roman" w:hAnsi="Times New Roman"/>
              <w:b/>
              <w:sz w:val="28"/>
              <w:szCs w:val="28"/>
            </w:rPr>
          </w:pPr>
        </w:p>
        <w:p w14:paraId="458478B7" w14:textId="267D6340" w:rsidR="006833F7" w:rsidRPr="006833F7" w:rsidRDefault="00EC2FE3" w:rsidP="009D686C">
          <w:pPr>
            <w:pStyle w:val="11"/>
            <w:spacing w:after="0"/>
            <w:rPr>
              <w:rFonts w:asciiTheme="minorHAnsi" w:eastAsiaTheme="minorEastAsia" w:hAnsiTheme="minorHAnsi" w:cstheme="minorBidi"/>
              <w:sz w:val="22"/>
              <w:szCs w:val="22"/>
            </w:rPr>
          </w:pPr>
          <w:r w:rsidRPr="00375059">
            <w:rPr>
              <w:bCs/>
            </w:rPr>
            <w:fldChar w:fldCharType="begin"/>
          </w:r>
          <w:r w:rsidRPr="00375059">
            <w:rPr>
              <w:bCs/>
            </w:rPr>
            <w:instrText xml:space="preserve"> TOC \o "1-3" \h \z \u </w:instrText>
          </w:r>
          <w:r w:rsidRPr="00375059">
            <w:rPr>
              <w:bCs/>
            </w:rPr>
            <w:fldChar w:fldCharType="separate"/>
          </w:r>
          <w:hyperlink w:anchor="_Toc101441775" w:history="1">
            <w:r w:rsidR="006833F7" w:rsidRPr="006833F7">
              <w:rPr>
                <w:rStyle w:val="af3"/>
              </w:rPr>
              <w:t>Основные тенденции развития экономики Приднестровской Молдавской Республики в 2021 году</w:t>
            </w:r>
            <w:r w:rsidR="006833F7" w:rsidRPr="006833F7">
              <w:rPr>
                <w:webHidden/>
                <w:color w:val="FFFFFF" w:themeColor="background1"/>
              </w:rPr>
              <w:tab/>
            </w:r>
            <w:r w:rsidR="006833F7" w:rsidRPr="006833F7">
              <w:rPr>
                <w:webHidden/>
              </w:rPr>
              <w:fldChar w:fldCharType="begin"/>
            </w:r>
            <w:r w:rsidR="006833F7" w:rsidRPr="006833F7">
              <w:rPr>
                <w:webHidden/>
              </w:rPr>
              <w:instrText xml:space="preserve"> PAGEREF _Toc101441775 \h </w:instrText>
            </w:r>
            <w:r w:rsidR="006833F7" w:rsidRPr="006833F7">
              <w:rPr>
                <w:webHidden/>
              </w:rPr>
            </w:r>
            <w:r w:rsidR="006833F7" w:rsidRPr="006833F7">
              <w:rPr>
                <w:webHidden/>
              </w:rPr>
              <w:fldChar w:fldCharType="separate"/>
            </w:r>
            <w:r w:rsidR="002B25C9">
              <w:rPr>
                <w:webHidden/>
              </w:rPr>
              <w:t>3</w:t>
            </w:r>
            <w:r w:rsidR="006833F7" w:rsidRPr="006833F7">
              <w:rPr>
                <w:webHidden/>
              </w:rPr>
              <w:fldChar w:fldCharType="end"/>
            </w:r>
          </w:hyperlink>
        </w:p>
        <w:p w14:paraId="0617F088" w14:textId="7669605C" w:rsidR="006833F7" w:rsidRPr="006833F7" w:rsidRDefault="002B25C9" w:rsidP="009D686C">
          <w:pPr>
            <w:pStyle w:val="21"/>
            <w:spacing w:after="160"/>
            <w:rPr>
              <w:rFonts w:asciiTheme="minorHAnsi" w:eastAsiaTheme="minorEastAsia" w:hAnsiTheme="minorHAnsi" w:cstheme="minorBidi"/>
              <w:sz w:val="22"/>
              <w:szCs w:val="22"/>
            </w:rPr>
          </w:pPr>
          <w:hyperlink w:anchor="_Toc101441776" w:history="1">
            <w:r w:rsidR="006833F7" w:rsidRPr="006833F7">
              <w:rPr>
                <w:rStyle w:val="af3"/>
                <w:b w:val="0"/>
              </w:rPr>
              <w:t>Объем и структура ВВП</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_Toc101441776 \h </w:instrText>
            </w:r>
            <w:r w:rsidR="006833F7" w:rsidRPr="001336DB">
              <w:rPr>
                <w:b w:val="0"/>
                <w:webHidden/>
              </w:rPr>
            </w:r>
            <w:r w:rsidR="006833F7" w:rsidRPr="001336DB">
              <w:rPr>
                <w:b w:val="0"/>
                <w:webHidden/>
              </w:rPr>
              <w:fldChar w:fldCharType="separate"/>
            </w:r>
            <w:r>
              <w:rPr>
                <w:b w:val="0"/>
                <w:webHidden/>
              </w:rPr>
              <w:t>3</w:t>
            </w:r>
            <w:r w:rsidR="006833F7" w:rsidRPr="001336DB">
              <w:rPr>
                <w:b w:val="0"/>
                <w:webHidden/>
              </w:rPr>
              <w:fldChar w:fldCharType="end"/>
            </w:r>
          </w:hyperlink>
        </w:p>
        <w:p w14:paraId="5F734208" w14:textId="522712BC" w:rsidR="006833F7" w:rsidRPr="006833F7" w:rsidRDefault="002B25C9" w:rsidP="006833F7">
          <w:pPr>
            <w:pStyle w:val="21"/>
            <w:ind w:firstLine="0"/>
            <w:rPr>
              <w:rFonts w:asciiTheme="minorHAnsi" w:eastAsiaTheme="minorEastAsia" w:hAnsiTheme="minorHAnsi" w:cstheme="minorBidi"/>
              <w:sz w:val="22"/>
              <w:szCs w:val="22"/>
            </w:rPr>
          </w:pPr>
          <w:hyperlink w:anchor="_Toc101441777" w:history="1">
            <w:r w:rsidR="006833F7" w:rsidRPr="006833F7">
              <w:rPr>
                <w:rStyle w:val="af3"/>
              </w:rPr>
              <w:t>Состояние реального сектора экономики</w:t>
            </w:r>
            <w:r w:rsidR="006833F7" w:rsidRPr="006833F7">
              <w:rPr>
                <w:webHidden/>
                <w:color w:val="FFFFFF" w:themeColor="background1"/>
              </w:rPr>
              <w:tab/>
            </w:r>
            <w:r w:rsidR="006833F7" w:rsidRPr="006833F7">
              <w:rPr>
                <w:webHidden/>
              </w:rPr>
              <w:fldChar w:fldCharType="begin"/>
            </w:r>
            <w:r w:rsidR="006833F7" w:rsidRPr="006833F7">
              <w:rPr>
                <w:webHidden/>
              </w:rPr>
              <w:instrText xml:space="preserve"> PAGEREF _Toc101441777 \h </w:instrText>
            </w:r>
            <w:r w:rsidR="006833F7" w:rsidRPr="006833F7">
              <w:rPr>
                <w:webHidden/>
              </w:rPr>
            </w:r>
            <w:r w:rsidR="006833F7" w:rsidRPr="006833F7">
              <w:rPr>
                <w:webHidden/>
              </w:rPr>
              <w:fldChar w:fldCharType="separate"/>
            </w:r>
            <w:r>
              <w:rPr>
                <w:webHidden/>
              </w:rPr>
              <w:t>7</w:t>
            </w:r>
            <w:r w:rsidR="006833F7" w:rsidRPr="006833F7">
              <w:rPr>
                <w:webHidden/>
              </w:rPr>
              <w:fldChar w:fldCharType="end"/>
            </w:r>
          </w:hyperlink>
        </w:p>
        <w:p w14:paraId="63B928B0" w14:textId="5A46D8AF" w:rsidR="006833F7" w:rsidRPr="006833F7" w:rsidRDefault="002B25C9" w:rsidP="006833F7">
          <w:pPr>
            <w:pStyle w:val="21"/>
            <w:rPr>
              <w:rFonts w:asciiTheme="minorHAnsi" w:eastAsiaTheme="minorEastAsia" w:hAnsiTheme="minorHAnsi" w:cstheme="minorBidi"/>
              <w:sz w:val="22"/>
              <w:szCs w:val="22"/>
            </w:rPr>
          </w:pPr>
          <w:hyperlink w:anchor="_Toc101441778" w:history="1">
            <w:r w:rsidR="006833F7" w:rsidRPr="006833F7">
              <w:rPr>
                <w:rStyle w:val="af3"/>
                <w:b w:val="0"/>
              </w:rPr>
              <w:t>Промышленность</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_Toc101441778 \h </w:instrText>
            </w:r>
            <w:r w:rsidR="006833F7" w:rsidRPr="001336DB">
              <w:rPr>
                <w:b w:val="0"/>
                <w:webHidden/>
              </w:rPr>
            </w:r>
            <w:r w:rsidR="006833F7" w:rsidRPr="001336DB">
              <w:rPr>
                <w:b w:val="0"/>
                <w:webHidden/>
              </w:rPr>
              <w:fldChar w:fldCharType="separate"/>
            </w:r>
            <w:r>
              <w:rPr>
                <w:b w:val="0"/>
                <w:webHidden/>
              </w:rPr>
              <w:t>7</w:t>
            </w:r>
            <w:r w:rsidR="006833F7" w:rsidRPr="001336DB">
              <w:rPr>
                <w:b w:val="0"/>
                <w:webHidden/>
              </w:rPr>
              <w:fldChar w:fldCharType="end"/>
            </w:r>
          </w:hyperlink>
        </w:p>
        <w:p w14:paraId="515AC479" w14:textId="1C469289" w:rsidR="006833F7" w:rsidRPr="006833F7" w:rsidRDefault="002B25C9" w:rsidP="006833F7">
          <w:pPr>
            <w:pStyle w:val="21"/>
            <w:rPr>
              <w:rFonts w:asciiTheme="minorHAnsi" w:eastAsiaTheme="minorEastAsia" w:hAnsiTheme="minorHAnsi" w:cstheme="minorBidi"/>
              <w:sz w:val="22"/>
              <w:szCs w:val="22"/>
            </w:rPr>
          </w:pPr>
          <w:hyperlink w:anchor="_Toc101441779" w:history="1">
            <w:r w:rsidR="006833F7" w:rsidRPr="006833F7">
              <w:rPr>
                <w:rStyle w:val="af3"/>
                <w:b w:val="0"/>
              </w:rPr>
              <w:t>Агропромышленный комплекс</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_Toc101441779 \h </w:instrText>
            </w:r>
            <w:r w:rsidR="006833F7" w:rsidRPr="001336DB">
              <w:rPr>
                <w:b w:val="0"/>
                <w:webHidden/>
              </w:rPr>
            </w:r>
            <w:r w:rsidR="006833F7" w:rsidRPr="001336DB">
              <w:rPr>
                <w:b w:val="0"/>
                <w:webHidden/>
              </w:rPr>
              <w:fldChar w:fldCharType="separate"/>
            </w:r>
            <w:r>
              <w:rPr>
                <w:b w:val="0"/>
                <w:webHidden/>
              </w:rPr>
              <w:t>12</w:t>
            </w:r>
            <w:r w:rsidR="006833F7" w:rsidRPr="001336DB">
              <w:rPr>
                <w:b w:val="0"/>
                <w:webHidden/>
              </w:rPr>
              <w:fldChar w:fldCharType="end"/>
            </w:r>
          </w:hyperlink>
        </w:p>
        <w:p w14:paraId="22303C50" w14:textId="22B8358F" w:rsidR="006833F7" w:rsidRPr="006833F7" w:rsidRDefault="002B25C9" w:rsidP="006833F7">
          <w:pPr>
            <w:pStyle w:val="21"/>
            <w:rPr>
              <w:rFonts w:asciiTheme="minorHAnsi" w:eastAsiaTheme="minorEastAsia" w:hAnsiTheme="minorHAnsi" w:cstheme="minorBidi"/>
              <w:sz w:val="22"/>
              <w:szCs w:val="22"/>
            </w:rPr>
          </w:pPr>
          <w:hyperlink w:anchor="_Toc101441780" w:history="1">
            <w:r w:rsidR="006833F7" w:rsidRPr="006833F7">
              <w:rPr>
                <w:rStyle w:val="af3"/>
                <w:b w:val="0"/>
              </w:rPr>
              <w:t>Транспорт</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_Toc101441780 \h </w:instrText>
            </w:r>
            <w:r w:rsidR="006833F7" w:rsidRPr="001336DB">
              <w:rPr>
                <w:b w:val="0"/>
                <w:webHidden/>
              </w:rPr>
            </w:r>
            <w:r w:rsidR="006833F7" w:rsidRPr="001336DB">
              <w:rPr>
                <w:b w:val="0"/>
                <w:webHidden/>
              </w:rPr>
              <w:fldChar w:fldCharType="separate"/>
            </w:r>
            <w:r>
              <w:rPr>
                <w:b w:val="0"/>
                <w:webHidden/>
              </w:rPr>
              <w:t>18</w:t>
            </w:r>
            <w:r w:rsidR="006833F7" w:rsidRPr="001336DB">
              <w:rPr>
                <w:b w:val="0"/>
                <w:webHidden/>
              </w:rPr>
              <w:fldChar w:fldCharType="end"/>
            </w:r>
          </w:hyperlink>
        </w:p>
        <w:p w14:paraId="2F86812F" w14:textId="548D7CDF" w:rsidR="006833F7" w:rsidRPr="006833F7" w:rsidRDefault="002B25C9" w:rsidP="006833F7">
          <w:pPr>
            <w:pStyle w:val="21"/>
            <w:rPr>
              <w:rFonts w:asciiTheme="minorHAnsi" w:eastAsiaTheme="minorEastAsia" w:hAnsiTheme="minorHAnsi" w:cstheme="minorBidi"/>
              <w:sz w:val="22"/>
              <w:szCs w:val="22"/>
            </w:rPr>
          </w:pPr>
          <w:hyperlink w:anchor="_Toc101441781" w:history="1">
            <w:r w:rsidR="006833F7" w:rsidRPr="006833F7">
              <w:rPr>
                <w:rStyle w:val="af3"/>
                <w:b w:val="0"/>
              </w:rPr>
              <w:t>Связь</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_Toc101441781 \h </w:instrText>
            </w:r>
            <w:r w:rsidR="006833F7" w:rsidRPr="001336DB">
              <w:rPr>
                <w:b w:val="0"/>
                <w:webHidden/>
              </w:rPr>
            </w:r>
            <w:r w:rsidR="006833F7" w:rsidRPr="001336DB">
              <w:rPr>
                <w:b w:val="0"/>
                <w:webHidden/>
              </w:rPr>
              <w:fldChar w:fldCharType="separate"/>
            </w:r>
            <w:r>
              <w:rPr>
                <w:b w:val="0"/>
                <w:webHidden/>
              </w:rPr>
              <w:t>22</w:t>
            </w:r>
            <w:r w:rsidR="006833F7" w:rsidRPr="001336DB">
              <w:rPr>
                <w:b w:val="0"/>
                <w:webHidden/>
              </w:rPr>
              <w:fldChar w:fldCharType="end"/>
            </w:r>
          </w:hyperlink>
        </w:p>
        <w:p w14:paraId="5616C3C9" w14:textId="36A4F6A0" w:rsidR="006833F7" w:rsidRPr="006833F7" w:rsidRDefault="002B25C9" w:rsidP="006833F7">
          <w:pPr>
            <w:pStyle w:val="21"/>
            <w:rPr>
              <w:rFonts w:asciiTheme="minorHAnsi" w:eastAsiaTheme="minorEastAsia" w:hAnsiTheme="minorHAnsi" w:cstheme="minorBidi"/>
              <w:sz w:val="22"/>
              <w:szCs w:val="22"/>
            </w:rPr>
          </w:pPr>
          <w:hyperlink w:anchor="_Toc101441782" w:history="1">
            <w:r w:rsidR="006833F7" w:rsidRPr="006833F7">
              <w:rPr>
                <w:rStyle w:val="af3"/>
                <w:b w:val="0"/>
              </w:rPr>
              <w:t>Внешнеэкономическая деятельность</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_Toc101441782 \h </w:instrText>
            </w:r>
            <w:r w:rsidR="006833F7" w:rsidRPr="001336DB">
              <w:rPr>
                <w:b w:val="0"/>
                <w:webHidden/>
              </w:rPr>
            </w:r>
            <w:r w:rsidR="006833F7" w:rsidRPr="001336DB">
              <w:rPr>
                <w:b w:val="0"/>
                <w:webHidden/>
              </w:rPr>
              <w:fldChar w:fldCharType="separate"/>
            </w:r>
            <w:r>
              <w:rPr>
                <w:b w:val="0"/>
                <w:webHidden/>
              </w:rPr>
              <w:t>25</w:t>
            </w:r>
            <w:r w:rsidR="006833F7" w:rsidRPr="001336DB">
              <w:rPr>
                <w:b w:val="0"/>
                <w:webHidden/>
              </w:rPr>
              <w:fldChar w:fldCharType="end"/>
            </w:r>
          </w:hyperlink>
        </w:p>
        <w:p w14:paraId="4261DC72" w14:textId="273902BC" w:rsidR="006833F7" w:rsidRPr="006833F7" w:rsidRDefault="002B25C9" w:rsidP="006833F7">
          <w:pPr>
            <w:pStyle w:val="21"/>
            <w:rPr>
              <w:rFonts w:asciiTheme="minorHAnsi" w:eastAsiaTheme="minorEastAsia" w:hAnsiTheme="minorHAnsi" w:cstheme="minorBidi"/>
              <w:sz w:val="22"/>
              <w:szCs w:val="22"/>
            </w:rPr>
          </w:pPr>
          <w:hyperlink w:anchor="_Toc101441783" w:history="1">
            <w:r w:rsidR="006833F7" w:rsidRPr="006833F7">
              <w:rPr>
                <w:rStyle w:val="af3"/>
                <w:b w:val="0"/>
              </w:rPr>
              <w:t>Инвестиционная деятельность</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_Toc101441783 \h </w:instrText>
            </w:r>
            <w:r w:rsidR="006833F7" w:rsidRPr="001336DB">
              <w:rPr>
                <w:b w:val="0"/>
                <w:webHidden/>
              </w:rPr>
            </w:r>
            <w:r w:rsidR="006833F7" w:rsidRPr="001336DB">
              <w:rPr>
                <w:b w:val="0"/>
                <w:webHidden/>
              </w:rPr>
              <w:fldChar w:fldCharType="separate"/>
            </w:r>
            <w:r>
              <w:rPr>
                <w:b w:val="0"/>
                <w:webHidden/>
              </w:rPr>
              <w:t>33</w:t>
            </w:r>
            <w:r w:rsidR="006833F7" w:rsidRPr="001336DB">
              <w:rPr>
                <w:b w:val="0"/>
                <w:webHidden/>
              </w:rPr>
              <w:fldChar w:fldCharType="end"/>
            </w:r>
          </w:hyperlink>
        </w:p>
        <w:p w14:paraId="3F52E6DE" w14:textId="6F33DABB" w:rsidR="006833F7" w:rsidRPr="006833F7" w:rsidRDefault="002B25C9" w:rsidP="006833F7">
          <w:pPr>
            <w:pStyle w:val="21"/>
            <w:rPr>
              <w:rFonts w:asciiTheme="minorHAnsi" w:eastAsiaTheme="minorEastAsia" w:hAnsiTheme="minorHAnsi" w:cstheme="minorBidi"/>
              <w:sz w:val="22"/>
              <w:szCs w:val="22"/>
            </w:rPr>
          </w:pPr>
          <w:hyperlink w:anchor="_Toc101441784" w:history="1">
            <w:r w:rsidR="006833F7" w:rsidRPr="006833F7">
              <w:rPr>
                <w:rStyle w:val="af3"/>
                <w:b w:val="0"/>
              </w:rPr>
              <w:t>Малое предпринимательство</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_Toc101441784 \h </w:instrText>
            </w:r>
            <w:r w:rsidR="006833F7" w:rsidRPr="001336DB">
              <w:rPr>
                <w:b w:val="0"/>
                <w:webHidden/>
              </w:rPr>
            </w:r>
            <w:r w:rsidR="006833F7" w:rsidRPr="001336DB">
              <w:rPr>
                <w:b w:val="0"/>
                <w:webHidden/>
              </w:rPr>
              <w:fldChar w:fldCharType="separate"/>
            </w:r>
            <w:r>
              <w:rPr>
                <w:b w:val="0"/>
                <w:webHidden/>
              </w:rPr>
              <w:t>37</w:t>
            </w:r>
            <w:r w:rsidR="006833F7" w:rsidRPr="001336DB">
              <w:rPr>
                <w:b w:val="0"/>
                <w:webHidden/>
              </w:rPr>
              <w:fldChar w:fldCharType="end"/>
            </w:r>
          </w:hyperlink>
        </w:p>
        <w:p w14:paraId="58E2CCF6" w14:textId="4B1E4423" w:rsidR="006833F7" w:rsidRPr="006833F7" w:rsidRDefault="002B25C9" w:rsidP="006833F7">
          <w:pPr>
            <w:pStyle w:val="21"/>
            <w:rPr>
              <w:rFonts w:asciiTheme="minorHAnsi" w:eastAsiaTheme="minorEastAsia" w:hAnsiTheme="minorHAnsi" w:cstheme="minorBidi"/>
              <w:sz w:val="22"/>
              <w:szCs w:val="22"/>
            </w:rPr>
          </w:pPr>
          <w:hyperlink w:anchor="_Toc101441786" w:history="1">
            <w:r w:rsidR="006833F7" w:rsidRPr="006833F7">
              <w:rPr>
                <w:rStyle w:val="af3"/>
                <w:b w:val="0"/>
              </w:rPr>
              <w:t>Потребительский рынок</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_Toc101441786 \h </w:instrText>
            </w:r>
            <w:r w:rsidR="006833F7" w:rsidRPr="001336DB">
              <w:rPr>
                <w:b w:val="0"/>
                <w:webHidden/>
              </w:rPr>
            </w:r>
            <w:r w:rsidR="006833F7" w:rsidRPr="001336DB">
              <w:rPr>
                <w:b w:val="0"/>
                <w:webHidden/>
              </w:rPr>
              <w:fldChar w:fldCharType="separate"/>
            </w:r>
            <w:r>
              <w:rPr>
                <w:b w:val="0"/>
                <w:webHidden/>
              </w:rPr>
              <w:t>41</w:t>
            </w:r>
            <w:r w:rsidR="006833F7" w:rsidRPr="001336DB">
              <w:rPr>
                <w:b w:val="0"/>
                <w:webHidden/>
              </w:rPr>
              <w:fldChar w:fldCharType="end"/>
            </w:r>
          </w:hyperlink>
        </w:p>
        <w:p w14:paraId="0FDDDB4D" w14:textId="30250AC9" w:rsidR="006833F7" w:rsidRPr="006833F7" w:rsidRDefault="002B25C9" w:rsidP="009D686C">
          <w:pPr>
            <w:pStyle w:val="21"/>
            <w:spacing w:after="160"/>
            <w:rPr>
              <w:rFonts w:asciiTheme="minorHAnsi" w:eastAsiaTheme="minorEastAsia" w:hAnsiTheme="minorHAnsi" w:cstheme="minorBidi"/>
              <w:sz w:val="22"/>
              <w:szCs w:val="22"/>
            </w:rPr>
          </w:pPr>
          <w:hyperlink w:anchor="_Toc101441787" w:history="1">
            <w:r w:rsidR="006833F7" w:rsidRPr="006833F7">
              <w:rPr>
                <w:rStyle w:val="af3"/>
                <w:b w:val="0"/>
              </w:rPr>
              <w:t>Ценовая и тарифная политика</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_Toc101441787 \h </w:instrText>
            </w:r>
            <w:r w:rsidR="006833F7" w:rsidRPr="001336DB">
              <w:rPr>
                <w:b w:val="0"/>
                <w:webHidden/>
              </w:rPr>
            </w:r>
            <w:r w:rsidR="006833F7" w:rsidRPr="001336DB">
              <w:rPr>
                <w:b w:val="0"/>
                <w:webHidden/>
              </w:rPr>
              <w:fldChar w:fldCharType="separate"/>
            </w:r>
            <w:r>
              <w:rPr>
                <w:b w:val="0"/>
                <w:webHidden/>
              </w:rPr>
              <w:t>46</w:t>
            </w:r>
            <w:r w:rsidR="006833F7" w:rsidRPr="001336DB">
              <w:rPr>
                <w:b w:val="0"/>
                <w:webHidden/>
              </w:rPr>
              <w:fldChar w:fldCharType="end"/>
            </w:r>
          </w:hyperlink>
        </w:p>
        <w:p w14:paraId="4D32DBF5" w14:textId="71F78ACC" w:rsidR="006833F7" w:rsidRPr="006833F7" w:rsidRDefault="002B25C9" w:rsidP="006833F7">
          <w:pPr>
            <w:pStyle w:val="21"/>
            <w:ind w:firstLine="0"/>
            <w:rPr>
              <w:rFonts w:asciiTheme="minorHAnsi" w:eastAsiaTheme="minorEastAsia" w:hAnsiTheme="minorHAnsi" w:cstheme="minorBidi"/>
              <w:sz w:val="22"/>
              <w:szCs w:val="22"/>
            </w:rPr>
          </w:pPr>
          <w:hyperlink w:anchor="_Toc101441788" w:history="1">
            <w:r w:rsidR="006833F7" w:rsidRPr="006833F7">
              <w:rPr>
                <w:rStyle w:val="af3"/>
              </w:rPr>
              <w:t>Состояние социальной сферы</w:t>
            </w:r>
            <w:r w:rsidR="006833F7" w:rsidRPr="006833F7">
              <w:rPr>
                <w:webHidden/>
                <w:color w:val="FFFFFF" w:themeColor="background1"/>
              </w:rPr>
              <w:tab/>
            </w:r>
            <w:r w:rsidR="006833F7" w:rsidRPr="006833F7">
              <w:rPr>
                <w:webHidden/>
              </w:rPr>
              <w:fldChar w:fldCharType="begin"/>
            </w:r>
            <w:r w:rsidR="006833F7" w:rsidRPr="006833F7">
              <w:rPr>
                <w:webHidden/>
              </w:rPr>
              <w:instrText xml:space="preserve"> PAGEREF _Toc101441788 \h </w:instrText>
            </w:r>
            <w:r w:rsidR="006833F7" w:rsidRPr="006833F7">
              <w:rPr>
                <w:webHidden/>
              </w:rPr>
            </w:r>
            <w:r w:rsidR="006833F7" w:rsidRPr="006833F7">
              <w:rPr>
                <w:webHidden/>
              </w:rPr>
              <w:fldChar w:fldCharType="separate"/>
            </w:r>
            <w:r>
              <w:rPr>
                <w:webHidden/>
              </w:rPr>
              <w:t>51</w:t>
            </w:r>
            <w:r w:rsidR="006833F7" w:rsidRPr="006833F7">
              <w:rPr>
                <w:webHidden/>
              </w:rPr>
              <w:fldChar w:fldCharType="end"/>
            </w:r>
          </w:hyperlink>
        </w:p>
        <w:p w14:paraId="332D2EAE" w14:textId="1F38C7E4" w:rsidR="006833F7" w:rsidRPr="006833F7" w:rsidRDefault="002B25C9" w:rsidP="006833F7">
          <w:pPr>
            <w:pStyle w:val="21"/>
            <w:rPr>
              <w:rFonts w:asciiTheme="minorHAnsi" w:eastAsiaTheme="minorEastAsia" w:hAnsiTheme="minorHAnsi" w:cstheme="minorBidi"/>
              <w:sz w:val="22"/>
              <w:szCs w:val="22"/>
            </w:rPr>
          </w:pPr>
          <w:hyperlink w:anchor="_Toc101441789" w:history="1">
            <w:r w:rsidR="006833F7" w:rsidRPr="006833F7">
              <w:rPr>
                <w:rStyle w:val="af3"/>
                <w:b w:val="0"/>
              </w:rPr>
              <w:t>Уровень жизни населения</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_Toc101441789 \h </w:instrText>
            </w:r>
            <w:r w:rsidR="006833F7" w:rsidRPr="001336DB">
              <w:rPr>
                <w:b w:val="0"/>
                <w:webHidden/>
              </w:rPr>
            </w:r>
            <w:r w:rsidR="006833F7" w:rsidRPr="001336DB">
              <w:rPr>
                <w:b w:val="0"/>
                <w:webHidden/>
              </w:rPr>
              <w:fldChar w:fldCharType="separate"/>
            </w:r>
            <w:r>
              <w:rPr>
                <w:b w:val="0"/>
                <w:webHidden/>
              </w:rPr>
              <w:t>51</w:t>
            </w:r>
            <w:r w:rsidR="006833F7" w:rsidRPr="001336DB">
              <w:rPr>
                <w:b w:val="0"/>
                <w:webHidden/>
              </w:rPr>
              <w:fldChar w:fldCharType="end"/>
            </w:r>
          </w:hyperlink>
        </w:p>
        <w:p w14:paraId="67649988" w14:textId="585E7DD3" w:rsidR="006833F7" w:rsidRPr="006833F7" w:rsidRDefault="002B25C9" w:rsidP="009D686C">
          <w:pPr>
            <w:pStyle w:val="21"/>
            <w:spacing w:after="160"/>
            <w:rPr>
              <w:rFonts w:asciiTheme="minorHAnsi" w:eastAsiaTheme="minorEastAsia" w:hAnsiTheme="minorHAnsi" w:cstheme="minorBidi"/>
              <w:sz w:val="22"/>
              <w:szCs w:val="22"/>
            </w:rPr>
          </w:pPr>
          <w:hyperlink w:anchor="_Toc101441790" w:history="1">
            <w:r w:rsidR="006833F7" w:rsidRPr="006833F7">
              <w:rPr>
                <w:rStyle w:val="af3"/>
                <w:b w:val="0"/>
              </w:rPr>
              <w:t>Рынок труда и сфера занятости</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_Toc101441790 \h </w:instrText>
            </w:r>
            <w:r w:rsidR="006833F7" w:rsidRPr="001336DB">
              <w:rPr>
                <w:b w:val="0"/>
                <w:webHidden/>
              </w:rPr>
            </w:r>
            <w:r w:rsidR="006833F7" w:rsidRPr="001336DB">
              <w:rPr>
                <w:b w:val="0"/>
                <w:webHidden/>
              </w:rPr>
              <w:fldChar w:fldCharType="separate"/>
            </w:r>
            <w:r>
              <w:rPr>
                <w:b w:val="0"/>
                <w:webHidden/>
              </w:rPr>
              <w:t>56</w:t>
            </w:r>
            <w:r w:rsidR="006833F7" w:rsidRPr="001336DB">
              <w:rPr>
                <w:b w:val="0"/>
                <w:webHidden/>
              </w:rPr>
              <w:fldChar w:fldCharType="end"/>
            </w:r>
          </w:hyperlink>
        </w:p>
        <w:p w14:paraId="1962EBD2" w14:textId="7DA43884" w:rsidR="006833F7" w:rsidRPr="006833F7" w:rsidRDefault="002B25C9" w:rsidP="006833F7">
          <w:pPr>
            <w:pStyle w:val="21"/>
            <w:ind w:firstLine="0"/>
            <w:rPr>
              <w:rFonts w:asciiTheme="minorHAnsi" w:eastAsiaTheme="minorEastAsia" w:hAnsiTheme="minorHAnsi" w:cstheme="minorBidi"/>
              <w:sz w:val="22"/>
              <w:szCs w:val="22"/>
            </w:rPr>
          </w:pPr>
          <w:hyperlink w:anchor="_Toc101441791" w:history="1">
            <w:r w:rsidR="006833F7" w:rsidRPr="006833F7">
              <w:rPr>
                <w:rStyle w:val="af3"/>
              </w:rPr>
              <w:t>Финансы</w:t>
            </w:r>
            <w:r w:rsidR="006833F7" w:rsidRPr="006833F7">
              <w:rPr>
                <w:webHidden/>
                <w:color w:val="FFFFFF" w:themeColor="background1"/>
              </w:rPr>
              <w:tab/>
            </w:r>
            <w:r w:rsidR="006833F7" w:rsidRPr="006833F7">
              <w:rPr>
                <w:webHidden/>
              </w:rPr>
              <w:fldChar w:fldCharType="begin"/>
            </w:r>
            <w:r w:rsidR="006833F7" w:rsidRPr="006833F7">
              <w:rPr>
                <w:webHidden/>
              </w:rPr>
              <w:instrText xml:space="preserve"> PAGEREF _Toc101441791 \h </w:instrText>
            </w:r>
            <w:r w:rsidR="006833F7" w:rsidRPr="006833F7">
              <w:rPr>
                <w:webHidden/>
              </w:rPr>
            </w:r>
            <w:r w:rsidR="006833F7" w:rsidRPr="006833F7">
              <w:rPr>
                <w:webHidden/>
              </w:rPr>
              <w:fldChar w:fldCharType="separate"/>
            </w:r>
            <w:r>
              <w:rPr>
                <w:webHidden/>
              </w:rPr>
              <w:t>62</w:t>
            </w:r>
            <w:r w:rsidR="006833F7" w:rsidRPr="006833F7">
              <w:rPr>
                <w:webHidden/>
              </w:rPr>
              <w:fldChar w:fldCharType="end"/>
            </w:r>
          </w:hyperlink>
        </w:p>
        <w:p w14:paraId="02FDA2F8" w14:textId="7F9D08B8" w:rsidR="006833F7" w:rsidRPr="006833F7" w:rsidRDefault="002B25C9" w:rsidP="006833F7">
          <w:pPr>
            <w:pStyle w:val="21"/>
            <w:rPr>
              <w:rFonts w:asciiTheme="minorHAnsi" w:eastAsiaTheme="minorEastAsia" w:hAnsiTheme="minorHAnsi" w:cstheme="minorBidi"/>
              <w:sz w:val="22"/>
              <w:szCs w:val="22"/>
            </w:rPr>
          </w:pPr>
          <w:hyperlink w:anchor="_Toc101441792" w:history="1">
            <w:r w:rsidR="006833F7" w:rsidRPr="006833F7">
              <w:rPr>
                <w:rStyle w:val="af3"/>
                <w:b w:val="0"/>
              </w:rPr>
              <w:t>Исполнение консолидированного бюджета</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_Toc101441792 \h </w:instrText>
            </w:r>
            <w:r w:rsidR="006833F7" w:rsidRPr="001336DB">
              <w:rPr>
                <w:b w:val="0"/>
                <w:webHidden/>
              </w:rPr>
            </w:r>
            <w:r w:rsidR="006833F7" w:rsidRPr="001336DB">
              <w:rPr>
                <w:b w:val="0"/>
                <w:webHidden/>
              </w:rPr>
              <w:fldChar w:fldCharType="separate"/>
            </w:r>
            <w:r>
              <w:rPr>
                <w:b w:val="0"/>
                <w:webHidden/>
              </w:rPr>
              <w:t>62</w:t>
            </w:r>
            <w:r w:rsidR="006833F7" w:rsidRPr="001336DB">
              <w:rPr>
                <w:b w:val="0"/>
                <w:webHidden/>
              </w:rPr>
              <w:fldChar w:fldCharType="end"/>
            </w:r>
          </w:hyperlink>
        </w:p>
        <w:p w14:paraId="5761C91A" w14:textId="17E56C47" w:rsidR="006833F7" w:rsidRPr="006833F7" w:rsidRDefault="002B25C9" w:rsidP="009D686C">
          <w:pPr>
            <w:pStyle w:val="21"/>
            <w:spacing w:after="160"/>
            <w:rPr>
              <w:rFonts w:asciiTheme="minorHAnsi" w:eastAsiaTheme="minorEastAsia" w:hAnsiTheme="minorHAnsi" w:cstheme="minorBidi"/>
              <w:sz w:val="22"/>
              <w:szCs w:val="22"/>
            </w:rPr>
          </w:pPr>
          <w:hyperlink w:anchor="_Toc101441793" w:history="1">
            <w:r w:rsidR="006833F7" w:rsidRPr="006833F7">
              <w:rPr>
                <w:rStyle w:val="af3"/>
                <w:b w:val="0"/>
              </w:rPr>
              <w:t>Денежно-кредитная политика</w:t>
            </w:r>
            <w:r w:rsidR="006833F7" w:rsidRPr="006833F7">
              <w:rPr>
                <w:webHidden/>
                <w:color w:val="FFFFFF" w:themeColor="background1"/>
              </w:rPr>
              <w:tab/>
            </w:r>
            <w:r w:rsidR="006833F7" w:rsidRPr="001336DB">
              <w:rPr>
                <w:b w:val="0"/>
                <w:webHidden/>
              </w:rPr>
              <w:fldChar w:fldCharType="begin"/>
            </w:r>
            <w:r w:rsidR="006833F7" w:rsidRPr="001336DB">
              <w:rPr>
                <w:b w:val="0"/>
                <w:webHidden/>
              </w:rPr>
              <w:instrText xml:space="preserve"> PAGEREF _Toc101441793 \h </w:instrText>
            </w:r>
            <w:r w:rsidR="006833F7" w:rsidRPr="001336DB">
              <w:rPr>
                <w:b w:val="0"/>
                <w:webHidden/>
              </w:rPr>
            </w:r>
            <w:r w:rsidR="006833F7" w:rsidRPr="001336DB">
              <w:rPr>
                <w:b w:val="0"/>
                <w:webHidden/>
              </w:rPr>
              <w:fldChar w:fldCharType="separate"/>
            </w:r>
            <w:r>
              <w:rPr>
                <w:b w:val="0"/>
                <w:webHidden/>
              </w:rPr>
              <w:t>66</w:t>
            </w:r>
            <w:r w:rsidR="006833F7" w:rsidRPr="001336DB">
              <w:rPr>
                <w:b w:val="0"/>
                <w:webHidden/>
              </w:rPr>
              <w:fldChar w:fldCharType="end"/>
            </w:r>
          </w:hyperlink>
        </w:p>
        <w:p w14:paraId="5D6CCF73" w14:textId="24CC080A" w:rsidR="006833F7" w:rsidRPr="006833F7" w:rsidRDefault="002B25C9" w:rsidP="009D686C">
          <w:pPr>
            <w:pStyle w:val="21"/>
            <w:spacing w:after="160"/>
            <w:ind w:firstLine="0"/>
            <w:rPr>
              <w:rFonts w:asciiTheme="minorHAnsi" w:eastAsiaTheme="minorEastAsia" w:hAnsiTheme="minorHAnsi" w:cstheme="minorBidi"/>
              <w:sz w:val="22"/>
              <w:szCs w:val="22"/>
            </w:rPr>
          </w:pPr>
          <w:hyperlink w:anchor="_Toc101441794" w:history="1">
            <w:r w:rsidR="006833F7" w:rsidRPr="006833F7">
              <w:rPr>
                <w:rStyle w:val="af3"/>
              </w:rPr>
              <w:t>Экология</w:t>
            </w:r>
            <w:r w:rsidR="006833F7" w:rsidRPr="006833F7">
              <w:rPr>
                <w:webHidden/>
                <w:color w:val="FFFFFF" w:themeColor="background1"/>
              </w:rPr>
              <w:tab/>
            </w:r>
            <w:r w:rsidR="006833F7" w:rsidRPr="006833F7">
              <w:rPr>
                <w:webHidden/>
              </w:rPr>
              <w:fldChar w:fldCharType="begin"/>
            </w:r>
            <w:r w:rsidR="006833F7" w:rsidRPr="006833F7">
              <w:rPr>
                <w:webHidden/>
              </w:rPr>
              <w:instrText xml:space="preserve"> PAGEREF _Toc101441794 \h </w:instrText>
            </w:r>
            <w:r w:rsidR="006833F7" w:rsidRPr="006833F7">
              <w:rPr>
                <w:webHidden/>
              </w:rPr>
            </w:r>
            <w:r w:rsidR="006833F7" w:rsidRPr="006833F7">
              <w:rPr>
                <w:webHidden/>
              </w:rPr>
              <w:fldChar w:fldCharType="separate"/>
            </w:r>
            <w:r>
              <w:rPr>
                <w:webHidden/>
              </w:rPr>
              <w:t>73</w:t>
            </w:r>
            <w:r w:rsidR="006833F7" w:rsidRPr="006833F7">
              <w:rPr>
                <w:webHidden/>
              </w:rPr>
              <w:fldChar w:fldCharType="end"/>
            </w:r>
          </w:hyperlink>
        </w:p>
        <w:p w14:paraId="325F59ED" w14:textId="08F43233" w:rsidR="006833F7" w:rsidRPr="006833F7" w:rsidRDefault="002B25C9" w:rsidP="009D686C">
          <w:pPr>
            <w:pStyle w:val="21"/>
            <w:spacing w:after="160"/>
            <w:ind w:firstLine="0"/>
            <w:rPr>
              <w:rFonts w:asciiTheme="minorHAnsi" w:eastAsiaTheme="minorEastAsia" w:hAnsiTheme="minorHAnsi" w:cstheme="minorBidi"/>
              <w:sz w:val="22"/>
              <w:szCs w:val="22"/>
            </w:rPr>
          </w:pPr>
          <w:hyperlink w:anchor="_Toc101441795" w:history="1">
            <w:r w:rsidR="006833F7" w:rsidRPr="001336DB">
              <w:rPr>
                <w:rStyle w:val="af3"/>
              </w:rPr>
              <w:t>Приложение 1</w:t>
            </w:r>
            <w:r w:rsidR="001336DB" w:rsidRPr="001336DB">
              <w:rPr>
                <w:rStyle w:val="af3"/>
              </w:rPr>
              <w:t>. Основные макроэкономические показатели</w:t>
            </w:r>
            <w:r w:rsidR="001336DB">
              <w:rPr>
                <w:rStyle w:val="af3"/>
              </w:rPr>
              <w:t xml:space="preserve"> </w:t>
            </w:r>
            <w:r w:rsidR="006833F7" w:rsidRPr="001336DB">
              <w:rPr>
                <w:rStyle w:val="af3"/>
                <w:webHidden/>
                <w:color w:val="FFFFFF" w:themeColor="background1"/>
              </w:rPr>
              <w:tab/>
            </w:r>
            <w:r w:rsidR="006833F7" w:rsidRPr="001336DB">
              <w:rPr>
                <w:rStyle w:val="af3"/>
                <w:webHidden/>
              </w:rPr>
              <w:fldChar w:fldCharType="begin"/>
            </w:r>
            <w:r w:rsidR="006833F7" w:rsidRPr="001336DB">
              <w:rPr>
                <w:rStyle w:val="af3"/>
                <w:webHidden/>
              </w:rPr>
              <w:instrText xml:space="preserve"> PAGEREF _Toc101441795 \h </w:instrText>
            </w:r>
            <w:r w:rsidR="006833F7" w:rsidRPr="001336DB">
              <w:rPr>
                <w:rStyle w:val="af3"/>
                <w:webHidden/>
              </w:rPr>
            </w:r>
            <w:r w:rsidR="006833F7" w:rsidRPr="001336DB">
              <w:rPr>
                <w:rStyle w:val="af3"/>
                <w:webHidden/>
              </w:rPr>
              <w:fldChar w:fldCharType="separate"/>
            </w:r>
            <w:r>
              <w:rPr>
                <w:rStyle w:val="af3"/>
                <w:webHidden/>
              </w:rPr>
              <w:t>77</w:t>
            </w:r>
            <w:r w:rsidR="006833F7" w:rsidRPr="001336DB">
              <w:rPr>
                <w:rStyle w:val="af3"/>
                <w:webHidden/>
              </w:rPr>
              <w:fldChar w:fldCharType="end"/>
            </w:r>
          </w:hyperlink>
        </w:p>
        <w:p w14:paraId="0F09A933" w14:textId="17BE342A" w:rsidR="006833F7" w:rsidRPr="006833F7" w:rsidRDefault="002B25C9" w:rsidP="009D686C">
          <w:pPr>
            <w:pStyle w:val="21"/>
            <w:spacing w:after="160"/>
            <w:ind w:firstLine="0"/>
            <w:jc w:val="both"/>
            <w:rPr>
              <w:rFonts w:asciiTheme="minorHAnsi" w:eastAsiaTheme="minorEastAsia" w:hAnsiTheme="minorHAnsi" w:cstheme="minorBidi"/>
              <w:sz w:val="22"/>
              <w:szCs w:val="22"/>
            </w:rPr>
          </w:pPr>
          <w:hyperlink w:anchor="_Toc101441796" w:history="1">
            <w:r w:rsidR="006833F7" w:rsidRPr="001336DB">
              <w:rPr>
                <w:rStyle w:val="af3"/>
              </w:rPr>
              <w:t>Приложение 2</w:t>
            </w:r>
            <w:r w:rsidR="001336DB" w:rsidRPr="001336DB">
              <w:rPr>
                <w:rStyle w:val="af3"/>
              </w:rPr>
              <w:t xml:space="preserve">. Динамика производства и реализации продукции </w:t>
            </w:r>
            <w:r w:rsidR="001336DB" w:rsidRPr="001336DB">
              <w:rPr>
                <w:rStyle w:val="af3"/>
              </w:rPr>
              <w:br/>
              <w:t xml:space="preserve">по отраслям промышленности по крупным и средним предприятиям </w:t>
            </w:r>
            <w:r w:rsidR="001336DB" w:rsidRPr="001336DB">
              <w:rPr>
                <w:rStyle w:val="af3"/>
              </w:rPr>
              <w:br/>
              <w:t>в 2021 году</w:t>
            </w:r>
            <w:r w:rsidR="001336DB">
              <w:rPr>
                <w:rStyle w:val="af3"/>
              </w:rPr>
              <w:t xml:space="preserve"> </w:t>
            </w:r>
            <w:r w:rsidR="006833F7" w:rsidRPr="001336DB">
              <w:rPr>
                <w:rStyle w:val="af3"/>
                <w:webHidden/>
                <w:color w:val="FFFFFF" w:themeColor="background1"/>
              </w:rPr>
              <w:tab/>
            </w:r>
            <w:r w:rsidR="006833F7" w:rsidRPr="001336DB">
              <w:rPr>
                <w:rStyle w:val="af3"/>
                <w:webHidden/>
              </w:rPr>
              <w:fldChar w:fldCharType="begin"/>
            </w:r>
            <w:r w:rsidR="006833F7" w:rsidRPr="001336DB">
              <w:rPr>
                <w:rStyle w:val="af3"/>
                <w:webHidden/>
              </w:rPr>
              <w:instrText xml:space="preserve"> PAGEREF _Toc101441796 \h </w:instrText>
            </w:r>
            <w:r w:rsidR="006833F7" w:rsidRPr="001336DB">
              <w:rPr>
                <w:rStyle w:val="af3"/>
                <w:webHidden/>
              </w:rPr>
            </w:r>
            <w:r w:rsidR="006833F7" w:rsidRPr="001336DB">
              <w:rPr>
                <w:rStyle w:val="af3"/>
                <w:webHidden/>
              </w:rPr>
              <w:fldChar w:fldCharType="separate"/>
            </w:r>
            <w:r>
              <w:rPr>
                <w:rStyle w:val="af3"/>
                <w:webHidden/>
              </w:rPr>
              <w:t>78</w:t>
            </w:r>
            <w:r w:rsidR="006833F7" w:rsidRPr="001336DB">
              <w:rPr>
                <w:rStyle w:val="af3"/>
                <w:webHidden/>
              </w:rPr>
              <w:fldChar w:fldCharType="end"/>
            </w:r>
          </w:hyperlink>
        </w:p>
        <w:p w14:paraId="00ACC3AD" w14:textId="207DEC76" w:rsidR="006833F7" w:rsidRDefault="002B25C9" w:rsidP="00004505">
          <w:pPr>
            <w:pStyle w:val="21"/>
            <w:ind w:firstLine="0"/>
            <w:jc w:val="both"/>
            <w:rPr>
              <w:rFonts w:asciiTheme="minorHAnsi" w:eastAsiaTheme="minorEastAsia" w:hAnsiTheme="minorHAnsi" w:cstheme="minorBidi"/>
              <w:sz w:val="22"/>
              <w:szCs w:val="22"/>
            </w:rPr>
          </w:pPr>
          <w:hyperlink w:anchor="_Toc101441797" w:history="1">
            <w:r w:rsidR="006833F7" w:rsidRPr="001336DB">
              <w:rPr>
                <w:rStyle w:val="af3"/>
              </w:rPr>
              <w:t>Приложение 3</w:t>
            </w:r>
            <w:r w:rsidR="001336DB" w:rsidRPr="001336DB">
              <w:rPr>
                <w:rStyle w:val="af3"/>
              </w:rPr>
              <w:t>. Основные показатели развития малого предпринимательства</w:t>
            </w:r>
            <w:r w:rsidR="006833F7" w:rsidRPr="001336DB">
              <w:rPr>
                <w:rStyle w:val="af3"/>
                <w:webHidden/>
                <w:color w:val="FFFFFF" w:themeColor="background1"/>
              </w:rPr>
              <w:tab/>
            </w:r>
            <w:r w:rsidR="006833F7" w:rsidRPr="001336DB">
              <w:rPr>
                <w:rStyle w:val="af3"/>
                <w:webHidden/>
              </w:rPr>
              <w:fldChar w:fldCharType="begin"/>
            </w:r>
            <w:r w:rsidR="006833F7" w:rsidRPr="001336DB">
              <w:rPr>
                <w:rStyle w:val="af3"/>
                <w:webHidden/>
              </w:rPr>
              <w:instrText xml:space="preserve"> PAGEREF _Toc101441797 \h </w:instrText>
            </w:r>
            <w:r w:rsidR="006833F7" w:rsidRPr="001336DB">
              <w:rPr>
                <w:rStyle w:val="af3"/>
                <w:webHidden/>
              </w:rPr>
            </w:r>
            <w:r w:rsidR="006833F7" w:rsidRPr="001336DB">
              <w:rPr>
                <w:rStyle w:val="af3"/>
                <w:webHidden/>
              </w:rPr>
              <w:fldChar w:fldCharType="separate"/>
            </w:r>
            <w:r>
              <w:rPr>
                <w:rStyle w:val="af3"/>
                <w:webHidden/>
              </w:rPr>
              <w:t>79</w:t>
            </w:r>
            <w:r w:rsidR="006833F7" w:rsidRPr="001336DB">
              <w:rPr>
                <w:rStyle w:val="af3"/>
                <w:webHidden/>
              </w:rPr>
              <w:fldChar w:fldCharType="end"/>
            </w:r>
          </w:hyperlink>
        </w:p>
        <w:p w14:paraId="7EF2F84B" w14:textId="052DB4F9" w:rsidR="00EC2FE3" w:rsidRPr="00375059" w:rsidRDefault="00EC2FE3" w:rsidP="00EC2FE3">
          <w:pPr>
            <w:spacing w:after="0" w:line="240" w:lineRule="auto"/>
            <w:rPr>
              <w:rFonts w:ascii="Times New Roman" w:hAnsi="Times New Roman"/>
              <w:b/>
              <w:sz w:val="28"/>
              <w:szCs w:val="28"/>
            </w:rPr>
          </w:pPr>
          <w:r w:rsidRPr="00375059">
            <w:rPr>
              <w:rFonts w:ascii="Times New Roman" w:hAnsi="Times New Roman"/>
              <w:bCs/>
              <w:sz w:val="28"/>
              <w:szCs w:val="28"/>
            </w:rPr>
            <w:fldChar w:fldCharType="end"/>
          </w:r>
        </w:p>
      </w:sdtContent>
    </w:sdt>
    <w:p w14:paraId="4A2C60FD" w14:textId="77777777" w:rsidR="00EC2FE3" w:rsidRPr="00375059" w:rsidRDefault="00EC2FE3" w:rsidP="00EC2FE3">
      <w:pPr>
        <w:rPr>
          <w:rFonts w:ascii="Times New Roman" w:hAnsi="Times New Roman"/>
        </w:rPr>
      </w:pPr>
    </w:p>
    <w:p w14:paraId="23919A9C" w14:textId="77777777" w:rsidR="00EC2FE3" w:rsidRPr="00375059" w:rsidRDefault="00EC2FE3" w:rsidP="00EC2FE3">
      <w:pPr>
        <w:rPr>
          <w:rFonts w:ascii="Times New Roman" w:hAnsi="Times New Roman"/>
        </w:rPr>
      </w:pPr>
    </w:p>
    <w:p w14:paraId="23E51E34" w14:textId="77777777" w:rsidR="00EC2FE3" w:rsidRPr="00375059" w:rsidRDefault="00EC2FE3" w:rsidP="00EC2FE3">
      <w:pPr>
        <w:rPr>
          <w:rFonts w:ascii="Times New Roman" w:hAnsi="Times New Roman"/>
        </w:rPr>
      </w:pPr>
    </w:p>
    <w:p w14:paraId="26820575" w14:textId="77777777" w:rsidR="00D040AF" w:rsidRDefault="00D040AF" w:rsidP="00EC2FE3">
      <w:pPr>
        <w:spacing w:after="160" w:line="259" w:lineRule="auto"/>
        <w:rPr>
          <w:rFonts w:ascii="Times New Roman" w:hAnsi="Times New Roman"/>
        </w:rPr>
        <w:sectPr w:rsidR="00D040AF" w:rsidSect="00963998">
          <w:headerReference w:type="default" r:id="rId9"/>
          <w:headerReference w:type="first" r:id="rId10"/>
          <w:pgSz w:w="11906" w:h="16838"/>
          <w:pgMar w:top="1134" w:right="850" w:bottom="1134" w:left="1701" w:header="454" w:footer="340" w:gutter="0"/>
          <w:cols w:space="708"/>
          <w:titlePg/>
          <w:docGrid w:linePitch="360"/>
        </w:sectPr>
      </w:pPr>
    </w:p>
    <w:p w14:paraId="295FCC99" w14:textId="1AF9B83F" w:rsidR="002B169F" w:rsidRPr="00375059" w:rsidRDefault="002B169F" w:rsidP="008E362D">
      <w:pPr>
        <w:pStyle w:val="1"/>
        <w:spacing w:before="0" w:line="240" w:lineRule="auto"/>
        <w:ind w:firstLine="567"/>
        <w:jc w:val="both"/>
        <w:rPr>
          <w:rFonts w:ascii="Times New Roman" w:hAnsi="Times New Roman" w:cs="Times New Roman"/>
          <w:b/>
          <w:color w:val="auto"/>
          <w:sz w:val="28"/>
          <w:szCs w:val="28"/>
        </w:rPr>
      </w:pPr>
      <w:bookmarkStart w:id="1" w:name="_Toc101441775"/>
      <w:r w:rsidRPr="00375059">
        <w:rPr>
          <w:rFonts w:ascii="Times New Roman" w:hAnsi="Times New Roman" w:cs="Times New Roman"/>
          <w:b/>
          <w:color w:val="auto"/>
          <w:sz w:val="28"/>
          <w:szCs w:val="28"/>
        </w:rPr>
        <w:lastRenderedPageBreak/>
        <w:t>Основные тенденции развития экономики</w:t>
      </w:r>
      <w:r w:rsidR="00201041" w:rsidRPr="00375059">
        <w:rPr>
          <w:rFonts w:ascii="Times New Roman" w:hAnsi="Times New Roman" w:cs="Times New Roman"/>
          <w:b/>
          <w:color w:val="auto"/>
          <w:sz w:val="28"/>
          <w:szCs w:val="28"/>
        </w:rPr>
        <w:t xml:space="preserve"> </w:t>
      </w:r>
      <w:r w:rsidRPr="00375059">
        <w:rPr>
          <w:rFonts w:ascii="Times New Roman" w:hAnsi="Times New Roman" w:cs="Times New Roman"/>
          <w:b/>
          <w:color w:val="auto"/>
          <w:sz w:val="28"/>
          <w:szCs w:val="28"/>
        </w:rPr>
        <w:t>Приднестровской Молдавской Республики в 2021 год</w:t>
      </w:r>
      <w:bookmarkEnd w:id="0"/>
      <w:r w:rsidRPr="00375059">
        <w:rPr>
          <w:rFonts w:ascii="Times New Roman" w:hAnsi="Times New Roman" w:cs="Times New Roman"/>
          <w:b/>
          <w:color w:val="auto"/>
          <w:sz w:val="28"/>
          <w:szCs w:val="28"/>
        </w:rPr>
        <w:t>у</w:t>
      </w:r>
      <w:bookmarkEnd w:id="1"/>
    </w:p>
    <w:p w14:paraId="5B38D0C3" w14:textId="77777777" w:rsidR="002B169F" w:rsidRPr="00375059" w:rsidRDefault="002B169F" w:rsidP="00201041">
      <w:pPr>
        <w:pStyle w:val="a3"/>
        <w:widowControl w:val="0"/>
        <w:spacing w:after="0" w:line="240" w:lineRule="atLeast"/>
        <w:ind w:left="0" w:firstLine="567"/>
        <w:jc w:val="center"/>
        <w:rPr>
          <w:rFonts w:ascii="Times New Roman" w:hAnsi="Times New Roman"/>
          <w:b/>
          <w:sz w:val="24"/>
          <w:szCs w:val="24"/>
        </w:rPr>
      </w:pPr>
    </w:p>
    <w:p w14:paraId="4000D79D" w14:textId="77777777" w:rsidR="00C25166" w:rsidRPr="00375059" w:rsidRDefault="00C25166" w:rsidP="00863ADB">
      <w:pPr>
        <w:widowControl w:val="0"/>
        <w:spacing w:after="0" w:line="240" w:lineRule="auto"/>
        <w:ind w:firstLine="567"/>
        <w:jc w:val="both"/>
        <w:rPr>
          <w:rFonts w:ascii="Times New Roman" w:hAnsi="Times New Roman"/>
          <w:snapToGrid w:val="0"/>
          <w:sz w:val="28"/>
          <w:szCs w:val="28"/>
        </w:rPr>
      </w:pPr>
      <w:r w:rsidRPr="00375059">
        <w:rPr>
          <w:rFonts w:ascii="Times New Roman" w:hAnsi="Times New Roman"/>
          <w:snapToGrid w:val="0"/>
          <w:sz w:val="28"/>
          <w:szCs w:val="28"/>
        </w:rPr>
        <w:t xml:space="preserve">Итоги 2021 года отразили </w:t>
      </w:r>
      <w:r>
        <w:rPr>
          <w:rFonts w:ascii="Times New Roman" w:hAnsi="Times New Roman"/>
          <w:snapToGrid w:val="0"/>
          <w:sz w:val="28"/>
          <w:szCs w:val="28"/>
        </w:rPr>
        <w:t xml:space="preserve">поэтапную </w:t>
      </w:r>
      <w:r w:rsidRPr="00375059">
        <w:rPr>
          <w:rFonts w:ascii="Times New Roman" w:hAnsi="Times New Roman"/>
          <w:snapToGrid w:val="0"/>
          <w:sz w:val="28"/>
          <w:szCs w:val="28"/>
        </w:rPr>
        <w:t xml:space="preserve">адаптацию </w:t>
      </w:r>
      <w:r>
        <w:rPr>
          <w:rFonts w:ascii="Times New Roman" w:hAnsi="Times New Roman"/>
          <w:snapToGrid w:val="0"/>
          <w:sz w:val="28"/>
          <w:szCs w:val="28"/>
        </w:rPr>
        <w:t>хозяйствующих субъектов</w:t>
      </w:r>
      <w:r w:rsidRPr="00375059">
        <w:rPr>
          <w:rFonts w:ascii="Times New Roman" w:hAnsi="Times New Roman"/>
          <w:snapToGrid w:val="0"/>
          <w:sz w:val="28"/>
          <w:szCs w:val="28"/>
        </w:rPr>
        <w:t xml:space="preserve"> республики к функционированию в условиях </w:t>
      </w:r>
      <w:r>
        <w:rPr>
          <w:rFonts w:ascii="Times New Roman" w:hAnsi="Times New Roman"/>
          <w:snapToGrid w:val="0"/>
          <w:sz w:val="28"/>
          <w:szCs w:val="28"/>
        </w:rPr>
        <w:t xml:space="preserve">пандемии коронавируса </w:t>
      </w:r>
      <w:r>
        <w:rPr>
          <w:rFonts w:ascii="Times New Roman" w:hAnsi="Times New Roman"/>
          <w:snapToGrid w:val="0"/>
          <w:sz w:val="28"/>
          <w:szCs w:val="28"/>
          <w:lang w:val="en-US"/>
        </w:rPr>
        <w:t>COVID</w:t>
      </w:r>
      <w:r w:rsidRPr="009C2C97">
        <w:rPr>
          <w:rFonts w:ascii="Times New Roman" w:hAnsi="Times New Roman"/>
          <w:snapToGrid w:val="0"/>
          <w:sz w:val="28"/>
          <w:szCs w:val="28"/>
        </w:rPr>
        <w:t>-19</w:t>
      </w:r>
      <w:r w:rsidRPr="00375059">
        <w:rPr>
          <w:rFonts w:ascii="Times New Roman" w:hAnsi="Times New Roman"/>
          <w:snapToGrid w:val="0"/>
          <w:sz w:val="28"/>
          <w:szCs w:val="28"/>
        </w:rPr>
        <w:t>, а также рост деловой активности на фоне выхода из стагнации миров</w:t>
      </w:r>
      <w:r>
        <w:rPr>
          <w:rFonts w:ascii="Times New Roman" w:hAnsi="Times New Roman"/>
          <w:snapToGrid w:val="0"/>
          <w:sz w:val="28"/>
          <w:szCs w:val="28"/>
        </w:rPr>
        <w:t>ых</w:t>
      </w:r>
      <w:r w:rsidRPr="00375059">
        <w:rPr>
          <w:rFonts w:ascii="Times New Roman" w:hAnsi="Times New Roman"/>
          <w:snapToGrid w:val="0"/>
          <w:sz w:val="28"/>
          <w:szCs w:val="28"/>
        </w:rPr>
        <w:t xml:space="preserve"> </w:t>
      </w:r>
      <w:r>
        <w:rPr>
          <w:rFonts w:ascii="Times New Roman" w:hAnsi="Times New Roman"/>
          <w:snapToGrid w:val="0"/>
          <w:sz w:val="28"/>
          <w:szCs w:val="28"/>
        </w:rPr>
        <w:t>рынков</w:t>
      </w:r>
      <w:r w:rsidRPr="00375059">
        <w:rPr>
          <w:rFonts w:ascii="Times New Roman" w:hAnsi="Times New Roman"/>
          <w:snapToGrid w:val="0"/>
          <w:sz w:val="28"/>
          <w:szCs w:val="28"/>
        </w:rPr>
        <w:t xml:space="preserve">. Восстановление приднестровской экономики положительно отразилось на динамике поступлений в бюджет государства, что позволило в полном объеме выполнять </w:t>
      </w:r>
      <w:r>
        <w:rPr>
          <w:rFonts w:ascii="Times New Roman" w:hAnsi="Times New Roman"/>
          <w:snapToGrid w:val="0"/>
          <w:sz w:val="28"/>
          <w:szCs w:val="28"/>
        </w:rPr>
        <w:t xml:space="preserve">не только </w:t>
      </w:r>
      <w:r w:rsidRPr="00375059">
        <w:rPr>
          <w:rFonts w:ascii="Times New Roman" w:hAnsi="Times New Roman"/>
          <w:snapToGrid w:val="0"/>
          <w:sz w:val="28"/>
          <w:szCs w:val="28"/>
        </w:rPr>
        <w:t>все государственные обязательства в социальной сфере</w:t>
      </w:r>
      <w:r>
        <w:rPr>
          <w:rFonts w:ascii="Times New Roman" w:hAnsi="Times New Roman"/>
          <w:snapToGrid w:val="0"/>
          <w:sz w:val="28"/>
          <w:szCs w:val="28"/>
        </w:rPr>
        <w:t>, а также реализовывать масштабные программы развития</w:t>
      </w:r>
      <w:r w:rsidRPr="00375059">
        <w:rPr>
          <w:rFonts w:ascii="Times New Roman" w:hAnsi="Times New Roman"/>
          <w:snapToGrid w:val="0"/>
          <w:sz w:val="28"/>
          <w:szCs w:val="28"/>
        </w:rPr>
        <w:t xml:space="preserve">. </w:t>
      </w:r>
    </w:p>
    <w:p w14:paraId="7B5C6F82" w14:textId="77777777" w:rsidR="00C25166" w:rsidRPr="00375059" w:rsidRDefault="00C25166" w:rsidP="00863ADB">
      <w:pPr>
        <w:widowControl w:val="0"/>
        <w:spacing w:after="0" w:line="240" w:lineRule="auto"/>
        <w:ind w:firstLine="567"/>
        <w:jc w:val="both"/>
        <w:rPr>
          <w:rFonts w:ascii="Times New Roman" w:hAnsi="Times New Roman"/>
          <w:snapToGrid w:val="0"/>
          <w:sz w:val="28"/>
          <w:szCs w:val="28"/>
        </w:rPr>
      </w:pPr>
      <w:r w:rsidRPr="00375059">
        <w:rPr>
          <w:rFonts w:ascii="Times New Roman" w:hAnsi="Times New Roman"/>
          <w:snapToGrid w:val="0"/>
          <w:sz w:val="28"/>
          <w:szCs w:val="28"/>
        </w:rPr>
        <w:t xml:space="preserve">Во многом зафиксированные результаты стали следствием существенной интенсификации производственной деятельности индустриального сектора. Объем промышленного производства вырос более, чем в 1,3 раза до </w:t>
      </w:r>
      <w:r w:rsidRPr="00375059">
        <w:rPr>
          <w:rFonts w:ascii="Times New Roman" w:hAnsi="Times New Roman"/>
          <w:sz w:val="28"/>
          <w:szCs w:val="28"/>
        </w:rPr>
        <w:t xml:space="preserve">17 764,5 млн руб., </w:t>
      </w:r>
      <w:r w:rsidRPr="00375059">
        <w:rPr>
          <w:rFonts w:ascii="Times New Roman" w:hAnsi="Times New Roman"/>
          <w:snapToGrid w:val="0"/>
          <w:sz w:val="28"/>
          <w:szCs w:val="28"/>
        </w:rPr>
        <w:t>при позитивной динамике в 8 из 11 отраслей.</w:t>
      </w:r>
    </w:p>
    <w:p w14:paraId="242EC763" w14:textId="77777777" w:rsidR="00C25166" w:rsidRPr="00375059" w:rsidRDefault="00C25166" w:rsidP="00863ADB">
      <w:pPr>
        <w:widowControl w:val="0"/>
        <w:spacing w:after="0" w:line="240" w:lineRule="auto"/>
        <w:ind w:firstLine="567"/>
        <w:jc w:val="both"/>
        <w:rPr>
          <w:rFonts w:ascii="Times New Roman" w:hAnsi="Times New Roman"/>
          <w:snapToGrid w:val="0"/>
          <w:sz w:val="28"/>
          <w:szCs w:val="28"/>
        </w:rPr>
      </w:pPr>
      <w:r w:rsidRPr="00375059">
        <w:rPr>
          <w:rFonts w:ascii="Times New Roman" w:eastAsia="Calibri" w:hAnsi="Times New Roman"/>
          <w:sz w:val="28"/>
          <w:szCs w:val="28"/>
        </w:rPr>
        <w:t>В сельском хозяйстве благоприятные климатические условия обеспечили существенный рост урожая продукции растениеводства, что благоприятно сказалось и на животноводческом комплексе.</w:t>
      </w:r>
    </w:p>
    <w:p w14:paraId="31A3EFDE" w14:textId="77777777" w:rsidR="00C25166" w:rsidRPr="00375059" w:rsidRDefault="00C25166" w:rsidP="00863ADB">
      <w:pPr>
        <w:widowControl w:val="0"/>
        <w:spacing w:after="0" w:line="240" w:lineRule="auto"/>
        <w:ind w:firstLine="567"/>
        <w:jc w:val="both"/>
        <w:rPr>
          <w:rFonts w:ascii="Times New Roman" w:hAnsi="Times New Roman"/>
          <w:snapToGrid w:val="0"/>
          <w:sz w:val="28"/>
          <w:szCs w:val="28"/>
        </w:rPr>
      </w:pPr>
      <w:r w:rsidRPr="00375059">
        <w:rPr>
          <w:rFonts w:ascii="Times New Roman" w:hAnsi="Times New Roman"/>
          <w:snapToGrid w:val="0"/>
          <w:sz w:val="28"/>
          <w:szCs w:val="28"/>
        </w:rPr>
        <w:t>На фоне результативной деятельности индустриального и аграрного секторов, а также восстановления мирового спроса внешнеторговый оборот республики характеризовался ростом в 1,5 раза до уровня 2 584,9 млн долл.</w:t>
      </w:r>
    </w:p>
    <w:p w14:paraId="7935D563" w14:textId="77777777" w:rsidR="00C25166" w:rsidRPr="00375059" w:rsidRDefault="00C25166" w:rsidP="00863ADB">
      <w:pPr>
        <w:widowControl w:val="0"/>
        <w:spacing w:after="0" w:line="240" w:lineRule="auto"/>
        <w:ind w:firstLine="567"/>
        <w:jc w:val="both"/>
        <w:rPr>
          <w:rFonts w:ascii="Times New Roman" w:hAnsi="Times New Roman"/>
          <w:snapToGrid w:val="0"/>
          <w:sz w:val="28"/>
          <w:szCs w:val="28"/>
        </w:rPr>
      </w:pPr>
      <w:r w:rsidRPr="00375059">
        <w:rPr>
          <w:rFonts w:ascii="Times New Roman" w:hAnsi="Times New Roman"/>
          <w:sz w:val="28"/>
          <w:szCs w:val="28"/>
        </w:rPr>
        <w:t>Кроме того, существенно увеличились инвестиционные вложения как в реальный сектор, так и в социальную сферу</w:t>
      </w:r>
      <w:r w:rsidRPr="00375059">
        <w:rPr>
          <w:rFonts w:ascii="Times New Roman" w:hAnsi="Times New Roman"/>
          <w:snapToGrid w:val="0"/>
          <w:sz w:val="28"/>
          <w:szCs w:val="28"/>
        </w:rPr>
        <w:t xml:space="preserve">. Совокупная величина вложений в основной капитал в 2021 году зафиксирована на уровне </w:t>
      </w:r>
      <w:r w:rsidRPr="00375059">
        <w:rPr>
          <w:rFonts w:ascii="Times New Roman" w:hAnsi="Times New Roman"/>
          <w:sz w:val="28"/>
          <w:szCs w:val="28"/>
        </w:rPr>
        <w:t>2 263,8 млн руб.</w:t>
      </w:r>
      <w:r w:rsidRPr="00375059">
        <w:rPr>
          <w:rFonts w:ascii="Times New Roman" w:hAnsi="Times New Roman"/>
          <w:snapToGrid w:val="0"/>
          <w:sz w:val="28"/>
          <w:szCs w:val="28"/>
        </w:rPr>
        <w:t>, что на 27,4% выше показателя 2020 года.</w:t>
      </w:r>
    </w:p>
    <w:p w14:paraId="21482A95" w14:textId="77777777" w:rsidR="00C25166" w:rsidRPr="00375059" w:rsidRDefault="00C25166" w:rsidP="00863ADB">
      <w:pPr>
        <w:widowControl w:val="0"/>
        <w:spacing w:after="0" w:line="240" w:lineRule="auto"/>
        <w:ind w:firstLine="567"/>
        <w:jc w:val="both"/>
        <w:rPr>
          <w:rFonts w:ascii="Times New Roman" w:hAnsi="Times New Roman"/>
          <w:snapToGrid w:val="0"/>
          <w:sz w:val="28"/>
          <w:szCs w:val="28"/>
        </w:rPr>
      </w:pPr>
      <w:r w:rsidRPr="00375059">
        <w:rPr>
          <w:rFonts w:ascii="Times New Roman" w:hAnsi="Times New Roman"/>
          <w:snapToGrid w:val="0"/>
          <w:sz w:val="28"/>
          <w:szCs w:val="28"/>
        </w:rPr>
        <w:t>Ситуация на рынке труда оставалась достаточно стабильной: уровень безработицы снизился на 0,98 </w:t>
      </w:r>
      <w:proofErr w:type="spellStart"/>
      <w:r w:rsidRPr="00375059">
        <w:rPr>
          <w:rFonts w:ascii="Times New Roman" w:hAnsi="Times New Roman"/>
          <w:snapToGrid w:val="0"/>
          <w:sz w:val="28"/>
          <w:szCs w:val="28"/>
        </w:rPr>
        <w:t>п.п</w:t>
      </w:r>
      <w:proofErr w:type="spellEnd"/>
      <w:r w:rsidRPr="00375059">
        <w:rPr>
          <w:rFonts w:ascii="Times New Roman" w:hAnsi="Times New Roman"/>
          <w:snapToGrid w:val="0"/>
          <w:sz w:val="28"/>
          <w:szCs w:val="28"/>
        </w:rPr>
        <w:t>. и составил 1,54%, а средняя номинальная начисленная заработная плата</w:t>
      </w:r>
      <w:r w:rsidRPr="00375059">
        <w:rPr>
          <w:rStyle w:val="a6"/>
          <w:rFonts w:ascii="Times New Roman" w:hAnsi="Times New Roman"/>
          <w:snapToGrid w:val="0"/>
          <w:sz w:val="28"/>
          <w:szCs w:val="28"/>
        </w:rPr>
        <w:footnoteReference w:id="1"/>
      </w:r>
      <w:r w:rsidRPr="00375059">
        <w:rPr>
          <w:rFonts w:ascii="Times New Roman" w:hAnsi="Times New Roman"/>
          <w:snapToGrid w:val="0"/>
          <w:sz w:val="28"/>
          <w:szCs w:val="28"/>
        </w:rPr>
        <w:t xml:space="preserve"> в экономике достигла 5 345 руб., превысив базисный уровень на 10,0%.</w:t>
      </w:r>
    </w:p>
    <w:p w14:paraId="68965418" w14:textId="77777777" w:rsidR="00C25166" w:rsidRPr="00375059" w:rsidRDefault="00C25166" w:rsidP="00863ADB">
      <w:pPr>
        <w:widowControl w:val="0"/>
        <w:spacing w:after="0" w:line="240" w:lineRule="auto"/>
        <w:ind w:firstLine="567"/>
        <w:jc w:val="both"/>
        <w:rPr>
          <w:rFonts w:ascii="Times New Roman" w:hAnsi="Times New Roman"/>
          <w:snapToGrid w:val="0"/>
          <w:sz w:val="28"/>
          <w:szCs w:val="28"/>
        </w:rPr>
      </w:pPr>
      <w:r w:rsidRPr="00375059">
        <w:rPr>
          <w:rFonts w:ascii="Times New Roman" w:hAnsi="Times New Roman"/>
          <w:bCs/>
          <w:sz w:val="28"/>
          <w:szCs w:val="28"/>
        </w:rPr>
        <w:t xml:space="preserve">Рост потребительского спроса на </w:t>
      </w:r>
      <w:r w:rsidRPr="00375059">
        <w:rPr>
          <w:rFonts w:ascii="Times New Roman" w:eastAsiaTheme="minorEastAsia" w:hAnsi="Times New Roman"/>
          <w:sz w:val="28"/>
          <w:szCs w:val="28"/>
        </w:rPr>
        <w:t xml:space="preserve">внутреннем </w:t>
      </w:r>
      <w:r w:rsidRPr="00375059">
        <w:rPr>
          <w:rFonts w:ascii="Times New Roman" w:hAnsi="Times New Roman"/>
          <w:bCs/>
          <w:sz w:val="28"/>
          <w:szCs w:val="28"/>
        </w:rPr>
        <w:t>рынке республики обеспечил</w:t>
      </w:r>
      <w:r w:rsidRPr="00375059">
        <w:rPr>
          <w:rFonts w:ascii="Times New Roman" w:eastAsiaTheme="minorEastAsia" w:hAnsi="Times New Roman"/>
          <w:sz w:val="28"/>
          <w:szCs w:val="28"/>
        </w:rPr>
        <w:t xml:space="preserve"> расширение продаж в сфере розничной торговли на </w:t>
      </w:r>
      <w:r w:rsidRPr="00375059">
        <w:rPr>
          <w:rFonts w:ascii="Times New Roman" w:eastAsia="MS Mincho" w:hAnsi="Times New Roman"/>
          <w:sz w:val="28"/>
          <w:szCs w:val="28"/>
          <w:lang w:eastAsia="en-US"/>
        </w:rPr>
        <w:t>20,2% до 9 077,4 млн руб.</w:t>
      </w:r>
      <w:r>
        <w:rPr>
          <w:rFonts w:ascii="Times New Roman" w:eastAsia="MS Mincho" w:hAnsi="Times New Roman"/>
          <w:sz w:val="28"/>
          <w:szCs w:val="28"/>
          <w:lang w:eastAsia="en-US"/>
        </w:rPr>
        <w:t xml:space="preserve"> </w:t>
      </w:r>
      <w:r w:rsidRPr="00375059">
        <w:rPr>
          <w:rFonts w:ascii="Times New Roman" w:hAnsi="Times New Roman"/>
          <w:sz w:val="28"/>
          <w:szCs w:val="28"/>
        </w:rPr>
        <w:t>Кроме того отмечалось восстановление показателей</w:t>
      </w:r>
      <w:r w:rsidRPr="00375059">
        <w:rPr>
          <w:rFonts w:ascii="Times New Roman" w:hAnsi="Times New Roman"/>
          <w:bCs/>
          <w:sz w:val="28"/>
          <w:szCs w:val="28"/>
        </w:rPr>
        <w:t xml:space="preserve"> общественного питания. </w:t>
      </w:r>
      <w:r w:rsidRPr="00375059">
        <w:rPr>
          <w:rFonts w:ascii="Times New Roman" w:hAnsi="Times New Roman"/>
          <w:sz w:val="28"/>
          <w:szCs w:val="28"/>
        </w:rPr>
        <w:t>Так, величина выручки организаций данного сегмента за 2021 год увеличилась по отношению к показателю 2020 года на 44,2% до 293,3</w:t>
      </w:r>
      <w:r w:rsidRPr="00375059">
        <w:rPr>
          <w:rFonts w:ascii="Times New Roman" w:hAnsi="Times New Roman"/>
          <w:sz w:val="28"/>
          <w:szCs w:val="28"/>
          <w:lang w:eastAsia="en-US"/>
        </w:rPr>
        <w:t xml:space="preserve"> млн руб.</w:t>
      </w:r>
    </w:p>
    <w:p w14:paraId="6A24FEDF" w14:textId="77777777" w:rsidR="00C25166" w:rsidRPr="00375059" w:rsidRDefault="00C25166" w:rsidP="00863ADB">
      <w:pPr>
        <w:widowControl w:val="0"/>
        <w:spacing w:after="0" w:line="240" w:lineRule="auto"/>
        <w:ind w:firstLine="567"/>
        <w:jc w:val="both"/>
        <w:rPr>
          <w:rFonts w:ascii="Times New Roman" w:hAnsi="Times New Roman"/>
          <w:snapToGrid w:val="0"/>
          <w:sz w:val="28"/>
          <w:szCs w:val="28"/>
        </w:rPr>
      </w:pPr>
      <w:r w:rsidRPr="00375059">
        <w:rPr>
          <w:rFonts w:ascii="Times New Roman" w:hAnsi="Times New Roman"/>
          <w:snapToGrid w:val="0"/>
          <w:sz w:val="28"/>
          <w:szCs w:val="28"/>
        </w:rPr>
        <w:t>Вместе с тем, учитывая</w:t>
      </w:r>
      <w:r w:rsidRPr="00375059">
        <w:rPr>
          <w:rFonts w:ascii="Times New Roman" w:hAnsi="Times New Roman"/>
          <w:sz w:val="28"/>
          <w:szCs w:val="28"/>
        </w:rPr>
        <w:t xml:space="preserve"> общемировой тренд повышательной динамики котировок на базовых сырьевых рынках, в годовом выражении </w:t>
      </w:r>
      <w:r>
        <w:rPr>
          <w:rFonts w:ascii="Times New Roman" w:hAnsi="Times New Roman"/>
          <w:sz w:val="28"/>
          <w:szCs w:val="28"/>
        </w:rPr>
        <w:t>фиксировалось</w:t>
      </w:r>
      <w:r w:rsidRPr="00375059">
        <w:rPr>
          <w:rFonts w:ascii="Times New Roman" w:hAnsi="Times New Roman"/>
          <w:sz w:val="28"/>
          <w:szCs w:val="28"/>
        </w:rPr>
        <w:t xml:space="preserve"> ускорение потребительской инфляции.</w:t>
      </w:r>
    </w:p>
    <w:p w14:paraId="4A2DE0F0" w14:textId="77777777" w:rsidR="002B169F" w:rsidRPr="00375059" w:rsidRDefault="002B169F" w:rsidP="00863ADB">
      <w:pPr>
        <w:widowControl w:val="0"/>
        <w:spacing w:after="0" w:line="240" w:lineRule="auto"/>
        <w:ind w:firstLine="567"/>
        <w:jc w:val="both"/>
        <w:rPr>
          <w:rFonts w:ascii="Times New Roman" w:hAnsi="Times New Roman"/>
          <w:snapToGrid w:val="0"/>
          <w:sz w:val="28"/>
          <w:szCs w:val="28"/>
        </w:rPr>
      </w:pPr>
    </w:p>
    <w:p w14:paraId="5D1B43C2" w14:textId="77777777" w:rsidR="002B169F" w:rsidRPr="00375059" w:rsidRDefault="002B169F" w:rsidP="00863ADB">
      <w:pPr>
        <w:pStyle w:val="2"/>
        <w:spacing w:before="0" w:line="240" w:lineRule="auto"/>
        <w:ind w:firstLine="567"/>
        <w:rPr>
          <w:rFonts w:ascii="Times New Roman" w:hAnsi="Times New Roman" w:cs="Times New Roman"/>
          <w:b/>
          <w:color w:val="auto"/>
          <w:sz w:val="28"/>
        </w:rPr>
      </w:pPr>
      <w:bookmarkStart w:id="2" w:name="_Toc82074340"/>
      <w:bookmarkStart w:id="3" w:name="_Toc101441776"/>
      <w:r w:rsidRPr="00375059">
        <w:rPr>
          <w:rFonts w:ascii="Times New Roman" w:hAnsi="Times New Roman" w:cs="Times New Roman"/>
          <w:b/>
          <w:color w:val="auto"/>
          <w:sz w:val="28"/>
        </w:rPr>
        <w:t>Объем и структура ВВП</w:t>
      </w:r>
      <w:bookmarkEnd w:id="2"/>
      <w:bookmarkEnd w:id="3"/>
    </w:p>
    <w:p w14:paraId="4C8A6A8E" w14:textId="77777777" w:rsidR="00C25166" w:rsidRPr="00375059" w:rsidRDefault="00C25166" w:rsidP="00863ADB">
      <w:pPr>
        <w:pStyle w:val="3"/>
        <w:tabs>
          <w:tab w:val="left" w:pos="2985"/>
        </w:tabs>
        <w:spacing w:after="0" w:line="240" w:lineRule="auto"/>
        <w:ind w:firstLine="567"/>
        <w:contextualSpacing/>
        <w:jc w:val="both"/>
        <w:rPr>
          <w:rFonts w:ascii="Times New Roman" w:eastAsia="Times New Roman" w:hAnsi="Times New Roman"/>
          <w:color w:val="000000" w:themeColor="text1"/>
          <w:sz w:val="28"/>
          <w:szCs w:val="28"/>
        </w:rPr>
      </w:pPr>
      <w:r w:rsidRPr="00375059">
        <w:rPr>
          <w:rFonts w:ascii="Times New Roman" w:hAnsi="Times New Roman"/>
          <w:sz w:val="28"/>
          <w:szCs w:val="28"/>
        </w:rPr>
        <w:t xml:space="preserve">Восстановление системообразующих отраслей экономики республики после кризисного 2020 года, в условиях поэтапной адаптации к новым требованиям функционирования, привели к динамичному росту ключевого </w:t>
      </w:r>
      <w:r w:rsidRPr="00375059">
        <w:rPr>
          <w:rFonts w:ascii="Times New Roman" w:hAnsi="Times New Roman"/>
          <w:sz w:val="28"/>
          <w:szCs w:val="28"/>
        </w:rPr>
        <w:lastRenderedPageBreak/>
        <w:t xml:space="preserve">макроэкономического показателя – валового внутреннего продукта. </w:t>
      </w:r>
      <w:r w:rsidRPr="00375059">
        <w:rPr>
          <w:rFonts w:ascii="Times New Roman" w:hAnsi="Times New Roman"/>
          <w:sz w:val="28"/>
          <w:szCs w:val="28"/>
        </w:rPr>
        <w:br/>
        <w:t>Так, по итогам 2021 года н</w:t>
      </w:r>
      <w:r w:rsidRPr="00375059">
        <w:rPr>
          <w:rFonts w:ascii="Times New Roman" w:eastAsia="Times New Roman" w:hAnsi="Times New Roman"/>
          <w:sz w:val="28"/>
          <w:szCs w:val="28"/>
        </w:rPr>
        <w:t>оминальный о</w:t>
      </w:r>
      <w:r w:rsidRPr="00375059">
        <w:rPr>
          <w:rFonts w:ascii="Times New Roman" w:eastAsia="Times New Roman" w:hAnsi="Times New Roman"/>
          <w:color w:val="000000" w:themeColor="text1"/>
          <w:sz w:val="28"/>
          <w:szCs w:val="28"/>
        </w:rPr>
        <w:t>бъем созданного в республике валового внутреннего продукта, по предварительным данным, превысил уровень предыдущего года на 33,0% и достиг 18 912,6 млн руб. (1 174,7 млн долл. в эквиваленте).</w:t>
      </w:r>
    </w:p>
    <w:p w14:paraId="75269B7B" w14:textId="77777777" w:rsidR="00C25166" w:rsidRPr="00375059" w:rsidRDefault="00C25166"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 структуре показателя увеличилось долевое представление производственной сферы: в отчетном году вклад производства товаров достиг 43,1% против 38,5% годом ранее, в результате роста валовой добавленной стоимости на 49,0% в абсолютном выражении.</w:t>
      </w:r>
    </w:p>
    <w:p w14:paraId="6527ABFA" w14:textId="77777777" w:rsidR="00C25166" w:rsidRPr="00375059" w:rsidRDefault="00C25166" w:rsidP="00863ADB">
      <w:pPr>
        <w:spacing w:after="0" w:line="240" w:lineRule="auto"/>
        <w:ind w:firstLine="567"/>
        <w:jc w:val="both"/>
        <w:rPr>
          <w:rFonts w:ascii="Times New Roman" w:hAnsi="Times New Roman"/>
          <w:bCs/>
          <w:sz w:val="28"/>
          <w:szCs w:val="28"/>
        </w:rPr>
      </w:pPr>
      <w:r w:rsidRPr="00375059">
        <w:rPr>
          <w:rFonts w:ascii="Times New Roman" w:hAnsi="Times New Roman"/>
          <w:sz w:val="28"/>
          <w:szCs w:val="28"/>
        </w:rPr>
        <w:t xml:space="preserve">Эффективная деятельность производственного сектора оказала основное влияние на сложившуюся динамику макропоказателя (рис. 1). При общем приросте ВВП на 4 697,2 млн руб. в номинальном выражении вновь созданная добавленная стоимость </w:t>
      </w:r>
      <w:r w:rsidRPr="00375059">
        <w:rPr>
          <w:rFonts w:ascii="Times New Roman" w:hAnsi="Times New Roman"/>
          <w:b/>
          <w:sz w:val="28"/>
          <w:szCs w:val="28"/>
        </w:rPr>
        <w:t xml:space="preserve">промышленности </w:t>
      </w:r>
      <w:r w:rsidRPr="00375059">
        <w:rPr>
          <w:rFonts w:ascii="Times New Roman" w:hAnsi="Times New Roman"/>
          <w:sz w:val="28"/>
          <w:szCs w:val="28"/>
        </w:rPr>
        <w:t xml:space="preserve">увеличилась на </w:t>
      </w:r>
      <w:r w:rsidRPr="00375059">
        <w:rPr>
          <w:rFonts w:ascii="Times New Roman" w:hAnsi="Times New Roman"/>
          <w:bCs/>
          <w:sz w:val="28"/>
          <w:szCs w:val="28"/>
        </w:rPr>
        <w:t xml:space="preserve">1 108,4 млн руб. до </w:t>
      </w:r>
      <w:r w:rsidRPr="00375059">
        <w:rPr>
          <w:rFonts w:ascii="Times New Roman" w:hAnsi="Times New Roman"/>
          <w:sz w:val="28"/>
          <w:szCs w:val="28"/>
        </w:rPr>
        <w:t xml:space="preserve">5 647,5 млн руб., или +24,4%. Рост деловой активности на фоне оказываемой государственной поддержки по выходу из кризиса </w:t>
      </w:r>
      <w:r>
        <w:rPr>
          <w:rFonts w:ascii="Times New Roman" w:hAnsi="Times New Roman"/>
          <w:sz w:val="28"/>
          <w:szCs w:val="28"/>
        </w:rPr>
        <w:t xml:space="preserve">был </w:t>
      </w:r>
      <w:r w:rsidRPr="00375059">
        <w:rPr>
          <w:rFonts w:ascii="Times New Roman" w:hAnsi="Times New Roman"/>
          <w:sz w:val="28"/>
          <w:szCs w:val="28"/>
        </w:rPr>
        <w:t>характерен для большей части предприятий, но основной вклад в увеличение выпуска внесли металлургическая и электроэнергетическая отрасли.</w:t>
      </w:r>
    </w:p>
    <w:p w14:paraId="59B6589B" w14:textId="77777777" w:rsidR="002B169F" w:rsidRPr="00375059" w:rsidRDefault="002B169F" w:rsidP="002B169F">
      <w:pPr>
        <w:widowControl w:val="0"/>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Рисунок 1</w:t>
      </w:r>
    </w:p>
    <w:p w14:paraId="43721CDB" w14:textId="77777777" w:rsidR="002B169F" w:rsidRPr="00375059" w:rsidRDefault="002B169F" w:rsidP="002B169F">
      <w:pPr>
        <w:widowControl w:val="0"/>
        <w:spacing w:after="0" w:line="240" w:lineRule="auto"/>
        <w:jc w:val="center"/>
        <w:rPr>
          <w:rFonts w:ascii="Times New Roman" w:hAnsi="Times New Roman"/>
          <w:b/>
          <w:sz w:val="28"/>
          <w:szCs w:val="28"/>
        </w:rPr>
      </w:pPr>
      <w:r w:rsidRPr="00375059">
        <w:rPr>
          <w:rFonts w:ascii="Times New Roman" w:hAnsi="Times New Roman"/>
          <w:b/>
          <w:bCs/>
          <w:sz w:val="28"/>
          <w:szCs w:val="28"/>
          <w:lang w:val="x-none"/>
        </w:rPr>
        <w:t>Факторный анализ изменения объема ВВП, млн руб.</w:t>
      </w:r>
    </w:p>
    <w:p w14:paraId="0BC9E2A4" w14:textId="7D1C1441" w:rsidR="002B169F" w:rsidRPr="00375059" w:rsidRDefault="002B169F" w:rsidP="002B169F">
      <w:pPr>
        <w:widowControl w:val="0"/>
        <w:spacing w:after="0" w:line="240" w:lineRule="auto"/>
        <w:jc w:val="right"/>
        <w:rPr>
          <w:rFonts w:ascii="Times New Roman" w:hAnsi="Times New Roman"/>
          <w:b/>
          <w:i/>
          <w:sz w:val="28"/>
          <w:szCs w:val="28"/>
        </w:rPr>
      </w:pPr>
      <w:r w:rsidRPr="00375059">
        <w:rPr>
          <w:rFonts w:ascii="Times New Roman" w:hAnsi="Times New Roman"/>
          <w:bCs/>
          <w:noProof/>
          <w:sz w:val="28"/>
          <w:szCs w:val="28"/>
        </w:rPr>
        <mc:AlternateContent>
          <mc:Choice Requires="wps">
            <w:drawing>
              <wp:anchor distT="0" distB="0" distL="114300" distR="114300" simplePos="0" relativeHeight="251659264" behindDoc="0" locked="0" layoutInCell="1" allowOverlap="1" wp14:anchorId="1D9A74E0" wp14:editId="70C3AE54">
                <wp:simplePos x="0" y="0"/>
                <wp:positionH relativeFrom="column">
                  <wp:posOffset>4297680</wp:posOffset>
                </wp:positionH>
                <wp:positionV relativeFrom="paragraph">
                  <wp:posOffset>512445</wp:posOffset>
                </wp:positionV>
                <wp:extent cx="1130300" cy="0"/>
                <wp:effectExtent l="5715" t="12700" r="6985" b="63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FCC3D9F" id="_x0000_t32" coordsize="21600,21600" o:spt="32" o:oned="t" path="m,l21600,21600e" filled="f">
                <v:path arrowok="t" fillok="f" o:connecttype="none"/>
                <o:lock v:ext="edit" shapetype="t"/>
              </v:shapetype>
              <v:shape id="Прямая со стрелкой 6" o:spid="_x0000_s1026" type="#_x0000_t32" style="position:absolute;margin-left:338.4pt;margin-top:40.35pt;width: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JuTAIAAFQEAAAOAAAAZHJzL2Uyb0RvYy54bWysVEtu2zAQ3RfoHQjuHUm24zpC5KCQ7G7S&#10;NkDSA9AkZRGVSIKkLRtFgTQXyBF6hW666Ac5g3yjDukPknZTFNWCGmo4b97MPOr8Yt3UaMWNFUpm&#10;ODmJMeKSKibkIsPvbma9MUbWEclIrSTP8IZbfDF5/uy81Snvq0rVjBsEINKmrc5w5ZxOo8jSijfE&#10;nijNJThLZRriYGsWETOkBfSmjvpxPIpaZZg2inJr4Wuxc+JJwC9LTt3bsrTcoTrDwM2F1YR17tdo&#10;ck7ShSG6EnRPg/wDi4YICUmPUAVxBC2N+AOqEdQoq0p3QlUTqbIUlIcaoJok/q2a64poHmqB5lh9&#10;bJP9f7D0zerKIMEyPMJIkgZG1H3e3m7vu5/dl+092n7qHmDZ3m1vu6/dj+5799B9QyPft1bbFMJz&#10;eWV85XQtr/Wlou8tkiqviFzwwP9mowE08RHRkxC/sRqyz9vXisEZsnQqNHFdmsZDQnvQOsxqc5wV&#10;XztE4WOSDOJBDCOlB19E0kOgNta94qpB3siwdYaIReVyJSUoQpkkpCGrS+s8LZIeAnxWqWairoMw&#10;aonaDJ+d9k9DgFW1YN7pj1mzmOe1QSvipRWeUCN4Hh8zailZAKs4YdO97YiodzYkr6XHg8KAzt7a&#10;aefDWXw2HU/Hw96wP5r2hnFR9F7O8mFvNEtenBaDIs+L5KOnlgzTSjDGpWd30HEy/Dud7G/UToFH&#10;JR/bED1FD/0Csod3IB0m64e5k8Vcsc2VOUwcpBsO76+ZvxuP92A//hlMfgEAAP//AwBQSwMEFAAG&#10;AAgAAAAhAPFb+/jdAAAACQEAAA8AAABkcnMvZG93bnJldi54bWxMjz1PwzAQhnck/oN1SCyI2q1o&#10;GtI4VYXEwEhbidWNr0kgPkex04T+eg4xlPH90HvP5ZvJteKMfWg8aZjPFAik0tuGKg2H/etjCiJE&#10;Q9a0nlDDNwbYFLc3ucmsH+kdz7tYCR6hkBkNdYxdJmUoa3QmzHyHxNnJ985Eln0lbW9GHnetXCiV&#10;SGca4gu16fClxvJrNzgNGIblXG2fXXV4u4wPH4vL59jttb6/m7ZrEBGneC3DLz6jQ8FMRz+QDaLV&#10;kKwSRo8aUrUCwYV0+cTG8c+QRS7/f1D8AAAA//8DAFBLAQItABQABgAIAAAAIQC2gziS/gAAAOEB&#10;AAATAAAAAAAAAAAAAAAAAAAAAABbQ29udGVudF9UeXBlc10ueG1sUEsBAi0AFAAGAAgAAAAhADj9&#10;If/WAAAAlAEAAAsAAAAAAAAAAAAAAAAALwEAAF9yZWxzLy5yZWxzUEsBAi0AFAAGAAgAAAAhACJN&#10;gm5MAgAAVAQAAA4AAAAAAAAAAAAAAAAALgIAAGRycy9lMm9Eb2MueG1sUEsBAi0AFAAGAAgAAAAh&#10;APFb+/jdAAAACQEAAA8AAAAAAAAAAAAAAAAApgQAAGRycy9kb3ducmV2LnhtbFBLBQYAAAAABAAE&#10;APMAAACwBQAAAAA=&#10;"/>
            </w:pict>
          </mc:Fallback>
        </mc:AlternateContent>
      </w:r>
      <w:r w:rsidRPr="00375059">
        <w:rPr>
          <w:rFonts w:ascii="Times New Roman" w:hAnsi="Times New Roman"/>
          <w:bCs/>
          <w:noProof/>
          <w:sz w:val="28"/>
          <w:szCs w:val="28"/>
          <w:shd w:val="clear" w:color="auto" w:fill="F2F2F2" w:themeFill="background1" w:themeFillShade="F2"/>
        </w:rPr>
        <w:drawing>
          <wp:inline distT="0" distB="0" distL="0" distR="0" wp14:anchorId="68A0CE28" wp14:editId="1E03AFF3">
            <wp:extent cx="6120765" cy="2378758"/>
            <wp:effectExtent l="0" t="0" r="0" b="25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086254" w14:textId="77777777" w:rsidR="002B169F" w:rsidRPr="00375059" w:rsidRDefault="002B169F" w:rsidP="002B169F">
      <w:pPr>
        <w:spacing w:after="0" w:line="240" w:lineRule="auto"/>
        <w:jc w:val="both"/>
        <w:rPr>
          <w:rFonts w:ascii="Times New Roman" w:hAnsi="Times New Roman"/>
          <w:bCs/>
          <w:sz w:val="28"/>
          <w:szCs w:val="28"/>
        </w:rPr>
      </w:pPr>
    </w:p>
    <w:p w14:paraId="529B1B9C" w14:textId="77777777" w:rsidR="00C25166" w:rsidRPr="00375059" w:rsidRDefault="00C25166" w:rsidP="00863ADB">
      <w:pPr>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В</w:t>
      </w:r>
      <w:r w:rsidRPr="00375059">
        <w:rPr>
          <w:rFonts w:ascii="Times New Roman" w:hAnsi="Times New Roman"/>
          <w:b/>
          <w:sz w:val="28"/>
          <w:szCs w:val="28"/>
        </w:rPr>
        <w:t xml:space="preserve"> сельском хозяйстве</w:t>
      </w:r>
      <w:r w:rsidRPr="00375059">
        <w:rPr>
          <w:rFonts w:ascii="Times New Roman" w:hAnsi="Times New Roman"/>
          <w:bCs/>
          <w:sz w:val="28"/>
          <w:szCs w:val="28"/>
        </w:rPr>
        <w:t xml:space="preserve"> после засухи 2020 года более благоприятные условия хозяйствования 2021 года обеспечили значительные прирост урожая зерновых и зернобобовых культур, а также плодов, что с учетом роста затрат на посевные и уборочные работы определило формирование вновь созданной отраслевой стоимости на уровне 2 073,4 млн руб. (494,1 млн руб. в 2020 году), или 11,0% итогового показателя.</w:t>
      </w:r>
    </w:p>
    <w:p w14:paraId="237F1C52" w14:textId="77777777" w:rsidR="00C25166" w:rsidRPr="00375059" w:rsidRDefault="00C25166" w:rsidP="00863ADB">
      <w:pPr>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 xml:space="preserve">В </w:t>
      </w:r>
      <w:r w:rsidRPr="00375059">
        <w:rPr>
          <w:rFonts w:ascii="Times New Roman" w:hAnsi="Times New Roman"/>
          <w:b/>
          <w:sz w:val="28"/>
          <w:szCs w:val="28"/>
        </w:rPr>
        <w:t>строительном комплексе</w:t>
      </w:r>
      <w:r w:rsidRPr="00375059">
        <w:rPr>
          <w:rFonts w:ascii="Times New Roman" w:hAnsi="Times New Roman"/>
          <w:bCs/>
          <w:sz w:val="28"/>
          <w:szCs w:val="28"/>
        </w:rPr>
        <w:t xml:space="preserve"> сокращение валового выпуска на 1,6% до 857,9 млн руб. и сужение промежуточного потребления на 2,1% до 423,8 млн руб. обеспечили снижение добавленной стоимости на 1,1% до 434,1 млн руб.</w:t>
      </w:r>
    </w:p>
    <w:p w14:paraId="5E6E37CD" w14:textId="77777777" w:rsidR="00C25166" w:rsidRPr="00375059" w:rsidRDefault="00C25166"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Таким образом, в отраслях, связанных с производством товаров, добавленная стоимость по итогам года сложилась на уровне 8 155,0 млн руб.           против 5 472,1 млн руб. в 2020 году.</w:t>
      </w:r>
    </w:p>
    <w:p w14:paraId="455F8E49" w14:textId="6C425D71" w:rsidR="00C25166" w:rsidRPr="00375059" w:rsidRDefault="00C25166"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lastRenderedPageBreak/>
        <w:t>Смягчение большинства карантинных ограничений, масштабирование кампании по вакцинации, восстановление потребительского спроса благоприятно отразились на сфере услуг: при росте валового выпуска на 21,3% (или на 2 559,5 млн руб.)</w:t>
      </w:r>
      <w:r w:rsidR="00B906C3">
        <w:rPr>
          <w:rFonts w:ascii="Times New Roman" w:hAnsi="Times New Roman"/>
          <w:sz w:val="28"/>
          <w:szCs w:val="28"/>
        </w:rPr>
        <w:t>,</w:t>
      </w:r>
      <w:r w:rsidRPr="00375059">
        <w:rPr>
          <w:rFonts w:ascii="Times New Roman" w:hAnsi="Times New Roman"/>
          <w:sz w:val="28"/>
          <w:szCs w:val="28"/>
        </w:rPr>
        <w:t xml:space="preserve"> объем вновь созданной добавленной стоимости увеличился на 23,1% (+1 970,0 млн руб.).</w:t>
      </w:r>
    </w:p>
    <w:p w14:paraId="7DE2660D" w14:textId="77777777" w:rsidR="00C25166" w:rsidRPr="00375059" w:rsidRDefault="00C25166"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 условиях роста деловой активности и спроса на услуги все отрасли в секторе рыночных услуг характеризовались превышением кризисных параметров 2020 года (+35,2% по валовой добавленной стоимости в совокупности, порядка 34,3% общего прироста ВВП) (рис. 2).</w:t>
      </w:r>
    </w:p>
    <w:p w14:paraId="277881D5" w14:textId="77777777" w:rsidR="002B169F" w:rsidRPr="00375059" w:rsidRDefault="002B169F" w:rsidP="002B169F">
      <w:pPr>
        <w:widowControl w:val="0"/>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Рисунок 2</w:t>
      </w:r>
    </w:p>
    <w:p w14:paraId="55198E23" w14:textId="4F29FB4C" w:rsidR="002B169F" w:rsidRPr="00375059" w:rsidRDefault="002B169F" w:rsidP="00C03C54">
      <w:pPr>
        <w:widowControl w:val="0"/>
        <w:spacing w:after="0" w:line="240" w:lineRule="auto"/>
        <w:jc w:val="center"/>
        <w:rPr>
          <w:rFonts w:ascii="Times New Roman" w:hAnsi="Times New Roman"/>
          <w:b/>
          <w:sz w:val="28"/>
          <w:szCs w:val="28"/>
        </w:rPr>
      </w:pPr>
      <w:r w:rsidRPr="00375059">
        <w:rPr>
          <w:rFonts w:ascii="Times New Roman" w:hAnsi="Times New Roman"/>
          <w:b/>
          <w:bCs/>
          <w:sz w:val="28"/>
          <w:szCs w:val="28"/>
        </w:rPr>
        <w:t xml:space="preserve">Факторный анализ изменения </w:t>
      </w:r>
      <w:r w:rsidR="00C61FD3" w:rsidRPr="00375059">
        <w:rPr>
          <w:rFonts w:ascii="Times New Roman" w:hAnsi="Times New Roman"/>
          <w:b/>
          <w:bCs/>
          <w:sz w:val="28"/>
          <w:szCs w:val="28"/>
        </w:rPr>
        <w:t>валовой добавленной стоимости</w:t>
      </w:r>
      <w:r w:rsidRPr="00375059">
        <w:rPr>
          <w:rFonts w:ascii="Times New Roman" w:hAnsi="Times New Roman"/>
          <w:b/>
          <w:bCs/>
          <w:sz w:val="28"/>
          <w:szCs w:val="28"/>
        </w:rPr>
        <w:t xml:space="preserve"> рыночных услуг, млн руб.</w:t>
      </w:r>
    </w:p>
    <w:p w14:paraId="506EB2AD" w14:textId="4D2D0BF3" w:rsidR="002B169F" w:rsidRPr="00375059" w:rsidRDefault="002B169F" w:rsidP="002B169F">
      <w:pPr>
        <w:widowControl w:val="0"/>
        <w:spacing w:after="0" w:line="240" w:lineRule="auto"/>
        <w:jc w:val="both"/>
        <w:rPr>
          <w:rFonts w:ascii="Times New Roman" w:hAnsi="Times New Roman"/>
          <w:sz w:val="28"/>
          <w:szCs w:val="28"/>
        </w:rPr>
      </w:pPr>
      <w:r w:rsidRPr="00375059">
        <w:rPr>
          <w:rFonts w:ascii="Times New Roman" w:hAnsi="Times New Roman"/>
          <w:noProof/>
          <w:sz w:val="28"/>
          <w:szCs w:val="28"/>
        </w:rPr>
        <mc:AlternateContent>
          <mc:Choice Requires="wpg">
            <w:drawing>
              <wp:anchor distT="0" distB="0" distL="114300" distR="114300" simplePos="0" relativeHeight="251658240" behindDoc="0" locked="0" layoutInCell="1" allowOverlap="1" wp14:anchorId="49828240" wp14:editId="0E81B241">
                <wp:simplePos x="0" y="0"/>
                <wp:positionH relativeFrom="margin">
                  <wp:posOffset>5443220</wp:posOffset>
                </wp:positionH>
                <wp:positionV relativeFrom="paragraph">
                  <wp:posOffset>1367155</wp:posOffset>
                </wp:positionV>
                <wp:extent cx="791210" cy="335280"/>
                <wp:effectExtent l="0" t="0" r="0" b="762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335280"/>
                          <a:chOff x="477" y="1780"/>
                          <a:chExt cx="5186" cy="2378"/>
                        </a:xfrm>
                      </wpg:grpSpPr>
                      <wps:wsp>
                        <wps:cNvPr id="2" name="Надпись 106"/>
                        <wps:cNvSpPr txBox="1">
                          <a:spLocks noChangeArrowheads="1"/>
                        </wps:cNvSpPr>
                        <wps:spPr bwMode="auto">
                          <a:xfrm>
                            <a:off x="477" y="1780"/>
                            <a:ext cx="5186" cy="2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BB907" w14:textId="77777777" w:rsidR="00540656" w:rsidRPr="00C61FD3" w:rsidRDefault="00540656" w:rsidP="002B169F">
                              <w:pPr>
                                <w:rPr>
                                  <w:rFonts w:ascii="Times New Roman" w:hAnsi="Times New Roman"/>
                                  <w:sz w:val="16"/>
                                </w:rPr>
                              </w:pPr>
                              <w:r w:rsidRPr="00C61FD3">
                                <w:rPr>
                                  <w:rFonts w:ascii="Times New Roman" w:hAnsi="Times New Roman"/>
                                  <w:sz w:val="16"/>
                                </w:rPr>
                                <w:t>+1 610,0</w:t>
                              </w:r>
                            </w:p>
                          </w:txbxContent>
                        </wps:txbx>
                        <wps:bodyPr rot="0" vert="horz" wrap="square" lIns="91440" tIns="45720" rIns="91440" bIns="45720" anchor="t" anchorCtr="0" upright="1">
                          <a:noAutofit/>
                        </wps:bodyPr>
                      </wps:wsp>
                      <wps:wsp>
                        <wps:cNvPr id="5" name="Прямоугольник: скругленные углы 107"/>
                        <wps:cNvSpPr>
                          <a:spLocks noChangeArrowheads="1"/>
                        </wps:cNvSpPr>
                        <wps:spPr bwMode="auto">
                          <a:xfrm>
                            <a:off x="477" y="1910"/>
                            <a:ext cx="3583" cy="1232"/>
                          </a:xfrm>
                          <a:prstGeom prst="roundRect">
                            <a:avLst>
                              <a:gd name="adj" fmla="val 16667"/>
                            </a:avLst>
                          </a:prstGeom>
                          <a:noFill/>
                          <a:ln w="63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49828240" id="Группа 1" o:spid="_x0000_s1030" style="position:absolute;left:0;text-align:left;margin-left:428.6pt;margin-top:107.65pt;width:62.3pt;height:26.4pt;z-index:251658240;mso-position-horizontal-relative:margin;mso-width-relative:margin;mso-height-relative:margin" coordorigin="477,1780" coordsize="5186,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3oHQQAACULAAAOAAAAZHJzL2Uyb0RvYy54bWzcVltv3EQUfkfiP4z8vvFlvb4pmyrZS4QU&#10;oKLwA2bt8QVsj5mZjTcgJCoeW4kHnhF/oVKpVDW0/AXvP+LMjL3ZTYhAjegDu5I11zPnfOd838zx&#10;o01VokvCeEHrqWEfWQYidUyTos6mxldfLkeBgbjAdYJLWpOpcUW48ejk44+O2yYiDs1pmRCGwEjN&#10;o7aZGrkQTWSaPM5JhfkRbUgNkyllFRbQZZmZMNyC9ao0HcvyzJaypGE0JpzD6FxPGifKfpqSWHye&#10;ppwIVE4N8E2oL1PflfyaJ8c4yhhu8iLu3cDv4UWFixoO3ZmaY4HRmhV3TFVFzCinqTiKaWXSNC1i&#10;omKAaGzrVjTnjK4bFUsWtVmzgwmgvYXTe5uNP7t8zFCRQO4MVOMKUtT9sv1x+1P3J/xfIFsi1DZZ&#10;BAvPWfOkecx0mNC8oPE3HKbN2/Oyn+nFaNV+ShOwiteCKoQ2KaukCYgdbVQirnaJIBuBYhj0Q9ux&#10;IV0xTI3HEyfoExXnkE25y/V9A8Gk7d9MLfrNEzvw9FZn7AfSfxNH+lTlae+ZDAtqjt/Ayh8G65Mc&#10;N0Rli0u0elidHay/di+63wHU19un2+fItjwNrVoscUVic0YhNlvBxDW8qKazHNcZOWWMtjnBCXip&#10;kgKx7LbqWLg08k9430VuAP0At/AANxw1jItzQiskG1ODAbGUm/jyggsN8bBEJremy6IsYRxHZX0w&#10;ALnQI3AsbJVz0gHFle9DK1wEi8AduY63GLnWfD46Xc7ckbe0/cl8PJ/N5vYP8lzbjfIiSUgtjxl4&#10;a7v/LoG9gmjG7ZjLaVkk0px0ibNsNSsZusSgG0v16wHZW2YeuqHqDGK5FZLtuNaZE46WXuCP3KU7&#10;GYW+FYwsOzwLPcsN3fnyMKSLoiYPDwm1QB1ATRfTvbFZ6nc3NhxVhQBlLotqagS7RTiSJbioE5Va&#10;gYtSt/egkO7fQAHpHhKtClbWqK5WsVltlPC4Aw9WNLmCCmYUCgzID7cKNHLKvjNQCwo9Nfi3a8yI&#10;gcpPamBBaLuulHTVcSe+Ax22P7Pan8F1DKamhjCQbs6EvgbWDSuyHE7SvKvpKShVWqiilhTTXimV&#10;U3LxgXRjstON30COf+7+6N6BKL/s3nXX2+fd2+519yZC26fdGyXWL7vr7hWMvt0+614htfB6+wxE&#10;xh/ABUUaxPs/l5YQtFsViGS21PPxJBhrSbadsdNX23ARDLoxSAtd18kXB/oiGZUl/fWEk68NlFYl&#10;XNPATmR7nqeChEpTYqRqb7Apdx5okaSFN55Yf0ML+eQgO9KLja6Hcl3BBaaFwN7jAYzLu0gJhIoW&#10;zlevFmlC+bCnFDiCm7wnzX0E+v/L4v1a8EGYHwv2cO6rFwS8xVSG+3ejfOzt96G9/7o9+QsAAP//&#10;AwBQSwMEFAAGAAgAAAAhAPOHV9XhAAAACwEAAA8AAABkcnMvZG93bnJldi54bWxMj8FKw0AQhu+C&#10;77CM4M1uNiU1xmxKKeqpCLaCeJsm0yQ0uxuy2yR9e8eTHmfm45/vz9ez6cRIg2+d1aAWEQiypata&#10;W2v4PLw+pCB8QFth5yxpuJKHdXF7k2NWucl+0LgPteAQ6zPU0ITQZ1L6siGDfuF6snw7ucFg4HGo&#10;ZTXgxOGmk3EUraTB1vKHBnvaNlSe9xej4W3CabNUL+PufNpevw/J+9dOkdb3d/PmGUSgOfzB8KvP&#10;6lCw09FdbOVFpyFNHmNGNcQqWYJg4ilVXObIm1WqQBa5/N+h+AEAAP//AwBQSwECLQAUAAYACAAA&#10;ACEAtoM4kv4AAADhAQAAEwAAAAAAAAAAAAAAAAAAAAAAW0NvbnRlbnRfVHlwZXNdLnhtbFBLAQIt&#10;ABQABgAIAAAAIQA4/SH/1gAAAJQBAAALAAAAAAAAAAAAAAAAAC8BAABfcmVscy8ucmVsc1BLAQIt&#10;ABQABgAIAAAAIQBTC13oHQQAACULAAAOAAAAAAAAAAAAAAAAAC4CAABkcnMvZTJvRG9jLnhtbFBL&#10;AQItABQABgAIAAAAIQDzh1fV4QAAAAsBAAAPAAAAAAAAAAAAAAAAAHcGAABkcnMvZG93bnJldi54&#10;bWxQSwUGAAAAAAQABADzAAAAhQcAAAAA&#10;">
                <v:shape id="Надпись 106" o:spid="_x0000_s1031" type="#_x0000_t202" style="position:absolute;left:477;top:1780;width:5186;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ewwAAANoAAAAPAAAAZHJzL2Rvd25yZXYueG1sRI9La8JA&#10;FIX3hf6H4Rbc1UldBJs6iigBwZWmC7O7ZK5JaOZOmpk89Nc7QqHLw3l8nNVmMo0YqHO1ZQUf8wgE&#10;cWF1zaWC7yx9X4JwHlljY5kU3MjBZv36ssJE25FPNJx9KcIIuwQVVN63iZSuqMigm9uWOHhX2xn0&#10;QXal1B2OYdw0chFFsTRYcyBU2NKuouLn3JvA3fs8bT/7+ncqrsdLM2Zxlt+Vmr1N2y8Qnib/H/5r&#10;H7SCBTyvhBsg1w8AAAD//wMAUEsBAi0AFAAGAAgAAAAhANvh9svuAAAAhQEAABMAAAAAAAAAAAAA&#10;AAAAAAAAAFtDb250ZW50X1R5cGVzXS54bWxQSwECLQAUAAYACAAAACEAWvQsW78AAAAVAQAACwAA&#10;AAAAAAAAAAAAAAAfAQAAX3JlbHMvLnJlbHNQSwECLQAUAAYACAAAACEAWfwCXsMAAADaAAAADwAA&#10;AAAAAAAAAAAAAAAHAgAAZHJzL2Rvd25yZXYueG1sUEsFBgAAAAADAAMAtwAAAPcCAAAAAA==&#10;" filled="f" stroked="f" strokeweight=".25pt">
                  <v:textbox>
                    <w:txbxContent>
                      <w:p w14:paraId="2ECBB907" w14:textId="77777777" w:rsidR="00540656" w:rsidRPr="00C61FD3" w:rsidRDefault="00540656" w:rsidP="002B169F">
                        <w:pPr>
                          <w:rPr>
                            <w:rFonts w:ascii="Times New Roman" w:hAnsi="Times New Roman"/>
                            <w:sz w:val="16"/>
                          </w:rPr>
                        </w:pPr>
                        <w:r w:rsidRPr="00C61FD3">
                          <w:rPr>
                            <w:rFonts w:ascii="Times New Roman" w:hAnsi="Times New Roman"/>
                            <w:sz w:val="16"/>
                          </w:rPr>
                          <w:t>+1 610,0</w:t>
                        </w:r>
                      </w:p>
                    </w:txbxContent>
                  </v:textbox>
                </v:shape>
                <v:roundrect id="Прямоугольник: скругленные углы 107" o:spid="_x0000_s1032" style="position:absolute;left:477;top:1910;width:3583;height:1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UwQAAANoAAAAPAAAAZHJzL2Rvd25yZXYueG1sRI9BawIx&#10;FITvgv8hPMGbZhWssjWKiNV67KrQ4+vmdbOYvCybVLf/vhEKHoeZ+YZZrjtnxY3aUHtWMBlnIIhL&#10;r2uuFJxPb6MFiBCRNVrPpOCXAqxX/d4Sc+3v/EG3IlYiQTjkqMDE2ORShtKQwzD2DXHyvn3rMCbZ&#10;VlK3eE9wZ+U0y16kw5rTgsGGtobKa/HjFFQY55vD8WL39nN22M2L7utKRqnhoNu8gojUxWf4v/2u&#10;FczgcSXdALn6AwAA//8DAFBLAQItABQABgAIAAAAIQDb4fbL7gAAAIUBAAATAAAAAAAAAAAAAAAA&#10;AAAAAABbQ29udGVudF9UeXBlc10ueG1sUEsBAi0AFAAGAAgAAAAhAFr0LFu/AAAAFQEAAAsAAAAA&#10;AAAAAAAAAAAAHwEAAF9yZWxzLy5yZWxzUEsBAi0AFAAGAAgAAAAhAIU37ZTBAAAA2gAAAA8AAAAA&#10;AAAAAAAAAAAABwIAAGRycy9kb3ducmV2LnhtbFBLBQYAAAAAAwADALcAAAD1AgAAAAA=&#10;" filled="f" strokecolor="black [3213]" strokeweight=".5pt"/>
                <w10:wrap anchorx="margin"/>
              </v:group>
            </w:pict>
          </mc:Fallback>
        </mc:AlternateContent>
      </w:r>
      <w:r w:rsidRPr="00375059">
        <w:rPr>
          <w:rFonts w:ascii="Times New Roman" w:hAnsi="Times New Roman"/>
          <w:bCs/>
          <w:noProof/>
          <w:sz w:val="28"/>
          <w:szCs w:val="28"/>
          <w:shd w:val="clear" w:color="auto" w:fill="F2F2F2" w:themeFill="background1" w:themeFillShade="F2"/>
        </w:rPr>
        <w:drawing>
          <wp:inline distT="0" distB="0" distL="0" distR="0" wp14:anchorId="51DBF053" wp14:editId="20A02B33">
            <wp:extent cx="6106602" cy="3260725"/>
            <wp:effectExtent l="0" t="0" r="889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20EA6E" w14:textId="77777777" w:rsidR="007F42C2" w:rsidRPr="00375059" w:rsidRDefault="007F42C2"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Увеличение потребительского спроса обеспечило восстановление сократившихся за период </w:t>
      </w:r>
      <w:proofErr w:type="spellStart"/>
      <w:r w:rsidRPr="00375059">
        <w:rPr>
          <w:rFonts w:ascii="Times New Roman" w:hAnsi="Times New Roman"/>
          <w:sz w:val="28"/>
          <w:szCs w:val="28"/>
        </w:rPr>
        <w:t>локдауна</w:t>
      </w:r>
      <w:proofErr w:type="spellEnd"/>
      <w:r w:rsidRPr="00375059">
        <w:rPr>
          <w:rFonts w:ascii="Times New Roman" w:hAnsi="Times New Roman"/>
          <w:sz w:val="28"/>
          <w:szCs w:val="28"/>
        </w:rPr>
        <w:t xml:space="preserve"> параметров отрасли </w:t>
      </w:r>
      <w:r w:rsidRPr="00375059">
        <w:rPr>
          <w:rFonts w:ascii="Times New Roman" w:hAnsi="Times New Roman"/>
          <w:b/>
          <w:bCs/>
          <w:sz w:val="28"/>
          <w:szCs w:val="28"/>
        </w:rPr>
        <w:t xml:space="preserve">«торговля и общественное питание». </w:t>
      </w:r>
      <w:r w:rsidRPr="00375059">
        <w:rPr>
          <w:rFonts w:ascii="Times New Roman" w:hAnsi="Times New Roman"/>
          <w:sz w:val="28"/>
          <w:szCs w:val="28"/>
        </w:rPr>
        <w:t>Валовой выпуск вырос на 904,9 млн руб. (+32,6%), валовая добавленная стоимость – на 736,7 млн руб. (+35,4%), в результате чего долевое представление отрасли достигло 45,6% в составе рыночных услуг и 14,9% – в структуре ВВП.</w:t>
      </w:r>
    </w:p>
    <w:p w14:paraId="65CE33E8" w14:textId="77777777" w:rsidR="007F42C2" w:rsidRPr="00375059" w:rsidRDefault="007F42C2" w:rsidP="00863ADB">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Положительный вклад в динамику ВВП на фоне расширения валового выпуска на 14,0% и промежуточного потребления на 20,3% внесли организации сферы </w:t>
      </w:r>
      <w:r w:rsidRPr="00375059">
        <w:rPr>
          <w:rFonts w:ascii="Times New Roman" w:hAnsi="Times New Roman"/>
          <w:b/>
          <w:sz w:val="28"/>
          <w:szCs w:val="28"/>
        </w:rPr>
        <w:t>жилищно-коммунальных услуг</w:t>
      </w:r>
      <w:r w:rsidRPr="00375059">
        <w:rPr>
          <w:rFonts w:ascii="Times New Roman" w:hAnsi="Times New Roman"/>
          <w:sz w:val="28"/>
          <w:szCs w:val="28"/>
        </w:rPr>
        <w:t>, объем вновь созданной добавленной стоимости которых вырос на 10,6% до 484,5 млн руб. (2,6% ВВП).</w:t>
      </w:r>
    </w:p>
    <w:p w14:paraId="32AA4318" w14:textId="77777777" w:rsidR="007F42C2" w:rsidRPr="00375059" w:rsidRDefault="007F42C2"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Сохранение сопутствующих расходных затрат, включаемых в промежуточное потребление отрасли </w:t>
      </w:r>
      <w:r w:rsidRPr="00375059">
        <w:rPr>
          <w:rFonts w:ascii="Times New Roman" w:hAnsi="Times New Roman"/>
          <w:b/>
          <w:sz w:val="28"/>
          <w:szCs w:val="28"/>
        </w:rPr>
        <w:t xml:space="preserve">«связь» </w:t>
      </w:r>
      <w:r w:rsidRPr="00375059">
        <w:rPr>
          <w:rFonts w:ascii="Times New Roman" w:hAnsi="Times New Roman"/>
          <w:bCs/>
          <w:sz w:val="28"/>
          <w:szCs w:val="28"/>
        </w:rPr>
        <w:t>практически на уровне 2020 года</w:t>
      </w:r>
      <w:r w:rsidRPr="00375059">
        <w:rPr>
          <w:rFonts w:ascii="Times New Roman" w:hAnsi="Times New Roman"/>
          <w:sz w:val="28"/>
          <w:szCs w:val="28"/>
        </w:rPr>
        <w:t xml:space="preserve"> (-0,2%), сопровождалось увеличением валового выпуска на 6,0% и, как следствие, ростом вновь созданной стоимости до 479,3 млн руб. (+11,0%), обеспечив тем самым долевое участие отрасли в формировании совокупного показателя на уровне 2,5%.</w:t>
      </w:r>
    </w:p>
    <w:p w14:paraId="48DCB434" w14:textId="363D2F1F" w:rsidR="007F42C2" w:rsidRPr="00375059" w:rsidRDefault="007F42C2" w:rsidP="00863ADB">
      <w:pPr>
        <w:spacing w:after="0" w:line="240" w:lineRule="auto"/>
        <w:ind w:firstLine="567"/>
        <w:jc w:val="both"/>
        <w:rPr>
          <w:rFonts w:ascii="Times New Roman" w:hAnsi="Times New Roman"/>
          <w:sz w:val="28"/>
          <w:szCs w:val="28"/>
        </w:rPr>
      </w:pPr>
      <w:r w:rsidRPr="00375059">
        <w:rPr>
          <w:rFonts w:ascii="Times New Roman" w:hAnsi="Times New Roman"/>
          <w:sz w:val="28"/>
          <w:szCs w:val="28"/>
        </w:rPr>
        <w:lastRenderedPageBreak/>
        <w:t xml:space="preserve">Увеличивающийся размер государственных расходов на реализацию социальных программ обеспечил расширение объема вновь созданной добавленной стоимости в секторе </w:t>
      </w:r>
      <w:r w:rsidRPr="00375059">
        <w:rPr>
          <w:rFonts w:ascii="Times New Roman" w:hAnsi="Times New Roman"/>
          <w:b/>
          <w:sz w:val="28"/>
          <w:szCs w:val="28"/>
        </w:rPr>
        <w:t>нерыночных услуг</w:t>
      </w:r>
      <w:r w:rsidRPr="00375059">
        <w:rPr>
          <w:rFonts w:ascii="Times New Roman" w:hAnsi="Times New Roman"/>
          <w:sz w:val="28"/>
          <w:szCs w:val="28"/>
        </w:rPr>
        <w:t xml:space="preserve"> на 9,1% до </w:t>
      </w:r>
      <w:r>
        <w:rPr>
          <w:rFonts w:ascii="Times New Roman" w:hAnsi="Times New Roman"/>
          <w:sz w:val="28"/>
          <w:szCs w:val="28"/>
        </w:rPr>
        <w:br/>
      </w:r>
      <w:r w:rsidRPr="00375059">
        <w:rPr>
          <w:rFonts w:ascii="Times New Roman" w:hAnsi="Times New Roman"/>
          <w:sz w:val="28"/>
          <w:szCs w:val="28"/>
        </w:rPr>
        <w:t>4 307,6 млн руб., что соответствует 22,8% совокупного показателя (27,8% в базисном периоде).</w:t>
      </w:r>
    </w:p>
    <w:p w14:paraId="55FA097A" w14:textId="77777777" w:rsidR="007F42C2" w:rsidRPr="00375059" w:rsidRDefault="007F42C2" w:rsidP="00863ADB">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Функционирование </w:t>
      </w:r>
      <w:r w:rsidRPr="00375059">
        <w:rPr>
          <w:rFonts w:ascii="Times New Roman" w:hAnsi="Times New Roman"/>
          <w:b/>
          <w:bCs/>
          <w:sz w:val="28"/>
          <w:szCs w:val="28"/>
        </w:rPr>
        <w:t>здравоохранения и социального обеспечения</w:t>
      </w:r>
      <w:r w:rsidRPr="00375059">
        <w:rPr>
          <w:rFonts w:ascii="Times New Roman" w:hAnsi="Times New Roman"/>
          <w:sz w:val="28"/>
          <w:szCs w:val="28"/>
        </w:rPr>
        <w:t xml:space="preserve"> в условиях эпидемиологических рисков спровоцировало рост расходов на приобретение медикаментов и перевязочных средств (+32,7%), существенное повышение затрат на содержание автотранспорта и оплату топлива (в 5,7 раза в совокупности), а также повышенные расходы на питание и по коммунальным платежам (в 1,5 раза). В конечном итоге промежуточное потребление выросло в 1,4 раза, что привело к формированию добавленной стоимости отрасли в размере 1 140,7 млн руб. (+8,9%), или 26,5% валовой добавленной стоимости нерыночного сектора.</w:t>
      </w:r>
    </w:p>
    <w:p w14:paraId="744A7E4F" w14:textId="77777777" w:rsidR="007F42C2" w:rsidRPr="00375059" w:rsidRDefault="007F42C2" w:rsidP="00863ADB">
      <w:pPr>
        <w:spacing w:after="0" w:line="240" w:lineRule="auto"/>
        <w:ind w:firstLine="567"/>
        <w:jc w:val="both"/>
        <w:rPr>
          <w:rFonts w:ascii="Times New Roman" w:hAnsi="Times New Roman"/>
          <w:b/>
          <w:bCs/>
          <w:sz w:val="28"/>
          <w:szCs w:val="28"/>
        </w:rPr>
      </w:pPr>
      <w:r w:rsidRPr="00375059">
        <w:rPr>
          <w:rFonts w:ascii="Times New Roman" w:hAnsi="Times New Roman"/>
          <w:sz w:val="28"/>
          <w:szCs w:val="28"/>
        </w:rPr>
        <w:t xml:space="preserve">Вынужденный </w:t>
      </w:r>
      <w:r>
        <w:rPr>
          <w:rFonts w:ascii="Times New Roman" w:hAnsi="Times New Roman"/>
          <w:sz w:val="28"/>
          <w:szCs w:val="28"/>
        </w:rPr>
        <w:t xml:space="preserve">периодический </w:t>
      </w:r>
      <w:r w:rsidRPr="00375059">
        <w:rPr>
          <w:rFonts w:ascii="Times New Roman" w:hAnsi="Times New Roman"/>
          <w:sz w:val="28"/>
          <w:szCs w:val="28"/>
        </w:rPr>
        <w:t xml:space="preserve">переход </w:t>
      </w:r>
      <w:r w:rsidRPr="00375059">
        <w:rPr>
          <w:rFonts w:ascii="Times New Roman" w:hAnsi="Times New Roman"/>
          <w:b/>
          <w:bCs/>
          <w:sz w:val="28"/>
          <w:szCs w:val="28"/>
        </w:rPr>
        <w:t xml:space="preserve">системы образования </w:t>
      </w:r>
      <w:r w:rsidRPr="00375059">
        <w:rPr>
          <w:rFonts w:ascii="Times New Roman" w:hAnsi="Times New Roman"/>
          <w:sz w:val="28"/>
          <w:szCs w:val="28"/>
        </w:rPr>
        <w:t xml:space="preserve">на карантинный режим функционирования </w:t>
      </w:r>
      <w:r>
        <w:rPr>
          <w:rFonts w:ascii="Times New Roman" w:hAnsi="Times New Roman"/>
          <w:sz w:val="28"/>
          <w:szCs w:val="28"/>
        </w:rPr>
        <w:t>сопровождался</w:t>
      </w:r>
      <w:r w:rsidRPr="00375059">
        <w:rPr>
          <w:rFonts w:ascii="Times New Roman" w:hAnsi="Times New Roman"/>
          <w:sz w:val="28"/>
          <w:szCs w:val="28"/>
        </w:rPr>
        <w:t xml:space="preserve"> рост</w:t>
      </w:r>
      <w:r>
        <w:rPr>
          <w:rFonts w:ascii="Times New Roman" w:hAnsi="Times New Roman"/>
          <w:sz w:val="28"/>
          <w:szCs w:val="28"/>
        </w:rPr>
        <w:t>ом</w:t>
      </w:r>
      <w:r w:rsidRPr="00375059">
        <w:rPr>
          <w:rFonts w:ascii="Times New Roman" w:hAnsi="Times New Roman"/>
          <w:sz w:val="28"/>
          <w:szCs w:val="28"/>
        </w:rPr>
        <w:t xml:space="preserve"> затрат отрасли на 6,0%, что обеспечило формирование валовой добавленной стоимости на уровне 1 016,6 млн руб. (+10,8%).</w:t>
      </w:r>
    </w:p>
    <w:p w14:paraId="68DC999A" w14:textId="7D5E742D" w:rsidR="007F42C2" w:rsidRPr="00375059" w:rsidRDefault="007F42C2" w:rsidP="00863ADB">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Объем налогов на продукты и импорт по итогам 2021 года вырос на </w:t>
      </w:r>
      <w:r w:rsidR="00F33FCE">
        <w:rPr>
          <w:rFonts w:ascii="Times New Roman" w:hAnsi="Times New Roman"/>
          <w:sz w:val="28"/>
          <w:szCs w:val="28"/>
        </w:rPr>
        <w:t>119,6</w:t>
      </w:r>
      <w:r w:rsidRPr="00375059">
        <w:rPr>
          <w:rFonts w:ascii="Times New Roman" w:hAnsi="Times New Roman"/>
          <w:sz w:val="28"/>
          <w:szCs w:val="28"/>
        </w:rPr>
        <w:t> млн руб. (+</w:t>
      </w:r>
      <w:r w:rsidR="00D87555">
        <w:rPr>
          <w:rFonts w:ascii="Times New Roman" w:hAnsi="Times New Roman"/>
          <w:sz w:val="28"/>
          <w:szCs w:val="28"/>
        </w:rPr>
        <w:t>16,9</w:t>
      </w:r>
      <w:r w:rsidRPr="00375059">
        <w:rPr>
          <w:rFonts w:ascii="Times New Roman" w:hAnsi="Times New Roman"/>
          <w:sz w:val="28"/>
          <w:szCs w:val="28"/>
        </w:rPr>
        <w:t xml:space="preserve">%). Одновременно, величина государственных субсидий повысилась относительно базисного параметра на 15,7% (до 555,6 млн руб.). В результате сумма средств, отражаемых по статье </w:t>
      </w:r>
      <w:r w:rsidRPr="00375059">
        <w:rPr>
          <w:rFonts w:ascii="Times New Roman" w:hAnsi="Times New Roman"/>
          <w:b/>
          <w:sz w:val="28"/>
          <w:szCs w:val="28"/>
        </w:rPr>
        <w:t xml:space="preserve">«чистые налоги на продукты и импорт» </w:t>
      </w:r>
      <w:r w:rsidRPr="00375059">
        <w:rPr>
          <w:rFonts w:ascii="Times New Roman" w:hAnsi="Times New Roman"/>
          <w:sz w:val="28"/>
          <w:szCs w:val="28"/>
        </w:rPr>
        <w:t xml:space="preserve">(за вычетом субсидий) сформировалась в размере 272,2 млн руб. (против 227,9 млн руб. годом ранее), обеспечив 1,4% </w:t>
      </w:r>
      <w:r w:rsidRPr="00375059">
        <w:rPr>
          <w:rFonts w:ascii="Times New Roman" w:hAnsi="Times New Roman"/>
          <w:sz w:val="28"/>
          <w:szCs w:val="28"/>
        </w:rPr>
        <w:br/>
        <w:t>(-0,2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в структуре ВВП.</w:t>
      </w:r>
    </w:p>
    <w:p w14:paraId="43C61E4D" w14:textId="77777777" w:rsidR="00963998" w:rsidRDefault="00963998" w:rsidP="007F42C2">
      <w:pPr>
        <w:ind w:firstLine="567"/>
        <w:rPr>
          <w:rFonts w:ascii="Times New Roman" w:hAnsi="Times New Roman"/>
        </w:rPr>
        <w:sectPr w:rsidR="00963998" w:rsidSect="00963998">
          <w:headerReference w:type="even" r:id="rId13"/>
          <w:headerReference w:type="first" r:id="rId14"/>
          <w:pgSz w:w="11906" w:h="16838"/>
          <w:pgMar w:top="1134" w:right="850" w:bottom="1134" w:left="1701" w:header="454" w:footer="340" w:gutter="0"/>
          <w:cols w:space="708"/>
          <w:titlePg/>
          <w:docGrid w:linePitch="360"/>
        </w:sectPr>
      </w:pPr>
    </w:p>
    <w:p w14:paraId="2A23F5EE" w14:textId="77777777" w:rsidR="007F42C2" w:rsidRPr="00375059" w:rsidRDefault="007F42C2" w:rsidP="007F42C2">
      <w:pPr>
        <w:pStyle w:val="2"/>
        <w:spacing w:before="0" w:line="240" w:lineRule="auto"/>
        <w:ind w:firstLine="426"/>
        <w:rPr>
          <w:rFonts w:ascii="Times New Roman" w:hAnsi="Times New Roman" w:cs="Times New Roman"/>
          <w:b/>
          <w:color w:val="auto"/>
          <w:sz w:val="28"/>
        </w:rPr>
      </w:pPr>
      <w:bookmarkStart w:id="4" w:name="_Toc70323557"/>
      <w:bookmarkStart w:id="5" w:name="_Toc101441777"/>
      <w:r w:rsidRPr="00375059">
        <w:rPr>
          <w:rFonts w:ascii="Times New Roman" w:hAnsi="Times New Roman" w:cs="Times New Roman"/>
          <w:b/>
          <w:color w:val="auto"/>
          <w:sz w:val="28"/>
        </w:rPr>
        <w:lastRenderedPageBreak/>
        <w:t>Состояние реального сектора экономики</w:t>
      </w:r>
      <w:bookmarkEnd w:id="4"/>
      <w:bookmarkEnd w:id="5"/>
    </w:p>
    <w:p w14:paraId="409E653B" w14:textId="77777777" w:rsidR="007F42C2" w:rsidRPr="00375059" w:rsidRDefault="007F42C2" w:rsidP="007F42C2">
      <w:pPr>
        <w:keepNext/>
        <w:keepLines/>
        <w:spacing w:after="0" w:line="240" w:lineRule="auto"/>
        <w:ind w:firstLine="567"/>
        <w:outlineLvl w:val="1"/>
        <w:rPr>
          <w:rFonts w:ascii="Times New Roman" w:hAnsi="Times New Roman"/>
          <w:b/>
          <w:sz w:val="28"/>
          <w:szCs w:val="26"/>
        </w:rPr>
      </w:pPr>
      <w:bookmarkStart w:id="6" w:name="_Toc82074342"/>
    </w:p>
    <w:p w14:paraId="179E6400" w14:textId="77777777" w:rsidR="007F42C2" w:rsidRPr="00375059" w:rsidRDefault="007F42C2" w:rsidP="007F42C2">
      <w:pPr>
        <w:keepNext/>
        <w:keepLines/>
        <w:spacing w:after="0" w:line="240" w:lineRule="auto"/>
        <w:ind w:firstLine="426"/>
        <w:outlineLvl w:val="1"/>
        <w:rPr>
          <w:rFonts w:ascii="Times New Roman" w:hAnsi="Times New Roman"/>
          <w:b/>
          <w:sz w:val="28"/>
          <w:szCs w:val="26"/>
        </w:rPr>
      </w:pPr>
      <w:bookmarkStart w:id="7" w:name="_Toc101441778"/>
      <w:r w:rsidRPr="00375059">
        <w:rPr>
          <w:rFonts w:ascii="Times New Roman" w:hAnsi="Times New Roman"/>
          <w:b/>
          <w:sz w:val="28"/>
          <w:szCs w:val="26"/>
        </w:rPr>
        <w:t>Промышленность</w:t>
      </w:r>
      <w:bookmarkEnd w:id="6"/>
      <w:bookmarkEnd w:id="7"/>
    </w:p>
    <w:p w14:paraId="326F0621" w14:textId="77777777" w:rsidR="007F42C2" w:rsidRPr="00375059" w:rsidRDefault="007F42C2" w:rsidP="007F42C2">
      <w:pPr>
        <w:widowControl w:val="0"/>
        <w:spacing w:after="0" w:line="240" w:lineRule="auto"/>
        <w:ind w:firstLine="426"/>
        <w:jc w:val="both"/>
        <w:rPr>
          <w:rFonts w:ascii="Times New Roman" w:hAnsi="Times New Roman"/>
          <w:sz w:val="28"/>
          <w:szCs w:val="28"/>
        </w:rPr>
      </w:pPr>
      <w:r w:rsidRPr="00375059">
        <w:rPr>
          <w:rFonts w:ascii="Times New Roman" w:hAnsi="Times New Roman"/>
          <w:sz w:val="28"/>
          <w:szCs w:val="28"/>
        </w:rPr>
        <w:t xml:space="preserve">Индустриальный комплекс республики в 2021 году демонстрировал высокую производственную активность. По итогам года совокупный промышленный выпуск, с учетом объемов производства субъектов малого предпринимательства, оценен в размере 17 764,5 млн руб., что превышает уровень предыдущего года на 34,7%. </w:t>
      </w:r>
    </w:p>
    <w:p w14:paraId="684AE751" w14:textId="56C3003F" w:rsidR="007F42C2" w:rsidRPr="00375059" w:rsidRDefault="007F42C2" w:rsidP="007F42C2">
      <w:pPr>
        <w:widowControl w:val="0"/>
        <w:spacing w:after="0" w:line="240" w:lineRule="auto"/>
        <w:ind w:firstLine="426"/>
        <w:jc w:val="both"/>
        <w:rPr>
          <w:rFonts w:ascii="Times New Roman" w:hAnsi="Times New Roman"/>
          <w:sz w:val="28"/>
          <w:szCs w:val="28"/>
        </w:rPr>
      </w:pPr>
      <w:r w:rsidRPr="00375059">
        <w:rPr>
          <w:rFonts w:ascii="Times New Roman" w:hAnsi="Times New Roman"/>
          <w:sz w:val="28"/>
          <w:szCs w:val="28"/>
        </w:rPr>
        <w:t>Высокая интенсивность производственных процессов стала следствием повышения спроса на внутреннем и внешн</w:t>
      </w:r>
      <w:r w:rsidR="000C3FA1">
        <w:rPr>
          <w:rFonts w:ascii="Times New Roman" w:hAnsi="Times New Roman"/>
          <w:sz w:val="28"/>
          <w:szCs w:val="28"/>
        </w:rPr>
        <w:t>ем</w:t>
      </w:r>
      <w:r w:rsidRPr="00375059">
        <w:rPr>
          <w:rFonts w:ascii="Times New Roman" w:hAnsi="Times New Roman"/>
          <w:sz w:val="28"/>
          <w:szCs w:val="28"/>
        </w:rPr>
        <w:t xml:space="preserve"> рынках, активизации внешнеэкономической деятельности, благоприятной ценовой конъюнктуры на основные товары приднестровского экспорта. </w:t>
      </w:r>
    </w:p>
    <w:p w14:paraId="1C990BA2" w14:textId="155710A4" w:rsidR="007F42C2" w:rsidRPr="00375059" w:rsidRDefault="007F42C2" w:rsidP="007F42C2">
      <w:pPr>
        <w:widowControl w:val="0"/>
        <w:spacing w:after="0" w:line="240" w:lineRule="auto"/>
        <w:ind w:firstLine="426"/>
        <w:jc w:val="both"/>
        <w:rPr>
          <w:rFonts w:ascii="Times New Roman" w:hAnsi="Times New Roman"/>
          <w:sz w:val="28"/>
          <w:szCs w:val="28"/>
        </w:rPr>
      </w:pPr>
      <w:r w:rsidRPr="00375059">
        <w:rPr>
          <w:rFonts w:ascii="Times New Roman" w:hAnsi="Times New Roman"/>
          <w:sz w:val="28"/>
          <w:szCs w:val="28"/>
        </w:rPr>
        <w:t xml:space="preserve">За отчетный период объем промышленного производства по крупным и средним предприятиям республики достиг 16 666,1 млн руб., что в 1,4 раза выше уровня 2020 года в текущих ценах (+10,7% в реальном выражении). При этом положительная динамика зафиксирована в 8 из 11 отраслей. В сопоставимой оценке отставание отмечено по 5 отраслям в диапазоне от </w:t>
      </w:r>
      <w:r>
        <w:rPr>
          <w:rFonts w:ascii="Times New Roman" w:hAnsi="Times New Roman"/>
          <w:sz w:val="28"/>
          <w:szCs w:val="28"/>
        </w:rPr>
        <w:br/>
      </w:r>
      <w:r w:rsidRPr="00375059">
        <w:rPr>
          <w:rFonts w:ascii="Times New Roman" w:hAnsi="Times New Roman"/>
          <w:sz w:val="28"/>
          <w:szCs w:val="28"/>
        </w:rPr>
        <w:t>-</w:t>
      </w:r>
      <w:r w:rsidR="0023687F">
        <w:rPr>
          <w:rFonts w:ascii="Times New Roman" w:hAnsi="Times New Roman"/>
          <w:sz w:val="28"/>
          <w:szCs w:val="28"/>
        </w:rPr>
        <w:t>1</w:t>
      </w:r>
      <w:r w:rsidRPr="00375059">
        <w:rPr>
          <w:rFonts w:ascii="Times New Roman" w:hAnsi="Times New Roman"/>
          <w:sz w:val="28"/>
          <w:szCs w:val="28"/>
        </w:rPr>
        <w:t>5,0% в полиграфической промышленности до -0,8% в промышленности строительных материалов. Индекс физического объема промышленной продукции составил 106,8%.</w:t>
      </w:r>
    </w:p>
    <w:p w14:paraId="36600D56" w14:textId="77777777" w:rsidR="007F42C2" w:rsidRPr="00375059" w:rsidRDefault="007F42C2"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 целом за рассматриваемый период увеличили выпуск промышленной продукции 53 предприятия, или 60,9% от их общего числа (в 2020 году – 34 ед.), спад допущен в 30 организациях (в 2020 году – 47 ед.), что составляет 34,5%.</w:t>
      </w:r>
    </w:p>
    <w:p w14:paraId="496C9D0C" w14:textId="7E12883E" w:rsidR="002B169F" w:rsidRPr="00375059" w:rsidRDefault="002B169F" w:rsidP="002B169F">
      <w:pPr>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 xml:space="preserve">Рисунок </w:t>
      </w:r>
      <w:r w:rsidR="00974106" w:rsidRPr="00375059">
        <w:rPr>
          <w:rFonts w:ascii="Times New Roman" w:hAnsi="Times New Roman"/>
          <w:b/>
          <w:i/>
          <w:sz w:val="28"/>
          <w:szCs w:val="28"/>
        </w:rPr>
        <w:t>3</w:t>
      </w:r>
    </w:p>
    <w:p w14:paraId="66D1A05C" w14:textId="77777777" w:rsidR="002B169F" w:rsidRPr="00375059" w:rsidRDefault="002B169F" w:rsidP="002B169F">
      <w:pPr>
        <w:spacing w:after="0" w:line="240" w:lineRule="auto"/>
        <w:jc w:val="center"/>
        <w:rPr>
          <w:rFonts w:ascii="Times New Roman" w:hAnsi="Times New Roman"/>
          <w:b/>
          <w:sz w:val="28"/>
          <w:szCs w:val="28"/>
        </w:rPr>
      </w:pPr>
      <w:r w:rsidRPr="00375059">
        <w:rPr>
          <w:rFonts w:ascii="Times New Roman" w:hAnsi="Times New Roman"/>
          <w:b/>
          <w:sz w:val="28"/>
          <w:szCs w:val="28"/>
        </w:rPr>
        <w:t>Динамика промышленного производства в разрезе отраслей, млн руб.</w:t>
      </w:r>
    </w:p>
    <w:p w14:paraId="4A66DC91" w14:textId="63E13840" w:rsidR="002B169F" w:rsidRPr="00375059" w:rsidRDefault="002B169F" w:rsidP="002B169F">
      <w:pPr>
        <w:spacing w:after="0" w:line="240" w:lineRule="auto"/>
        <w:jc w:val="center"/>
        <w:rPr>
          <w:rFonts w:ascii="Times New Roman" w:hAnsi="Times New Roman"/>
          <w:b/>
          <w:i/>
          <w:sz w:val="28"/>
          <w:szCs w:val="28"/>
        </w:rPr>
      </w:pPr>
      <w:r w:rsidRPr="00375059">
        <w:rPr>
          <w:rFonts w:ascii="Times New Roman" w:eastAsia="Calibri" w:hAnsi="Times New Roman"/>
          <w:noProof/>
        </w:rPr>
        <w:drawing>
          <wp:inline distT="0" distB="0" distL="0" distR="0" wp14:anchorId="1546B4FD" wp14:editId="3BA61739">
            <wp:extent cx="6286500" cy="3667125"/>
            <wp:effectExtent l="0" t="0" r="0" b="0"/>
            <wp:docPr id="12" name="Диаграмма 12">
              <a:extLst xmlns:a="http://schemas.openxmlformats.org/drawingml/2006/main">
                <a:ext uri="{FF2B5EF4-FFF2-40B4-BE49-F238E27FC236}">
                  <a16:creationId xmlns:a16="http://schemas.microsoft.com/office/drawing/2014/main" id="{1465CE4C-7E29-4999-8D51-5BC8F80E4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287772" w14:textId="3FBAC15B" w:rsidR="002B169F" w:rsidRPr="00375059" w:rsidRDefault="002B169F" w:rsidP="00C03C54">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Динамика промышленного производства в разрезе отраслей и </w:t>
      </w:r>
      <w:r w:rsidRPr="00375059">
        <w:rPr>
          <w:rFonts w:ascii="Times New Roman" w:hAnsi="Times New Roman"/>
          <w:sz w:val="28"/>
          <w:szCs w:val="28"/>
        </w:rPr>
        <w:lastRenderedPageBreak/>
        <w:t>соответствующее структурное перераспределение представлены на рис. </w:t>
      </w:r>
      <w:r w:rsidR="00EF0147" w:rsidRPr="00375059">
        <w:rPr>
          <w:rFonts w:ascii="Times New Roman" w:hAnsi="Times New Roman"/>
          <w:sz w:val="28"/>
          <w:szCs w:val="28"/>
        </w:rPr>
        <w:t>3</w:t>
      </w:r>
      <w:r w:rsidRPr="00375059">
        <w:rPr>
          <w:rFonts w:ascii="Times New Roman" w:hAnsi="Times New Roman"/>
          <w:sz w:val="28"/>
          <w:szCs w:val="28"/>
        </w:rPr>
        <w:t xml:space="preserve"> и </w:t>
      </w:r>
      <w:r w:rsidR="00EF0147" w:rsidRPr="00375059">
        <w:rPr>
          <w:rFonts w:ascii="Times New Roman" w:hAnsi="Times New Roman"/>
          <w:sz w:val="28"/>
          <w:szCs w:val="28"/>
        </w:rPr>
        <w:t>4</w:t>
      </w:r>
      <w:r w:rsidRPr="00375059">
        <w:rPr>
          <w:rFonts w:ascii="Times New Roman" w:hAnsi="Times New Roman"/>
          <w:sz w:val="28"/>
          <w:szCs w:val="28"/>
        </w:rPr>
        <w:t>.</w:t>
      </w:r>
    </w:p>
    <w:p w14:paraId="167B4947" w14:textId="40822ED4" w:rsidR="002B169F" w:rsidRPr="00375059" w:rsidRDefault="002B169F" w:rsidP="002B169F">
      <w:pPr>
        <w:widowControl w:val="0"/>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 xml:space="preserve">Рисунок </w:t>
      </w:r>
      <w:r w:rsidR="00EF0147" w:rsidRPr="00375059">
        <w:rPr>
          <w:rFonts w:ascii="Times New Roman" w:hAnsi="Times New Roman"/>
          <w:b/>
          <w:i/>
          <w:sz w:val="28"/>
          <w:szCs w:val="28"/>
        </w:rPr>
        <w:t>4</w:t>
      </w:r>
    </w:p>
    <w:p w14:paraId="12B6DBBF" w14:textId="77777777" w:rsidR="002B169F" w:rsidRPr="00375059" w:rsidRDefault="002B169F" w:rsidP="002B169F">
      <w:pPr>
        <w:widowControl w:val="0"/>
        <w:spacing w:after="0" w:line="240" w:lineRule="auto"/>
        <w:jc w:val="center"/>
        <w:rPr>
          <w:rFonts w:ascii="Times New Roman" w:hAnsi="Times New Roman"/>
          <w:b/>
          <w:sz w:val="28"/>
          <w:szCs w:val="28"/>
        </w:rPr>
      </w:pPr>
      <w:r w:rsidRPr="00375059">
        <w:rPr>
          <w:rFonts w:ascii="Times New Roman" w:hAnsi="Times New Roman"/>
          <w:b/>
          <w:sz w:val="28"/>
          <w:szCs w:val="28"/>
        </w:rPr>
        <w:t>Отраслевая структура промышленного производства</w:t>
      </w:r>
    </w:p>
    <w:p w14:paraId="0C18F5A6" w14:textId="54244FE0" w:rsidR="002B169F" w:rsidRPr="00375059" w:rsidRDefault="002B169F" w:rsidP="002B169F">
      <w:pPr>
        <w:widowControl w:val="0"/>
        <w:spacing w:after="0" w:line="240" w:lineRule="auto"/>
        <w:jc w:val="center"/>
        <w:rPr>
          <w:rFonts w:ascii="Times New Roman" w:hAnsi="Times New Roman"/>
          <w:sz w:val="28"/>
          <w:szCs w:val="28"/>
        </w:rPr>
      </w:pPr>
      <w:r w:rsidRPr="00375059">
        <w:rPr>
          <w:rFonts w:ascii="Times New Roman" w:hAnsi="Times New Roman"/>
          <w:noProof/>
        </w:rPr>
        <w:drawing>
          <wp:inline distT="0" distB="0" distL="0" distR="0" wp14:anchorId="549A0A60" wp14:editId="6DD5BB6C">
            <wp:extent cx="5934075" cy="26098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9E3F87" w14:textId="5959166D"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b/>
          <w:sz w:val="28"/>
          <w:szCs w:val="28"/>
        </w:rPr>
        <w:t>Ч</w:t>
      </w:r>
      <w:r w:rsidRPr="00375059">
        <w:rPr>
          <w:rFonts w:ascii="Times New Roman" w:hAnsi="Times New Roman"/>
          <w:b/>
          <w:bCs/>
          <w:sz w:val="28"/>
          <w:szCs w:val="28"/>
        </w:rPr>
        <w:t xml:space="preserve">ерная металлургия </w:t>
      </w:r>
      <w:r w:rsidRPr="00375059">
        <w:rPr>
          <w:rFonts w:ascii="Times New Roman" w:hAnsi="Times New Roman"/>
          <w:bCs/>
          <w:sz w:val="28"/>
          <w:szCs w:val="28"/>
        </w:rPr>
        <w:t>в</w:t>
      </w:r>
      <w:r w:rsidRPr="00375059">
        <w:rPr>
          <w:rFonts w:ascii="Times New Roman" w:hAnsi="Times New Roman"/>
          <w:sz w:val="28"/>
          <w:szCs w:val="28"/>
        </w:rPr>
        <w:t xml:space="preserve"> течение всего года демонстрировала наращивание выпуска и высокую загрузку производственных мощностей под воздействием благоприятной конъюнктуры на мировом рынке металлопродукции (рис. </w:t>
      </w:r>
      <w:r w:rsidR="00EF0147" w:rsidRPr="00375059">
        <w:rPr>
          <w:rFonts w:ascii="Times New Roman" w:hAnsi="Times New Roman"/>
          <w:sz w:val="28"/>
          <w:szCs w:val="28"/>
        </w:rPr>
        <w:t>5</w:t>
      </w:r>
      <w:r w:rsidRPr="00375059">
        <w:rPr>
          <w:rFonts w:ascii="Times New Roman" w:hAnsi="Times New Roman"/>
          <w:sz w:val="28"/>
          <w:szCs w:val="28"/>
        </w:rPr>
        <w:t xml:space="preserve">). </w:t>
      </w:r>
      <w:r w:rsidRPr="00375059">
        <w:rPr>
          <w:rFonts w:ascii="Times New Roman" w:hAnsi="Times New Roman"/>
          <w:bCs/>
          <w:sz w:val="28"/>
          <w:szCs w:val="28"/>
        </w:rPr>
        <w:t>Как следствие объем производства достиг</w:t>
      </w:r>
      <w:r w:rsidRPr="00375059">
        <w:rPr>
          <w:rFonts w:ascii="Times New Roman" w:hAnsi="Times New Roman"/>
          <w:sz w:val="28"/>
          <w:szCs w:val="28"/>
        </w:rPr>
        <w:t xml:space="preserve"> 6</w:t>
      </w:r>
      <w:r w:rsidR="00EF0147" w:rsidRPr="00375059">
        <w:rPr>
          <w:rFonts w:ascii="Times New Roman" w:hAnsi="Times New Roman"/>
          <w:sz w:val="28"/>
          <w:szCs w:val="28"/>
        </w:rPr>
        <w:t> </w:t>
      </w:r>
      <w:r w:rsidRPr="00375059">
        <w:rPr>
          <w:rFonts w:ascii="Times New Roman" w:hAnsi="Times New Roman"/>
          <w:sz w:val="28"/>
          <w:szCs w:val="28"/>
        </w:rPr>
        <w:t xml:space="preserve">880,0 млн руб. против 3 512,0 млн руб. в 2020 году. </w:t>
      </w:r>
    </w:p>
    <w:p w14:paraId="6EF80272"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С поправкой на фактор высоких цен прирост составил 20,6% вследствие увеличения выпуска проката черных металлов (+22,2%), в том числе катанки (+22,8%). Долевое участие черной металлургии в совокупном объеме индустриального производства достигло 41,3% (против 28,8% годом ранее).</w:t>
      </w:r>
    </w:p>
    <w:p w14:paraId="20EE59FB" w14:textId="6B22DE3C" w:rsidR="002B169F" w:rsidRPr="00375059" w:rsidRDefault="002B169F" w:rsidP="002B169F">
      <w:pPr>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 xml:space="preserve">Рисунок </w:t>
      </w:r>
      <w:r w:rsidR="00EF0147" w:rsidRPr="00375059">
        <w:rPr>
          <w:rFonts w:ascii="Times New Roman" w:hAnsi="Times New Roman"/>
          <w:b/>
          <w:i/>
          <w:sz w:val="28"/>
          <w:szCs w:val="28"/>
        </w:rPr>
        <w:t>5</w:t>
      </w:r>
    </w:p>
    <w:p w14:paraId="5CA244BC" w14:textId="77777777" w:rsidR="00F00E1A" w:rsidRPr="00375059" w:rsidRDefault="002B169F" w:rsidP="0087132A">
      <w:pPr>
        <w:spacing w:after="0" w:line="240" w:lineRule="auto"/>
        <w:jc w:val="center"/>
        <w:rPr>
          <w:rFonts w:ascii="Times New Roman" w:hAnsi="Times New Roman"/>
          <w:b/>
          <w:sz w:val="28"/>
          <w:szCs w:val="28"/>
        </w:rPr>
      </w:pPr>
      <w:r w:rsidRPr="00375059">
        <w:rPr>
          <w:rFonts w:ascii="Times New Roman" w:hAnsi="Times New Roman"/>
          <w:b/>
          <w:sz w:val="28"/>
          <w:szCs w:val="28"/>
        </w:rPr>
        <w:t xml:space="preserve">Динамика объемов производства </w:t>
      </w:r>
      <w:r w:rsidRPr="00375059">
        <w:rPr>
          <w:rFonts w:ascii="Times New Roman" w:hAnsi="Times New Roman"/>
          <w:b/>
          <w:color w:val="000000" w:themeColor="text1"/>
          <w:sz w:val="28"/>
          <w:szCs w:val="28"/>
        </w:rPr>
        <w:t xml:space="preserve">черной металлургии </w:t>
      </w:r>
      <w:r w:rsidRPr="00375059">
        <w:rPr>
          <w:rFonts w:ascii="Times New Roman" w:hAnsi="Times New Roman"/>
          <w:b/>
          <w:sz w:val="28"/>
          <w:szCs w:val="28"/>
        </w:rPr>
        <w:t xml:space="preserve">в 2021 году, </w:t>
      </w:r>
    </w:p>
    <w:p w14:paraId="72FEAF79" w14:textId="7D205678" w:rsidR="002B169F" w:rsidRPr="00375059" w:rsidRDefault="002B169F" w:rsidP="0087132A">
      <w:pPr>
        <w:spacing w:after="0" w:line="240" w:lineRule="auto"/>
        <w:jc w:val="center"/>
        <w:rPr>
          <w:rFonts w:ascii="Times New Roman" w:hAnsi="Times New Roman"/>
          <w:b/>
          <w:sz w:val="28"/>
          <w:szCs w:val="28"/>
        </w:rPr>
      </w:pPr>
      <w:r w:rsidRPr="00375059">
        <w:rPr>
          <w:rFonts w:ascii="Times New Roman" w:hAnsi="Times New Roman"/>
          <w:b/>
          <w:sz w:val="28"/>
          <w:szCs w:val="28"/>
        </w:rPr>
        <w:t>млн руб.</w:t>
      </w:r>
    </w:p>
    <w:p w14:paraId="2F9EA520" w14:textId="10920A20" w:rsidR="002B169F" w:rsidRPr="00375059" w:rsidRDefault="002B169F" w:rsidP="002B169F">
      <w:pPr>
        <w:spacing w:after="0" w:line="240" w:lineRule="auto"/>
        <w:jc w:val="center"/>
        <w:rPr>
          <w:rFonts w:ascii="Times New Roman" w:hAnsi="Times New Roman"/>
          <w:sz w:val="28"/>
          <w:szCs w:val="28"/>
        </w:rPr>
      </w:pPr>
      <w:r w:rsidRPr="00375059">
        <w:rPr>
          <w:rFonts w:ascii="Times New Roman" w:hAnsi="Times New Roman"/>
          <w:noProof/>
          <w:color w:val="FF0000"/>
          <w:sz w:val="28"/>
          <w:szCs w:val="28"/>
        </w:rPr>
        <w:drawing>
          <wp:inline distT="0" distB="0" distL="0" distR="0" wp14:anchorId="348CF51E" wp14:editId="3B8416A5">
            <wp:extent cx="6066846" cy="2419350"/>
            <wp:effectExtent l="0" t="0" r="1016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319350" w14:textId="7E2FF8F8"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Результирующий показатель </w:t>
      </w:r>
      <w:r w:rsidRPr="00375059">
        <w:rPr>
          <w:rFonts w:ascii="Times New Roman" w:hAnsi="Times New Roman"/>
          <w:b/>
          <w:sz w:val="28"/>
          <w:szCs w:val="28"/>
        </w:rPr>
        <w:t xml:space="preserve">электроэнергетики </w:t>
      </w:r>
      <w:r w:rsidRPr="00375059">
        <w:rPr>
          <w:rFonts w:ascii="Times New Roman" w:hAnsi="Times New Roman"/>
          <w:sz w:val="28"/>
          <w:szCs w:val="28"/>
        </w:rPr>
        <w:t>по итогам 202</w:t>
      </w:r>
      <w:r w:rsidR="00E71AA3" w:rsidRPr="00375059">
        <w:rPr>
          <w:rFonts w:ascii="Times New Roman" w:hAnsi="Times New Roman"/>
          <w:sz w:val="28"/>
          <w:szCs w:val="28"/>
        </w:rPr>
        <w:t>1</w:t>
      </w:r>
      <w:r w:rsidRPr="00375059">
        <w:rPr>
          <w:rFonts w:ascii="Times New Roman" w:hAnsi="Times New Roman"/>
          <w:sz w:val="28"/>
          <w:szCs w:val="28"/>
        </w:rPr>
        <w:t xml:space="preserve"> года в условиях стабильной работы ключевого производителя сложился на уровне 4 454,7 млн руб. (+10,8% к сопоставимому параметру 2020 года, +6,0% с учетом поправки на влияние динамики цен, рис. </w:t>
      </w:r>
      <w:r w:rsidR="00EF0147" w:rsidRPr="00375059">
        <w:rPr>
          <w:rFonts w:ascii="Times New Roman" w:hAnsi="Times New Roman"/>
          <w:sz w:val="28"/>
          <w:szCs w:val="28"/>
        </w:rPr>
        <w:t>6</w:t>
      </w:r>
      <w:r w:rsidRPr="00375059">
        <w:rPr>
          <w:rFonts w:ascii="Times New Roman" w:hAnsi="Times New Roman"/>
          <w:sz w:val="28"/>
          <w:szCs w:val="28"/>
        </w:rPr>
        <w:t xml:space="preserve">), сформировав 26,7% совокупного промышленного выпуска. Выработка электроэнергии в </w:t>
      </w:r>
      <w:r w:rsidRPr="00375059">
        <w:rPr>
          <w:rFonts w:ascii="Times New Roman" w:hAnsi="Times New Roman"/>
          <w:sz w:val="28"/>
          <w:szCs w:val="28"/>
        </w:rPr>
        <w:lastRenderedPageBreak/>
        <w:t>натуральном выражении возросла на 6,2%, при этом объем произведенной теплоэнергии увеличился на 7,6%.</w:t>
      </w:r>
    </w:p>
    <w:p w14:paraId="2CED6A56" w14:textId="27281CE9" w:rsidR="002B169F" w:rsidRPr="00375059" w:rsidRDefault="002B169F" w:rsidP="002B169F">
      <w:pPr>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 xml:space="preserve">Рисунок </w:t>
      </w:r>
      <w:r w:rsidR="00EF0147" w:rsidRPr="00375059">
        <w:rPr>
          <w:rFonts w:ascii="Times New Roman" w:hAnsi="Times New Roman"/>
          <w:b/>
          <w:i/>
          <w:sz w:val="28"/>
          <w:szCs w:val="28"/>
        </w:rPr>
        <w:t>6</w:t>
      </w:r>
    </w:p>
    <w:p w14:paraId="50645401" w14:textId="77777777" w:rsidR="00E71AA3" w:rsidRPr="00375059" w:rsidRDefault="002B169F" w:rsidP="0087132A">
      <w:pPr>
        <w:spacing w:after="0" w:line="240" w:lineRule="auto"/>
        <w:jc w:val="center"/>
        <w:rPr>
          <w:rFonts w:ascii="Times New Roman" w:hAnsi="Times New Roman"/>
          <w:b/>
          <w:sz w:val="28"/>
          <w:szCs w:val="28"/>
        </w:rPr>
      </w:pPr>
      <w:r w:rsidRPr="00375059">
        <w:rPr>
          <w:rFonts w:ascii="Times New Roman" w:hAnsi="Times New Roman"/>
          <w:b/>
          <w:sz w:val="28"/>
          <w:szCs w:val="28"/>
        </w:rPr>
        <w:t xml:space="preserve">Динамика объемов производства </w:t>
      </w:r>
      <w:r w:rsidRPr="00375059">
        <w:rPr>
          <w:rFonts w:ascii="Times New Roman" w:hAnsi="Times New Roman"/>
          <w:b/>
          <w:color w:val="000000" w:themeColor="text1"/>
          <w:sz w:val="28"/>
          <w:szCs w:val="28"/>
        </w:rPr>
        <w:t xml:space="preserve">электроэнергетики </w:t>
      </w:r>
      <w:r w:rsidRPr="00375059">
        <w:rPr>
          <w:rFonts w:ascii="Times New Roman" w:hAnsi="Times New Roman"/>
          <w:b/>
          <w:sz w:val="28"/>
          <w:szCs w:val="28"/>
        </w:rPr>
        <w:t xml:space="preserve">в 2021 году, </w:t>
      </w:r>
    </w:p>
    <w:p w14:paraId="2B152BE7" w14:textId="15253B65" w:rsidR="002B169F" w:rsidRPr="00375059" w:rsidRDefault="002B169F" w:rsidP="0087132A">
      <w:pPr>
        <w:spacing w:after="0" w:line="240" w:lineRule="auto"/>
        <w:jc w:val="center"/>
        <w:rPr>
          <w:rFonts w:ascii="Times New Roman" w:hAnsi="Times New Roman"/>
          <w:bCs/>
          <w:sz w:val="28"/>
          <w:szCs w:val="28"/>
        </w:rPr>
      </w:pPr>
      <w:r w:rsidRPr="00375059">
        <w:rPr>
          <w:rFonts w:ascii="Times New Roman" w:hAnsi="Times New Roman"/>
          <w:b/>
          <w:sz w:val="28"/>
          <w:szCs w:val="28"/>
        </w:rPr>
        <w:t>млн руб.</w:t>
      </w:r>
    </w:p>
    <w:p w14:paraId="6641FB68" w14:textId="03DCA3C7" w:rsidR="002B169F" w:rsidRPr="00375059" w:rsidRDefault="002B169F" w:rsidP="002B169F">
      <w:pPr>
        <w:spacing w:after="0" w:line="240" w:lineRule="auto"/>
        <w:jc w:val="both"/>
        <w:rPr>
          <w:rFonts w:ascii="Times New Roman" w:hAnsi="Times New Roman"/>
          <w:bCs/>
          <w:sz w:val="28"/>
          <w:szCs w:val="28"/>
        </w:rPr>
      </w:pPr>
      <w:r w:rsidRPr="00375059">
        <w:rPr>
          <w:rFonts w:ascii="Times New Roman" w:eastAsiaTheme="minorHAnsi" w:hAnsi="Times New Roman"/>
          <w:noProof/>
          <w:lang w:eastAsia="en-US"/>
        </w:rPr>
        <mc:AlternateContent>
          <mc:Choice Requires="wps">
            <w:drawing>
              <wp:anchor distT="0" distB="0" distL="114300" distR="114300" simplePos="0" relativeHeight="251661312" behindDoc="0" locked="0" layoutInCell="1" allowOverlap="1" wp14:anchorId="43B7BB3F" wp14:editId="55658DE2">
                <wp:simplePos x="0" y="0"/>
                <wp:positionH relativeFrom="column">
                  <wp:posOffset>3470910</wp:posOffset>
                </wp:positionH>
                <wp:positionV relativeFrom="paragraph">
                  <wp:posOffset>2180590</wp:posOffset>
                </wp:positionV>
                <wp:extent cx="2169795" cy="230505"/>
                <wp:effectExtent l="0" t="0" r="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9795" cy="230505"/>
                        </a:xfrm>
                        <a:prstGeom prst="rect">
                          <a:avLst/>
                        </a:prstGeom>
                      </wps:spPr>
                      <wps:txbx>
                        <w:txbxContent>
                          <w:p w14:paraId="7807E36C" w14:textId="77777777" w:rsidR="00540656" w:rsidRDefault="00540656" w:rsidP="002B169F">
                            <w:pPr>
                              <w:spacing w:after="0"/>
                              <w:rPr>
                                <w:rFonts w:ascii="Times New Roman" w:hAnsi="Times New Roman"/>
                                <w:i/>
                                <w:sz w:val="24"/>
                                <w:szCs w:val="24"/>
                              </w:rPr>
                            </w:pPr>
                            <w:r>
                              <w:rPr>
                                <w:rFonts w:ascii="Times New Roman" w:hAnsi="Times New Roman"/>
                                <w:bCs/>
                                <w:i/>
                                <w:sz w:val="18"/>
                                <w:szCs w:val="18"/>
                              </w:rPr>
                              <w:t>темпы прироста в текущих ценах</w:t>
                            </w:r>
                          </w:p>
                        </w:txbxContent>
                      </wps:txbx>
                      <wps:bodyPr vertOverflow="clip" wrap="square" rtlCol="0">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3B7BB3F" id="Надпись 74" o:spid="_x0000_s1033" type="#_x0000_t202" style="position:absolute;left:0;text-align:left;margin-left:273.3pt;margin-top:171.7pt;width:170.8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NRwQEAAD8DAAAOAAAAZHJzL2Uyb0RvYy54bWysUsGO0zAQvSPxD5bvNGmhu2zUdAWs4LJi&#10;kXb3A1zHbixij/G4TXrkzi/wDxw4cOMXsn/E2C3tCm6IyyT2PL95b2YWl4Pt2FYFNOBqPp2UnCkn&#10;oTFuXfP7u7fPXnKGUbhGdOBUzXcK+eXy6ZNF7ys1gxa6RgVGJA6r3te8jdFXRYGyVVbgBLxylNQQ&#10;rIh0DOuiCaIndtsVs7I8K3oIjQ8gFSLdXu2TfJn5tVYy3miNKrKu5qQt5hhyXKVYLBeiWgfhWyMP&#10;MsQ/qLDCOCp6pLoSUbBNMH9RWSMDIOg4kWAL0NpIlT2Qm2n5h5vbVniVvVBz0B/bhP+PVr7ffgjM&#10;NDU/f8GZE5ZmNH4dv43fx5/jj4fPD18YJahLvceKwLee4HF4DQNNOztGfw3yIxKkeITZP0BCp64M&#10;Otj0Jb+MHtIgdsfmqyEySZez6dnF+cWcM0m52fNyXs5T3eL02geM7xRYln5qHmi4WYHYXmPcQ39D&#10;DmL29ZOsOKyGbDOTppsVNDvyQrsbbyjoDvqay854znrah5rjp40IirMQuzeQ1ydZcPBqE0GbXPDE&#10;cyhIU8qSDxuV1uDxOaNOe7/8BQAA//8DAFBLAwQUAAYACAAAACEAhE6aSt8AAAALAQAADwAAAGRy&#10;cy9kb3ducmV2LnhtbEyPwU7DMAyG70i8Q2QkbiyBdl1Xmk4IxBXEYJO4ZY3XVjRO1WRreXvMCY62&#10;P/3+/nIzu16ccQydJw23CwUCqfa2o0bDx/vzTQ4iREPW9J5QwzcG2FSXF6UprJ/oDc/b2AgOoVAY&#10;DW2MQyFlqFt0Jiz8gMS3ox+diTyOjbSjmTjc9fJOqUw60xF/aM2Ajy3WX9uT07B7OX7uU/XaPLnl&#10;MPlZSXJrqfX11fxwDyLiHP9g+NVndajY6eBPZIPoNSzTLGNUQ5ImKQgm8jxPQBx4s1qvQFal/N+h&#10;+gEAAP//AwBQSwECLQAUAAYACAAAACEAtoM4kv4AAADhAQAAEwAAAAAAAAAAAAAAAAAAAAAAW0Nv&#10;bnRlbnRfVHlwZXNdLnhtbFBLAQItABQABgAIAAAAIQA4/SH/1gAAAJQBAAALAAAAAAAAAAAAAAAA&#10;AC8BAABfcmVscy8ucmVsc1BLAQItABQABgAIAAAAIQASCeNRwQEAAD8DAAAOAAAAAAAAAAAAAAAA&#10;AC4CAABkcnMvZTJvRG9jLnhtbFBLAQItABQABgAIAAAAIQCETppK3wAAAAsBAAAPAAAAAAAAAAAA&#10;AAAAABsEAABkcnMvZG93bnJldi54bWxQSwUGAAAAAAQABADzAAAAJwUAAAAA&#10;" filled="f" stroked="f">
                <v:textbox>
                  <w:txbxContent>
                    <w:p w14:paraId="7807E36C" w14:textId="77777777" w:rsidR="00540656" w:rsidRDefault="00540656" w:rsidP="002B169F">
                      <w:pPr>
                        <w:spacing w:after="0"/>
                        <w:rPr>
                          <w:rFonts w:ascii="Times New Roman" w:hAnsi="Times New Roman"/>
                          <w:i/>
                          <w:sz w:val="24"/>
                          <w:szCs w:val="24"/>
                        </w:rPr>
                      </w:pPr>
                      <w:r>
                        <w:rPr>
                          <w:rFonts w:ascii="Times New Roman" w:hAnsi="Times New Roman"/>
                          <w:bCs/>
                          <w:i/>
                          <w:sz w:val="18"/>
                          <w:szCs w:val="18"/>
                        </w:rPr>
                        <w:t>темпы прироста в текущих ценах</w:t>
                      </w:r>
                    </w:p>
                  </w:txbxContent>
                </v:textbox>
              </v:shape>
            </w:pict>
          </mc:Fallback>
        </mc:AlternateContent>
      </w:r>
      <w:r w:rsidRPr="00375059">
        <w:rPr>
          <w:rFonts w:ascii="Times New Roman" w:hAnsi="Times New Roman"/>
          <w:noProof/>
          <w:color w:val="FF0000"/>
          <w:sz w:val="28"/>
          <w:szCs w:val="28"/>
        </w:rPr>
        <w:drawing>
          <wp:inline distT="0" distB="0" distL="0" distR="0" wp14:anchorId="1EA45D7C" wp14:editId="3400FE0E">
            <wp:extent cx="5971430" cy="2466975"/>
            <wp:effectExtent l="0" t="0" r="10795" b="952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56B15B" w14:textId="06761973" w:rsidR="002B169F" w:rsidRPr="00375059" w:rsidRDefault="002B169F" w:rsidP="001463C8">
      <w:pPr>
        <w:spacing w:after="0" w:line="240" w:lineRule="auto"/>
        <w:ind w:firstLine="567"/>
        <w:jc w:val="both"/>
        <w:rPr>
          <w:rFonts w:ascii="Times New Roman" w:hAnsi="Times New Roman"/>
          <w:bCs/>
          <w:vanish/>
          <w:sz w:val="28"/>
          <w:szCs w:val="28"/>
        </w:rPr>
      </w:pPr>
      <w:r w:rsidRPr="00375059">
        <w:rPr>
          <w:rFonts w:ascii="Times New Roman" w:hAnsi="Times New Roman"/>
          <w:sz w:val="28"/>
          <w:szCs w:val="28"/>
        </w:rPr>
        <w:t>В</w:t>
      </w:r>
      <w:r w:rsidRPr="00375059">
        <w:rPr>
          <w:rFonts w:ascii="Times New Roman" w:hAnsi="Times New Roman"/>
          <w:b/>
          <w:sz w:val="28"/>
          <w:szCs w:val="28"/>
        </w:rPr>
        <w:t xml:space="preserve"> пищевой промышленности </w:t>
      </w:r>
      <w:r w:rsidRPr="00375059">
        <w:rPr>
          <w:rFonts w:ascii="Times New Roman" w:hAnsi="Times New Roman"/>
          <w:sz w:val="28"/>
          <w:szCs w:val="28"/>
        </w:rPr>
        <w:t xml:space="preserve">в летние месяцы, а также в конце года отмечалось </w:t>
      </w:r>
      <w:r w:rsidRPr="00375059">
        <w:rPr>
          <w:rFonts w:ascii="Times New Roman" w:hAnsi="Times New Roman"/>
          <w:bCs/>
          <w:sz w:val="28"/>
          <w:szCs w:val="28"/>
        </w:rPr>
        <w:t xml:space="preserve">усиление повышательного тренда (рис. </w:t>
      </w:r>
      <w:r w:rsidR="00EF0147" w:rsidRPr="00375059">
        <w:rPr>
          <w:rFonts w:ascii="Times New Roman" w:hAnsi="Times New Roman"/>
          <w:bCs/>
          <w:sz w:val="28"/>
          <w:szCs w:val="28"/>
        </w:rPr>
        <w:t>7</w:t>
      </w:r>
      <w:r w:rsidRPr="00375059">
        <w:rPr>
          <w:rFonts w:ascii="Times New Roman" w:hAnsi="Times New Roman"/>
          <w:bCs/>
          <w:sz w:val="28"/>
          <w:szCs w:val="28"/>
        </w:rPr>
        <w:t xml:space="preserve">), таким образом </w:t>
      </w:r>
    </w:p>
    <w:p w14:paraId="74DEAB19"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нарастающим итогом выработка составила 1 893,6 млн руб., превысив сопоставимый показатель 2020 года на 15,8% (+9,0% в реальном выражении). Удельный вес пищевой промышленности в структуре индустриального выпуска составил 11,4% (-2,0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w:t>
      </w:r>
    </w:p>
    <w:p w14:paraId="1D56E362" w14:textId="272D0BF3" w:rsidR="002B169F" w:rsidRPr="00375059" w:rsidRDefault="002B169F" w:rsidP="002B169F">
      <w:pPr>
        <w:spacing w:after="0"/>
        <w:jc w:val="right"/>
        <w:rPr>
          <w:rFonts w:ascii="Times New Roman" w:hAnsi="Times New Roman"/>
          <w:b/>
          <w:i/>
          <w:sz w:val="28"/>
          <w:szCs w:val="28"/>
        </w:rPr>
      </w:pPr>
      <w:r w:rsidRPr="00375059">
        <w:rPr>
          <w:rFonts w:ascii="Times New Roman" w:hAnsi="Times New Roman"/>
          <w:b/>
          <w:i/>
          <w:sz w:val="28"/>
          <w:szCs w:val="28"/>
        </w:rPr>
        <w:t xml:space="preserve">Рисунок </w:t>
      </w:r>
      <w:r w:rsidR="00EF0147" w:rsidRPr="00375059">
        <w:rPr>
          <w:rFonts w:ascii="Times New Roman" w:hAnsi="Times New Roman"/>
          <w:b/>
          <w:i/>
          <w:sz w:val="28"/>
          <w:szCs w:val="28"/>
        </w:rPr>
        <w:t>7</w:t>
      </w:r>
    </w:p>
    <w:p w14:paraId="295DDF79" w14:textId="77777777" w:rsidR="002B169F" w:rsidRPr="00375059" w:rsidRDefault="002B169F" w:rsidP="0087132A">
      <w:pPr>
        <w:spacing w:after="0" w:line="240" w:lineRule="auto"/>
        <w:jc w:val="center"/>
        <w:rPr>
          <w:rFonts w:ascii="Times New Roman" w:hAnsi="Times New Roman"/>
          <w:b/>
          <w:sz w:val="28"/>
          <w:szCs w:val="28"/>
        </w:rPr>
      </w:pPr>
      <w:r w:rsidRPr="00375059">
        <w:rPr>
          <w:rFonts w:ascii="Times New Roman" w:hAnsi="Times New Roman"/>
          <w:b/>
          <w:sz w:val="28"/>
          <w:szCs w:val="28"/>
        </w:rPr>
        <w:t xml:space="preserve">Динамика объемов производства </w:t>
      </w:r>
      <w:r w:rsidRPr="00375059">
        <w:rPr>
          <w:rFonts w:ascii="Times New Roman" w:hAnsi="Times New Roman"/>
          <w:b/>
          <w:color w:val="000000" w:themeColor="text1"/>
          <w:sz w:val="28"/>
          <w:szCs w:val="28"/>
        </w:rPr>
        <w:t xml:space="preserve">пищевой промышленности </w:t>
      </w:r>
      <w:r w:rsidRPr="00375059">
        <w:rPr>
          <w:rFonts w:ascii="Times New Roman" w:hAnsi="Times New Roman"/>
          <w:b/>
          <w:sz w:val="28"/>
          <w:szCs w:val="28"/>
        </w:rPr>
        <w:t xml:space="preserve">в 2021 году, </w:t>
      </w:r>
    </w:p>
    <w:p w14:paraId="1152F9A1" w14:textId="78652057" w:rsidR="002B169F" w:rsidRPr="00375059" w:rsidRDefault="002B169F" w:rsidP="0087132A">
      <w:pPr>
        <w:spacing w:after="0" w:line="240" w:lineRule="auto"/>
        <w:jc w:val="center"/>
        <w:rPr>
          <w:rFonts w:ascii="Times New Roman" w:hAnsi="Times New Roman"/>
          <w:b/>
        </w:rPr>
      </w:pPr>
      <w:r w:rsidRPr="00375059">
        <w:rPr>
          <w:rFonts w:ascii="Times New Roman" w:hAnsi="Times New Roman"/>
          <w:b/>
          <w:sz w:val="28"/>
          <w:szCs w:val="28"/>
        </w:rPr>
        <w:t>млн руб.</w:t>
      </w:r>
      <w:r w:rsidRPr="00375059">
        <w:rPr>
          <w:rFonts w:ascii="Times New Roman" w:hAnsi="Times New Roman"/>
          <w:noProof/>
          <w:color w:val="FF0000"/>
          <w:sz w:val="28"/>
          <w:szCs w:val="28"/>
        </w:rPr>
        <w:drawing>
          <wp:inline distT="0" distB="0" distL="0" distR="0" wp14:anchorId="22A332DE" wp14:editId="251F2898">
            <wp:extent cx="5971430" cy="2724150"/>
            <wp:effectExtent l="0" t="0" r="1079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3F52B5" w14:textId="60AC43B4"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Вследствие низкой базы 2020 года весомый прирост наблюдался по производству растительного масла (+34,0%). В больших, чем год назад, объемах выпущен ассортимент вареников (330,4 т против 239,5 т), овощных консервов (12 109 туб против 8 178 туб), копченой рыбы (281,9 т против 232,0</w:t>
      </w:r>
      <w:r w:rsidR="00BE678C">
        <w:rPr>
          <w:rFonts w:ascii="Times New Roman" w:hAnsi="Times New Roman"/>
          <w:sz w:val="28"/>
          <w:szCs w:val="28"/>
        </w:rPr>
        <w:t> </w:t>
      </w:r>
      <w:r w:rsidRPr="00375059">
        <w:rPr>
          <w:rFonts w:ascii="Times New Roman" w:hAnsi="Times New Roman"/>
          <w:sz w:val="28"/>
          <w:szCs w:val="28"/>
        </w:rPr>
        <w:t xml:space="preserve">т). При этом произошло снижение выпуска твердых сыров (в 1,9 раза), </w:t>
      </w:r>
      <w:r w:rsidRPr="00375059">
        <w:rPr>
          <w:rFonts w:ascii="Times New Roman" w:hAnsi="Times New Roman"/>
          <w:sz w:val="28"/>
          <w:szCs w:val="28"/>
        </w:rPr>
        <w:lastRenderedPageBreak/>
        <w:t>сушеной и вяленой рыбы (-25,6%), нежирной молочной продукции (- 24,4%), быстрозамороженной плодоовощной продукции (-10,2%), плодовых и ягодных консервов (211 туб против 514 туб).</w:t>
      </w:r>
    </w:p>
    <w:p w14:paraId="1354AC98" w14:textId="7D1CACDC"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Учитывая близкую к докризисной загрузку производственных мощностей предприятий </w:t>
      </w:r>
      <w:r w:rsidRPr="00375059">
        <w:rPr>
          <w:rFonts w:ascii="Times New Roman" w:hAnsi="Times New Roman"/>
          <w:b/>
          <w:bCs/>
          <w:sz w:val="28"/>
          <w:szCs w:val="28"/>
        </w:rPr>
        <w:t xml:space="preserve">легкой промышленности </w:t>
      </w:r>
      <w:r w:rsidRPr="00375059">
        <w:rPr>
          <w:rFonts w:ascii="Times New Roman" w:hAnsi="Times New Roman"/>
          <w:sz w:val="28"/>
          <w:szCs w:val="28"/>
        </w:rPr>
        <w:t xml:space="preserve">на фоне восстановления экономики и трансформации потребительских предпочтений, объем отраслевого выпуска по итогам 2021 года составил 1 587,7 млн руб., или 9,5% совокупного показателя (+18,4% в текущих ценах и +14,1% в реальном выражении) (рис. </w:t>
      </w:r>
      <w:r w:rsidR="00EF0147" w:rsidRPr="00375059">
        <w:rPr>
          <w:rFonts w:ascii="Times New Roman" w:hAnsi="Times New Roman"/>
          <w:sz w:val="28"/>
          <w:szCs w:val="28"/>
        </w:rPr>
        <w:t>8</w:t>
      </w:r>
      <w:r w:rsidRPr="00375059">
        <w:rPr>
          <w:rFonts w:ascii="Times New Roman" w:hAnsi="Times New Roman"/>
          <w:sz w:val="28"/>
          <w:szCs w:val="28"/>
        </w:rPr>
        <w:t>).</w:t>
      </w:r>
    </w:p>
    <w:p w14:paraId="326DF798" w14:textId="553CD9B0" w:rsidR="002B169F" w:rsidRPr="00375059" w:rsidRDefault="002B169F" w:rsidP="002B169F">
      <w:pPr>
        <w:widowControl w:val="0"/>
        <w:spacing w:after="0" w:line="240" w:lineRule="auto"/>
        <w:ind w:firstLine="425"/>
        <w:jc w:val="right"/>
        <w:rPr>
          <w:rFonts w:ascii="Times New Roman" w:hAnsi="Times New Roman"/>
          <w:b/>
          <w:i/>
          <w:sz w:val="28"/>
          <w:szCs w:val="28"/>
        </w:rPr>
      </w:pPr>
      <w:r w:rsidRPr="00375059">
        <w:rPr>
          <w:rFonts w:ascii="Times New Roman" w:hAnsi="Times New Roman"/>
          <w:b/>
          <w:i/>
          <w:sz w:val="28"/>
          <w:szCs w:val="28"/>
        </w:rPr>
        <w:t xml:space="preserve">Рисунок </w:t>
      </w:r>
      <w:r w:rsidR="00EF0147" w:rsidRPr="00375059">
        <w:rPr>
          <w:rFonts w:ascii="Times New Roman" w:hAnsi="Times New Roman"/>
          <w:b/>
          <w:i/>
          <w:sz w:val="28"/>
          <w:szCs w:val="28"/>
        </w:rPr>
        <w:t>8</w:t>
      </w:r>
    </w:p>
    <w:p w14:paraId="3FC05AC9" w14:textId="77777777" w:rsidR="002B169F" w:rsidRPr="00375059" w:rsidRDefault="002B169F" w:rsidP="0087132A">
      <w:pPr>
        <w:spacing w:after="0" w:line="240" w:lineRule="auto"/>
        <w:ind w:right="-284"/>
        <w:jc w:val="center"/>
        <w:rPr>
          <w:rFonts w:ascii="Times New Roman" w:hAnsi="Times New Roman"/>
          <w:b/>
          <w:sz w:val="28"/>
          <w:szCs w:val="28"/>
        </w:rPr>
      </w:pPr>
      <w:r w:rsidRPr="00375059">
        <w:rPr>
          <w:rFonts w:ascii="Times New Roman" w:hAnsi="Times New Roman"/>
          <w:b/>
          <w:sz w:val="28"/>
          <w:szCs w:val="28"/>
        </w:rPr>
        <w:t xml:space="preserve">Динамика объемов производства легкой промышленности в 2021 году, </w:t>
      </w:r>
    </w:p>
    <w:p w14:paraId="51679F52" w14:textId="77777777" w:rsidR="002B169F" w:rsidRPr="00375059" w:rsidRDefault="002B169F" w:rsidP="0087132A">
      <w:pPr>
        <w:spacing w:after="0" w:line="240" w:lineRule="auto"/>
        <w:ind w:left="-284" w:right="-284" w:firstLine="284"/>
        <w:jc w:val="center"/>
        <w:rPr>
          <w:rFonts w:ascii="Times New Roman" w:hAnsi="Times New Roman"/>
          <w:b/>
          <w:sz w:val="28"/>
          <w:szCs w:val="28"/>
        </w:rPr>
      </w:pPr>
      <w:r w:rsidRPr="00375059">
        <w:rPr>
          <w:rFonts w:ascii="Times New Roman" w:hAnsi="Times New Roman"/>
          <w:b/>
          <w:sz w:val="28"/>
          <w:szCs w:val="28"/>
        </w:rPr>
        <w:t>млн руб.</w:t>
      </w:r>
    </w:p>
    <w:p w14:paraId="0F57DF83" w14:textId="5620071F" w:rsidR="002B169F" w:rsidRPr="00375059" w:rsidRDefault="002B169F" w:rsidP="002B169F">
      <w:pPr>
        <w:spacing w:after="0" w:line="240" w:lineRule="auto"/>
        <w:jc w:val="both"/>
        <w:rPr>
          <w:rFonts w:ascii="Times New Roman" w:hAnsi="Times New Roman"/>
          <w:sz w:val="28"/>
          <w:szCs w:val="28"/>
        </w:rPr>
      </w:pPr>
      <w:r w:rsidRPr="00375059">
        <w:rPr>
          <w:rFonts w:ascii="Times New Roman" w:hAnsi="Times New Roman"/>
          <w:noProof/>
          <w:color w:val="FF0000"/>
          <w:sz w:val="28"/>
          <w:szCs w:val="28"/>
          <w:shd w:val="clear" w:color="auto" w:fill="000000" w:themeFill="text1"/>
        </w:rPr>
        <w:drawing>
          <wp:inline distT="0" distB="0" distL="0" distR="0" wp14:anchorId="69E339CD" wp14:editId="2A42021C">
            <wp:extent cx="6003235" cy="25527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266C72" w14:textId="4E13C383"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 разрезе товарных наименований прирост отмечался по выпуску обуви (+19,5%), одежды (+19,5%), швейных текстильных изделий (+14,5%). В значительно больших объемах было произведено трикотажных изделий (4</w:t>
      </w:r>
      <w:r w:rsidR="00A10E4E">
        <w:rPr>
          <w:rFonts w:ascii="Times New Roman" w:hAnsi="Times New Roman"/>
          <w:sz w:val="28"/>
          <w:szCs w:val="28"/>
        </w:rPr>
        <w:t> </w:t>
      </w:r>
      <w:r w:rsidRPr="00375059">
        <w:rPr>
          <w:rFonts w:ascii="Times New Roman" w:hAnsi="Times New Roman"/>
          <w:sz w:val="28"/>
          <w:szCs w:val="28"/>
        </w:rPr>
        <w:t>359</w:t>
      </w:r>
      <w:r w:rsidR="00A10E4E">
        <w:rPr>
          <w:rFonts w:ascii="Times New Roman" w:hAnsi="Times New Roman"/>
          <w:sz w:val="28"/>
          <w:szCs w:val="28"/>
        </w:rPr>
        <w:t> </w:t>
      </w:r>
      <w:r w:rsidRPr="00375059">
        <w:rPr>
          <w:rFonts w:ascii="Times New Roman" w:hAnsi="Times New Roman"/>
          <w:sz w:val="28"/>
          <w:szCs w:val="28"/>
        </w:rPr>
        <w:t>шт. против 1 602 шт. годом ранее), жилетов (26 222 шт. против 1 643 шт.), детской обуви (163 тыс. пар против 53 тыс. пар).</w:t>
      </w:r>
    </w:p>
    <w:p w14:paraId="121B32AD" w14:textId="02F54BE7" w:rsidR="002B169F" w:rsidRPr="00375059" w:rsidRDefault="002B169F" w:rsidP="001463C8">
      <w:pPr>
        <w:widowControl w:val="0"/>
        <w:spacing w:after="0" w:line="240" w:lineRule="auto"/>
        <w:ind w:firstLine="567"/>
        <w:jc w:val="both"/>
        <w:rPr>
          <w:rFonts w:ascii="Times New Roman" w:hAnsi="Times New Roman"/>
          <w:sz w:val="28"/>
          <w:szCs w:val="28"/>
          <w:highlight w:val="yellow"/>
        </w:rPr>
      </w:pPr>
      <w:r w:rsidRPr="00375059">
        <w:rPr>
          <w:rFonts w:ascii="Times New Roman" w:hAnsi="Times New Roman"/>
          <w:sz w:val="28"/>
          <w:szCs w:val="28"/>
        </w:rPr>
        <w:t xml:space="preserve">Учитывая внутригодовой тренд активизации производственной деятельности в сфере </w:t>
      </w:r>
      <w:r w:rsidRPr="00375059">
        <w:rPr>
          <w:rFonts w:ascii="Times New Roman" w:hAnsi="Times New Roman"/>
          <w:b/>
          <w:sz w:val="28"/>
          <w:szCs w:val="28"/>
        </w:rPr>
        <w:t xml:space="preserve">машиностроения и металлообработки </w:t>
      </w:r>
      <w:r w:rsidRPr="00375059">
        <w:rPr>
          <w:rFonts w:ascii="Times New Roman" w:hAnsi="Times New Roman"/>
          <w:bCs/>
          <w:sz w:val="28"/>
          <w:szCs w:val="28"/>
        </w:rPr>
        <w:t xml:space="preserve">(рис. </w:t>
      </w:r>
      <w:r w:rsidR="00EF0147" w:rsidRPr="00375059">
        <w:rPr>
          <w:rFonts w:ascii="Times New Roman" w:hAnsi="Times New Roman"/>
          <w:bCs/>
          <w:sz w:val="28"/>
          <w:szCs w:val="28"/>
        </w:rPr>
        <w:t>9</w:t>
      </w:r>
      <w:r w:rsidRPr="00375059">
        <w:rPr>
          <w:rFonts w:ascii="Times New Roman" w:hAnsi="Times New Roman"/>
          <w:bCs/>
          <w:sz w:val="28"/>
          <w:szCs w:val="28"/>
        </w:rPr>
        <w:t>),</w:t>
      </w:r>
      <w:r w:rsidRPr="00375059">
        <w:rPr>
          <w:rFonts w:ascii="Times New Roman" w:hAnsi="Times New Roman"/>
          <w:sz w:val="28"/>
          <w:szCs w:val="28"/>
        </w:rPr>
        <w:t xml:space="preserve"> по итогам 2021 года объем производства отрасли восстановился до 430,2 млн руб. (+33,9% к отметке 2020 года, -9,4% – 2019 года).  </w:t>
      </w:r>
    </w:p>
    <w:p w14:paraId="6931F57B" w14:textId="77777777" w:rsidR="00931A27" w:rsidRDefault="00931A27">
      <w:pPr>
        <w:spacing w:after="160" w:line="259" w:lineRule="auto"/>
        <w:rPr>
          <w:rFonts w:ascii="Times New Roman" w:hAnsi="Times New Roman"/>
          <w:b/>
          <w:i/>
          <w:sz w:val="28"/>
          <w:szCs w:val="28"/>
        </w:rPr>
      </w:pPr>
      <w:r>
        <w:rPr>
          <w:rFonts w:ascii="Times New Roman" w:hAnsi="Times New Roman"/>
          <w:b/>
          <w:i/>
          <w:sz w:val="28"/>
          <w:szCs w:val="28"/>
        </w:rPr>
        <w:br w:type="page"/>
      </w:r>
    </w:p>
    <w:p w14:paraId="3873C17C" w14:textId="7A6AAB13" w:rsidR="002B169F" w:rsidRPr="00375059" w:rsidRDefault="002B169F" w:rsidP="002B169F">
      <w:pPr>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lastRenderedPageBreak/>
        <w:t xml:space="preserve">Рисунок </w:t>
      </w:r>
      <w:r w:rsidR="00EF0147" w:rsidRPr="00375059">
        <w:rPr>
          <w:rFonts w:ascii="Times New Roman" w:hAnsi="Times New Roman"/>
          <w:b/>
          <w:i/>
          <w:sz w:val="28"/>
          <w:szCs w:val="28"/>
        </w:rPr>
        <w:t>9</w:t>
      </w:r>
    </w:p>
    <w:p w14:paraId="4BD27316" w14:textId="77777777" w:rsidR="002B169F" w:rsidRPr="00375059" w:rsidRDefault="002B169F" w:rsidP="0087132A">
      <w:pPr>
        <w:spacing w:after="0" w:line="240" w:lineRule="auto"/>
        <w:jc w:val="center"/>
        <w:rPr>
          <w:rFonts w:ascii="Times New Roman" w:hAnsi="Times New Roman"/>
          <w:b/>
          <w:sz w:val="28"/>
          <w:szCs w:val="28"/>
        </w:rPr>
      </w:pPr>
      <w:r w:rsidRPr="00375059">
        <w:rPr>
          <w:rFonts w:ascii="Times New Roman" w:hAnsi="Times New Roman"/>
          <w:b/>
          <w:sz w:val="28"/>
          <w:szCs w:val="28"/>
        </w:rPr>
        <w:t xml:space="preserve">Динамика объемов производства </w:t>
      </w:r>
    </w:p>
    <w:p w14:paraId="6395DFF1" w14:textId="77777777" w:rsidR="002B169F" w:rsidRPr="00375059" w:rsidRDefault="002B169F" w:rsidP="0087132A">
      <w:pPr>
        <w:spacing w:after="0" w:line="240" w:lineRule="auto"/>
        <w:ind w:firstLine="426"/>
        <w:jc w:val="center"/>
        <w:rPr>
          <w:rFonts w:ascii="Times New Roman" w:hAnsi="Times New Roman"/>
          <w:b/>
          <w:sz w:val="28"/>
          <w:szCs w:val="28"/>
        </w:rPr>
      </w:pPr>
      <w:r w:rsidRPr="00375059">
        <w:rPr>
          <w:rFonts w:ascii="Times New Roman" w:hAnsi="Times New Roman"/>
          <w:b/>
          <w:sz w:val="28"/>
          <w:szCs w:val="28"/>
        </w:rPr>
        <w:t>машиностроения и металлообработки в 2021 году, млн руб.</w:t>
      </w:r>
    </w:p>
    <w:p w14:paraId="07BD0F4C" w14:textId="4D61BFF5" w:rsidR="002B169F" w:rsidRPr="00375059" w:rsidRDefault="002B169F" w:rsidP="002B169F">
      <w:pPr>
        <w:spacing w:after="0" w:line="240" w:lineRule="auto"/>
        <w:jc w:val="both"/>
        <w:rPr>
          <w:rFonts w:ascii="Times New Roman" w:hAnsi="Times New Roman"/>
          <w:sz w:val="28"/>
          <w:szCs w:val="28"/>
        </w:rPr>
      </w:pPr>
      <w:r w:rsidRPr="00375059">
        <w:rPr>
          <w:rFonts w:ascii="Times New Roman" w:eastAsiaTheme="minorHAnsi" w:hAnsi="Times New Roman"/>
          <w:noProof/>
          <w:lang w:eastAsia="en-US"/>
        </w:rPr>
        <mc:AlternateContent>
          <mc:Choice Requires="wps">
            <w:drawing>
              <wp:anchor distT="0" distB="0" distL="114300" distR="114300" simplePos="0" relativeHeight="251662336" behindDoc="0" locked="0" layoutInCell="1" allowOverlap="1" wp14:anchorId="7A97312E" wp14:editId="3A3C0BCB">
                <wp:simplePos x="0" y="0"/>
                <wp:positionH relativeFrom="column">
                  <wp:posOffset>3331210</wp:posOffset>
                </wp:positionH>
                <wp:positionV relativeFrom="paragraph">
                  <wp:posOffset>2191385</wp:posOffset>
                </wp:positionV>
                <wp:extent cx="2169795" cy="230505"/>
                <wp:effectExtent l="0" t="0" r="0" b="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9795" cy="230505"/>
                        </a:xfrm>
                        <a:prstGeom prst="rect">
                          <a:avLst/>
                        </a:prstGeom>
                      </wps:spPr>
                      <wps:txbx>
                        <w:txbxContent>
                          <w:p w14:paraId="36F88E54" w14:textId="77777777" w:rsidR="00540656" w:rsidRDefault="00540656" w:rsidP="002B169F">
                            <w:pPr>
                              <w:spacing w:after="0"/>
                              <w:rPr>
                                <w:rFonts w:ascii="Times New Roman" w:hAnsi="Times New Roman"/>
                                <w:i/>
                                <w:sz w:val="24"/>
                                <w:szCs w:val="24"/>
                              </w:rPr>
                            </w:pPr>
                            <w:r>
                              <w:rPr>
                                <w:rFonts w:ascii="Times New Roman" w:hAnsi="Times New Roman"/>
                                <w:bCs/>
                                <w:i/>
                                <w:sz w:val="18"/>
                                <w:szCs w:val="18"/>
                              </w:rPr>
                              <w:t>темпы прироста в текущих ценах</w:t>
                            </w:r>
                          </w:p>
                        </w:txbxContent>
                      </wps:txbx>
                      <wps:bodyPr vertOverflow="clip" wrap="square" rtlCol="0">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A97312E" id="Надпись 83" o:spid="_x0000_s1034" type="#_x0000_t202" style="position:absolute;left:0;text-align:left;margin-left:262.3pt;margin-top:172.55pt;width:170.8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6cwwEAAD8DAAAOAAAAZHJzL2Uyb0RvYy54bWysUkFu2zAQvBfIHwjea8kO7CaC5aBN0F6C&#10;pkDSB9AUaREVuSyXtuRj7/1C/9BDD7nlC8qPuqIcJ2hvRS8rkTucndnd5UVnG7ZTAQ24kk8nOWfK&#10;SaiM25T8893712ecYRSuEg04VfK9Qn6xOnm1bH2hZlBDU6nAiMRh0fqS1zH6IstQ1soKnIBXjpIa&#10;ghWRjmGTVUG0xG6bbJbni6yFUPkAUiHS7dWY5KvEr7WS8UZrVJE1JSdtMcWQ4nqI2Wopik0Qvjby&#10;IEP8gworjKOiR6orEQXbBvMXlTUyAIKOEwk2A62NVMkDuZnmf7i5rYVXyQs1B/2xTfj/aOXH3afA&#10;TFXys1POnLA0o/5H/7P/1T/094/fHr8zSlCXWo8FgW89wWP3DjqadnKM/hrkFyRI9gIzPkBCD13p&#10;dLDDl/wyekiD2B+br7rIJF3OpovzN+dzziTlZqf5PJ8PdbPn1z5g/KDAsuGn5IGGmxSI3TXGEfoE&#10;OYgZ6w+yYrfuks3Fk5k1VHvyQrsbbyjoBtqSy8Z4zlrah5Lj160IirMQm0tI6zNYcPB2G0GbVHBg&#10;HnkOBWlKSfJho4Y1eHlOqOe9X/0GAAD//wMAUEsDBBQABgAIAAAAIQDX7a6c3wAAAAsBAAAPAAAA&#10;ZHJzL2Rvd25yZXYueG1sTI9NT8MwDIbvSPyHyEjcWNKtrUppOiEQVxDjQ+KWNV5b0ThVk63l32NO&#10;7Gj70evnrbaLG8QJp9B70pCsFAikxtueWg3vb083BYgQDVkzeEINPxhgW19eVKa0fqZXPO1iKziE&#10;Qmk0dDGOpZSh6dCZsPIjEt8OfnIm8ji10k5m5nA3yLVSuXSmJ/7QmREfOmy+d0en4eP58PWZqpf2&#10;0WXj7Bclyd1Kra+vlvs7EBGX+A/Dnz6rQ81Oe38kG8SgIVunOaMaNmmWgGCiyPMNiD1viiQFWVfy&#10;vEP9CwAA//8DAFBLAQItABQABgAIAAAAIQC2gziS/gAAAOEBAAATAAAAAAAAAAAAAAAAAAAAAABb&#10;Q29udGVudF9UeXBlc10ueG1sUEsBAi0AFAAGAAgAAAAhADj9If/WAAAAlAEAAAsAAAAAAAAAAAAA&#10;AAAALwEAAF9yZWxzLy5yZWxzUEsBAi0AFAAGAAgAAAAhAMLRbpzDAQAAPwMAAA4AAAAAAAAAAAAA&#10;AAAALgIAAGRycy9lMm9Eb2MueG1sUEsBAi0AFAAGAAgAAAAhANftrpzfAAAACwEAAA8AAAAAAAAA&#10;AAAAAAAAHQQAAGRycy9kb3ducmV2LnhtbFBLBQYAAAAABAAEAPMAAAApBQAAAAA=&#10;" filled="f" stroked="f">
                <v:textbox>
                  <w:txbxContent>
                    <w:p w14:paraId="36F88E54" w14:textId="77777777" w:rsidR="00540656" w:rsidRDefault="00540656" w:rsidP="002B169F">
                      <w:pPr>
                        <w:spacing w:after="0"/>
                        <w:rPr>
                          <w:rFonts w:ascii="Times New Roman" w:hAnsi="Times New Roman"/>
                          <w:i/>
                          <w:sz w:val="24"/>
                          <w:szCs w:val="24"/>
                        </w:rPr>
                      </w:pPr>
                      <w:r>
                        <w:rPr>
                          <w:rFonts w:ascii="Times New Roman" w:hAnsi="Times New Roman"/>
                          <w:bCs/>
                          <w:i/>
                          <w:sz w:val="18"/>
                          <w:szCs w:val="18"/>
                        </w:rPr>
                        <w:t>темпы прироста в текущих ценах</w:t>
                      </w:r>
                    </w:p>
                  </w:txbxContent>
                </v:textbox>
              </v:shape>
            </w:pict>
          </mc:Fallback>
        </mc:AlternateContent>
      </w:r>
      <w:r w:rsidRPr="00375059">
        <w:rPr>
          <w:rFonts w:ascii="Times New Roman" w:hAnsi="Times New Roman"/>
          <w:noProof/>
          <w:color w:val="FF0000"/>
          <w:sz w:val="28"/>
          <w:szCs w:val="28"/>
        </w:rPr>
        <w:drawing>
          <wp:inline distT="0" distB="0" distL="0" distR="0" wp14:anchorId="4D2D4E6E" wp14:editId="2C9D3407">
            <wp:extent cx="5979381" cy="2524125"/>
            <wp:effectExtent l="0" t="0" r="2540" b="952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009BEA" w14:textId="6C216FFB" w:rsidR="002B169F" w:rsidRPr="00375059" w:rsidRDefault="002B169F" w:rsidP="001463C8">
      <w:pPr>
        <w:widowControl w:val="0"/>
        <w:spacing w:after="0" w:line="240" w:lineRule="auto"/>
        <w:ind w:firstLine="567"/>
        <w:jc w:val="both"/>
        <w:rPr>
          <w:rFonts w:ascii="Times New Roman" w:hAnsi="Times New Roman"/>
          <w:sz w:val="28"/>
          <w:szCs w:val="28"/>
          <w:highlight w:val="yellow"/>
        </w:rPr>
      </w:pPr>
      <w:r w:rsidRPr="00375059">
        <w:rPr>
          <w:rFonts w:ascii="Times New Roman" w:hAnsi="Times New Roman"/>
          <w:sz w:val="28"/>
          <w:szCs w:val="28"/>
        </w:rPr>
        <w:t xml:space="preserve">Результаты 2021 года </w:t>
      </w:r>
      <w:r w:rsidRPr="00375059">
        <w:rPr>
          <w:rFonts w:ascii="Times New Roman" w:hAnsi="Times New Roman"/>
          <w:b/>
          <w:bCs/>
          <w:sz w:val="28"/>
          <w:szCs w:val="28"/>
        </w:rPr>
        <w:t>промышленности строительных материалов</w:t>
      </w:r>
      <w:r w:rsidRPr="00375059">
        <w:rPr>
          <w:rFonts w:ascii="Times New Roman" w:hAnsi="Times New Roman"/>
          <w:sz w:val="28"/>
          <w:szCs w:val="28"/>
        </w:rPr>
        <w:t xml:space="preserve"> (580,4 млн руб.) (рис. </w:t>
      </w:r>
      <w:r w:rsidR="00EF0147" w:rsidRPr="00375059">
        <w:rPr>
          <w:rFonts w:ascii="Times New Roman" w:hAnsi="Times New Roman"/>
          <w:sz w:val="28"/>
          <w:szCs w:val="28"/>
        </w:rPr>
        <w:t>10</w:t>
      </w:r>
      <w:r w:rsidRPr="00375059">
        <w:rPr>
          <w:rFonts w:ascii="Times New Roman" w:hAnsi="Times New Roman"/>
          <w:sz w:val="28"/>
          <w:szCs w:val="28"/>
        </w:rPr>
        <w:t xml:space="preserve">) сложились ниже уровня базисного периода на 2,8% </w:t>
      </w:r>
      <w:r w:rsidRPr="00375059">
        <w:rPr>
          <w:rFonts w:ascii="Times New Roman" w:hAnsi="Times New Roman"/>
          <w:sz w:val="28"/>
          <w:szCs w:val="28"/>
        </w:rPr>
        <w:br/>
        <w:t xml:space="preserve">(- 0,8% в реальном выражении). Нисходящей была динамика выпуска стеновых материалов (-31,2%), нерудных строительных материалов (-12,7%), строительной извести (-10,7%). </w:t>
      </w:r>
    </w:p>
    <w:p w14:paraId="616A60E2" w14:textId="38449108" w:rsidR="002B169F" w:rsidRPr="00375059" w:rsidRDefault="002B169F" w:rsidP="002B169F">
      <w:pPr>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 xml:space="preserve">Рисунок </w:t>
      </w:r>
      <w:r w:rsidR="00EF0147" w:rsidRPr="00375059">
        <w:rPr>
          <w:rFonts w:ascii="Times New Roman" w:hAnsi="Times New Roman"/>
          <w:b/>
          <w:i/>
          <w:sz w:val="28"/>
          <w:szCs w:val="28"/>
        </w:rPr>
        <w:t>10</w:t>
      </w:r>
    </w:p>
    <w:p w14:paraId="4913A820" w14:textId="77777777" w:rsidR="002B169F" w:rsidRPr="00375059" w:rsidRDefault="002B169F" w:rsidP="007F42C2">
      <w:pPr>
        <w:spacing w:after="0" w:line="240" w:lineRule="auto"/>
        <w:jc w:val="center"/>
        <w:rPr>
          <w:rFonts w:ascii="Times New Roman" w:hAnsi="Times New Roman"/>
          <w:b/>
          <w:sz w:val="28"/>
          <w:szCs w:val="28"/>
        </w:rPr>
      </w:pPr>
      <w:r w:rsidRPr="00375059">
        <w:rPr>
          <w:rFonts w:ascii="Times New Roman" w:hAnsi="Times New Roman"/>
          <w:b/>
          <w:sz w:val="28"/>
          <w:szCs w:val="28"/>
        </w:rPr>
        <w:t>Динамика объемов производства промышленности строительных материалов в 2021 году, млн руб.</w:t>
      </w:r>
    </w:p>
    <w:p w14:paraId="1225AE4B" w14:textId="439340C4" w:rsidR="002B169F" w:rsidRPr="00375059" w:rsidRDefault="002B169F" w:rsidP="002B169F">
      <w:pPr>
        <w:spacing w:after="0" w:line="240" w:lineRule="auto"/>
        <w:jc w:val="both"/>
        <w:rPr>
          <w:rFonts w:ascii="Times New Roman" w:hAnsi="Times New Roman"/>
          <w:sz w:val="28"/>
          <w:szCs w:val="28"/>
        </w:rPr>
      </w:pPr>
      <w:r w:rsidRPr="00375059">
        <w:rPr>
          <w:rFonts w:ascii="Times New Roman" w:hAnsi="Times New Roman"/>
          <w:noProof/>
        </w:rPr>
        <w:drawing>
          <wp:inline distT="0" distB="0" distL="0" distR="0" wp14:anchorId="5E26AD72" wp14:editId="25E1BCBF">
            <wp:extent cx="6019138" cy="2305050"/>
            <wp:effectExtent l="0" t="0" r="127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9C1E7B" w14:textId="054740AD"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w:t>
      </w:r>
      <w:r w:rsidRPr="00375059">
        <w:rPr>
          <w:rFonts w:ascii="Times New Roman" w:hAnsi="Times New Roman"/>
          <w:b/>
          <w:bCs/>
          <w:sz w:val="28"/>
          <w:szCs w:val="28"/>
        </w:rPr>
        <w:t xml:space="preserve">электротехнической промышленности </w:t>
      </w:r>
      <w:r w:rsidRPr="00375059">
        <w:rPr>
          <w:rFonts w:ascii="Times New Roman" w:hAnsi="Times New Roman"/>
          <w:bCs/>
          <w:sz w:val="28"/>
          <w:szCs w:val="28"/>
        </w:rPr>
        <w:t>(</w:t>
      </w:r>
      <w:r w:rsidRPr="00375059">
        <w:rPr>
          <w:rFonts w:ascii="Times New Roman" w:hAnsi="Times New Roman"/>
          <w:sz w:val="28"/>
          <w:szCs w:val="28"/>
        </w:rPr>
        <w:t xml:space="preserve">рис. </w:t>
      </w:r>
      <w:r w:rsidR="00EF0147" w:rsidRPr="00375059">
        <w:rPr>
          <w:rFonts w:ascii="Times New Roman" w:hAnsi="Times New Roman"/>
          <w:sz w:val="28"/>
          <w:szCs w:val="28"/>
        </w:rPr>
        <w:t>11</w:t>
      </w:r>
      <w:r w:rsidRPr="00375059">
        <w:rPr>
          <w:rFonts w:ascii="Times New Roman" w:hAnsi="Times New Roman"/>
          <w:sz w:val="28"/>
          <w:szCs w:val="28"/>
        </w:rPr>
        <w:t>), базисный уровень 2020 года в номинальном выражении был превышен на 10,6% (до 299,4 млн руб.), при этом в сопоставимых ценах зафиксирован спад на уровне 4,3%. В разрезе видов продукции в больших, чем год назад, объемах производились электрогидравлические толкатели (1 155 шт. против 569 шт.), установочные провода (1 051 км против 721 км), силовые кабели (1 175 км против 978 км).</w:t>
      </w:r>
    </w:p>
    <w:p w14:paraId="02D89B69" w14:textId="77777777" w:rsidR="0087132A" w:rsidRDefault="0087132A">
      <w:pPr>
        <w:spacing w:after="160" w:line="259" w:lineRule="auto"/>
        <w:rPr>
          <w:rFonts w:ascii="Times New Roman" w:hAnsi="Times New Roman"/>
          <w:b/>
          <w:i/>
          <w:sz w:val="28"/>
          <w:szCs w:val="28"/>
        </w:rPr>
      </w:pPr>
      <w:r>
        <w:rPr>
          <w:rFonts w:ascii="Times New Roman" w:hAnsi="Times New Roman"/>
          <w:b/>
          <w:i/>
          <w:sz w:val="28"/>
          <w:szCs w:val="28"/>
        </w:rPr>
        <w:br w:type="page"/>
      </w:r>
    </w:p>
    <w:p w14:paraId="624A271A" w14:textId="56DD4CD0" w:rsidR="002B169F" w:rsidRPr="00375059" w:rsidRDefault="002B169F" w:rsidP="002B169F">
      <w:pPr>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lastRenderedPageBreak/>
        <w:t xml:space="preserve">Рисунок </w:t>
      </w:r>
      <w:r w:rsidR="00EF0147" w:rsidRPr="00375059">
        <w:rPr>
          <w:rFonts w:ascii="Times New Roman" w:hAnsi="Times New Roman"/>
          <w:b/>
          <w:i/>
          <w:sz w:val="28"/>
          <w:szCs w:val="28"/>
        </w:rPr>
        <w:t>11</w:t>
      </w:r>
    </w:p>
    <w:p w14:paraId="51CB0927" w14:textId="77777777" w:rsidR="002B169F" w:rsidRPr="00375059" w:rsidRDefault="002B169F" w:rsidP="002B169F">
      <w:pPr>
        <w:spacing w:after="0" w:line="240" w:lineRule="auto"/>
        <w:ind w:firstLine="426"/>
        <w:jc w:val="center"/>
        <w:rPr>
          <w:rFonts w:ascii="Times New Roman" w:hAnsi="Times New Roman"/>
          <w:b/>
          <w:sz w:val="28"/>
          <w:szCs w:val="28"/>
        </w:rPr>
      </w:pPr>
      <w:r w:rsidRPr="00375059">
        <w:rPr>
          <w:rFonts w:ascii="Times New Roman" w:hAnsi="Times New Roman"/>
          <w:b/>
          <w:sz w:val="28"/>
          <w:szCs w:val="28"/>
        </w:rPr>
        <w:t>Динамика объемов производства электротехнической промышленности в 2021 году, млн руб.</w:t>
      </w:r>
    </w:p>
    <w:p w14:paraId="752B0EE8" w14:textId="28CC6981" w:rsidR="002B169F" w:rsidRPr="00375059" w:rsidRDefault="002B169F" w:rsidP="00CE10DF">
      <w:pPr>
        <w:spacing w:after="0" w:line="240" w:lineRule="auto"/>
        <w:jc w:val="both"/>
        <w:rPr>
          <w:rFonts w:ascii="Times New Roman" w:hAnsi="Times New Roman"/>
          <w:sz w:val="28"/>
          <w:szCs w:val="28"/>
        </w:rPr>
      </w:pPr>
      <w:r w:rsidRPr="00375059">
        <w:rPr>
          <w:rFonts w:ascii="Times New Roman" w:hAnsi="Times New Roman"/>
          <w:noProof/>
          <w:color w:val="FF0000"/>
          <w:sz w:val="28"/>
          <w:szCs w:val="28"/>
        </w:rPr>
        <w:drawing>
          <wp:inline distT="0" distB="0" distL="0" distR="0" wp14:anchorId="0CD8E64E" wp14:editId="1D463CEB">
            <wp:extent cx="5953125" cy="26670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E7D026"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По итогам 2021 года объем производства </w:t>
      </w:r>
      <w:r w:rsidRPr="00375059">
        <w:rPr>
          <w:rFonts w:ascii="Times New Roman" w:hAnsi="Times New Roman"/>
          <w:b/>
          <w:bCs/>
          <w:sz w:val="28"/>
          <w:szCs w:val="28"/>
        </w:rPr>
        <w:t xml:space="preserve">химической промышленности </w:t>
      </w:r>
      <w:r w:rsidRPr="00375059">
        <w:rPr>
          <w:rFonts w:ascii="Times New Roman" w:hAnsi="Times New Roman"/>
          <w:sz w:val="28"/>
          <w:szCs w:val="28"/>
        </w:rPr>
        <w:t>сформировался на отметке 329,1 млн руб., превысив сопоставимый уровень предыдущего года на 19,4% в номинальном выражении, однако в реальном отмечалось снижение на 12,7%.</w:t>
      </w:r>
    </w:p>
    <w:p w14:paraId="4B28EAA4" w14:textId="799004EE" w:rsidR="002B169F" w:rsidRPr="00375059" w:rsidRDefault="002B169F" w:rsidP="001463C8">
      <w:pPr>
        <w:spacing w:after="0" w:line="240" w:lineRule="auto"/>
        <w:ind w:firstLine="567"/>
        <w:jc w:val="both"/>
        <w:rPr>
          <w:rFonts w:ascii="Times New Roman" w:hAnsi="Times New Roman"/>
          <w:spacing w:val="-6"/>
          <w:sz w:val="28"/>
          <w:szCs w:val="28"/>
          <w:highlight w:val="yellow"/>
        </w:rPr>
      </w:pPr>
      <w:bookmarkStart w:id="8" w:name="_Hlk82524497"/>
      <w:r w:rsidRPr="00375059">
        <w:rPr>
          <w:rFonts w:ascii="Times New Roman" w:hAnsi="Times New Roman"/>
          <w:sz w:val="28"/>
          <w:szCs w:val="28"/>
        </w:rPr>
        <w:t>Отраслевой выпуск</w:t>
      </w:r>
      <w:r w:rsidRPr="00375059">
        <w:rPr>
          <w:rFonts w:ascii="Times New Roman" w:hAnsi="Times New Roman"/>
          <w:bCs/>
          <w:sz w:val="28"/>
          <w:szCs w:val="28"/>
        </w:rPr>
        <w:t xml:space="preserve"> предприятий </w:t>
      </w:r>
      <w:r w:rsidRPr="00375059">
        <w:rPr>
          <w:rFonts w:ascii="Times New Roman" w:hAnsi="Times New Roman"/>
          <w:b/>
          <w:sz w:val="28"/>
          <w:szCs w:val="28"/>
        </w:rPr>
        <w:t>мукомольно-крупяной и комбикормовой промышленности</w:t>
      </w:r>
      <w:r w:rsidRPr="00375059">
        <w:rPr>
          <w:rFonts w:ascii="Times New Roman" w:hAnsi="Times New Roman"/>
          <w:sz w:val="28"/>
          <w:szCs w:val="28"/>
        </w:rPr>
        <w:t xml:space="preserve"> составил 173,4 млн руб., что на 1,4% ниже базисного уровня. </w:t>
      </w:r>
      <w:r w:rsidRPr="00375059">
        <w:rPr>
          <w:rFonts w:ascii="Times New Roman" w:hAnsi="Times New Roman"/>
          <w:spacing w:val="-2"/>
          <w:sz w:val="28"/>
          <w:szCs w:val="28"/>
        </w:rPr>
        <w:t xml:space="preserve">В реальном выражении зафиксировано отставание в пределах 7,7%, отразившее сокращение производства </w:t>
      </w:r>
      <w:r w:rsidRPr="00375059">
        <w:rPr>
          <w:rFonts w:ascii="Times New Roman" w:hAnsi="Times New Roman"/>
          <w:spacing w:val="-6"/>
          <w:sz w:val="28"/>
          <w:szCs w:val="28"/>
        </w:rPr>
        <w:t xml:space="preserve">муки (-17,8%) и круп </w:t>
      </w:r>
      <w:r w:rsidR="0031710B">
        <w:rPr>
          <w:rFonts w:ascii="Times New Roman" w:hAnsi="Times New Roman"/>
          <w:spacing w:val="-6"/>
          <w:sz w:val="28"/>
          <w:szCs w:val="28"/>
        </w:rPr>
        <w:br/>
      </w:r>
      <w:r w:rsidRPr="00375059">
        <w:rPr>
          <w:rFonts w:ascii="Times New Roman" w:hAnsi="Times New Roman"/>
          <w:spacing w:val="-6"/>
          <w:sz w:val="28"/>
          <w:szCs w:val="28"/>
        </w:rPr>
        <w:t>(-16,4%).</w:t>
      </w:r>
    </w:p>
    <w:p w14:paraId="7BBE6F30" w14:textId="248A323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Нарастающим итогом за отчетный год товарный выпуск </w:t>
      </w:r>
      <w:r w:rsidRPr="00375059">
        <w:rPr>
          <w:rFonts w:ascii="Times New Roman" w:hAnsi="Times New Roman"/>
          <w:b/>
          <w:sz w:val="28"/>
          <w:szCs w:val="28"/>
        </w:rPr>
        <w:t xml:space="preserve">полиграфической промышленности </w:t>
      </w:r>
      <w:r w:rsidRPr="00375059">
        <w:rPr>
          <w:rFonts w:ascii="Times New Roman" w:hAnsi="Times New Roman"/>
          <w:sz w:val="28"/>
          <w:szCs w:val="28"/>
        </w:rPr>
        <w:t>зафиксирован на отметке 24,9 млн руб. (-3,2%). Сокращение производства в реальном выражении на 15,0% к показателю 2020 года связано со снижением спроса на продукцию отрасли в связи с повышением доли электронного взаимодействия. В разрезе товарных наименований отмечается уменьшение производства бланочной продукции (-</w:t>
      </w:r>
      <w:r w:rsidR="00EC52C1" w:rsidRPr="00375059">
        <w:rPr>
          <w:rFonts w:ascii="Times New Roman" w:hAnsi="Times New Roman"/>
          <w:sz w:val="28"/>
          <w:szCs w:val="28"/>
        </w:rPr>
        <w:t> </w:t>
      </w:r>
      <w:r w:rsidR="00D53B3C">
        <w:rPr>
          <w:rFonts w:ascii="Times New Roman" w:hAnsi="Times New Roman"/>
          <w:sz w:val="28"/>
          <w:szCs w:val="28"/>
        </w:rPr>
        <w:t>2</w:t>
      </w:r>
      <w:r w:rsidR="00EC52C1" w:rsidRPr="00375059">
        <w:rPr>
          <w:rFonts w:ascii="Times New Roman" w:hAnsi="Times New Roman"/>
          <w:sz w:val="28"/>
          <w:szCs w:val="28"/>
        </w:rPr>
        <w:t>0</w:t>
      </w:r>
      <w:r w:rsidRPr="00375059">
        <w:rPr>
          <w:rFonts w:ascii="Times New Roman" w:hAnsi="Times New Roman"/>
          <w:sz w:val="28"/>
          <w:szCs w:val="28"/>
        </w:rPr>
        <w:t>,8%)</w:t>
      </w:r>
      <w:r w:rsidR="00EC52C1" w:rsidRPr="00375059">
        <w:rPr>
          <w:rFonts w:ascii="Times New Roman" w:hAnsi="Times New Roman"/>
          <w:sz w:val="28"/>
          <w:szCs w:val="28"/>
        </w:rPr>
        <w:t>,</w:t>
      </w:r>
      <w:r w:rsidRPr="00375059">
        <w:rPr>
          <w:rFonts w:ascii="Times New Roman" w:hAnsi="Times New Roman"/>
          <w:sz w:val="28"/>
          <w:szCs w:val="28"/>
        </w:rPr>
        <w:t xml:space="preserve"> ученических тетрадей (-20,4%) и др.</w:t>
      </w:r>
    </w:p>
    <w:p w14:paraId="53BC8DEE" w14:textId="77777777" w:rsidR="002B169F" w:rsidRPr="00375059" w:rsidRDefault="002B169F" w:rsidP="001463C8">
      <w:pPr>
        <w:spacing w:after="0" w:line="240" w:lineRule="auto"/>
        <w:ind w:firstLine="567"/>
        <w:jc w:val="both"/>
        <w:rPr>
          <w:rFonts w:ascii="Times New Roman" w:hAnsi="Times New Roman"/>
          <w:sz w:val="28"/>
          <w:szCs w:val="28"/>
        </w:rPr>
      </w:pPr>
    </w:p>
    <w:p w14:paraId="4F745AFA" w14:textId="024BB80E" w:rsidR="002B169F" w:rsidRPr="00375059" w:rsidRDefault="002B169F" w:rsidP="001463C8">
      <w:pPr>
        <w:pStyle w:val="2"/>
        <w:spacing w:before="0" w:line="240" w:lineRule="auto"/>
        <w:ind w:firstLine="567"/>
        <w:rPr>
          <w:rFonts w:ascii="Times New Roman" w:hAnsi="Times New Roman" w:cs="Times New Roman"/>
          <w:b/>
          <w:color w:val="auto"/>
          <w:sz w:val="28"/>
        </w:rPr>
      </w:pPr>
      <w:bookmarkStart w:id="9" w:name="_Toc82074343"/>
      <w:bookmarkStart w:id="10" w:name="_Toc101441779"/>
      <w:bookmarkEnd w:id="8"/>
      <w:r w:rsidRPr="00375059">
        <w:rPr>
          <w:rFonts w:ascii="Times New Roman" w:hAnsi="Times New Roman" w:cs="Times New Roman"/>
          <w:b/>
          <w:color w:val="auto"/>
          <w:sz w:val="28"/>
        </w:rPr>
        <w:t>Агропромышленный комплекс</w:t>
      </w:r>
      <w:bookmarkEnd w:id="9"/>
      <w:bookmarkEnd w:id="10"/>
    </w:p>
    <w:p w14:paraId="3DD314A5" w14:textId="4510448E" w:rsidR="002B169F" w:rsidRPr="00375059" w:rsidRDefault="002B169F" w:rsidP="001463C8">
      <w:pPr>
        <w:widowControl w:val="0"/>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После продолжительной засухи 2020 года, отчетный период характеризовался более благоприятными климатическими условиями, которые обеспечили существенный рост объемов урожая продукции растениеводства в натуральном выражении (в 2,6 р</w:t>
      </w:r>
      <w:r w:rsidR="0031710B">
        <w:rPr>
          <w:rFonts w:ascii="Times New Roman" w:eastAsia="Calibri" w:hAnsi="Times New Roman"/>
          <w:sz w:val="28"/>
          <w:szCs w:val="28"/>
        </w:rPr>
        <w:t>аза</w:t>
      </w:r>
      <w:r w:rsidRPr="00375059">
        <w:rPr>
          <w:rFonts w:ascii="Times New Roman" w:eastAsia="Calibri" w:hAnsi="Times New Roman"/>
          <w:sz w:val="28"/>
          <w:szCs w:val="28"/>
        </w:rPr>
        <w:t>). Благодаря оказываемой государством поддержк</w:t>
      </w:r>
      <w:r w:rsidR="0031710B">
        <w:rPr>
          <w:rFonts w:ascii="Times New Roman" w:eastAsia="Calibri" w:hAnsi="Times New Roman"/>
          <w:sz w:val="28"/>
          <w:szCs w:val="28"/>
        </w:rPr>
        <w:t>е</w:t>
      </w:r>
      <w:r w:rsidRPr="00375059">
        <w:rPr>
          <w:rFonts w:ascii="Times New Roman" w:eastAsia="Calibri" w:hAnsi="Times New Roman"/>
          <w:sz w:val="28"/>
          <w:szCs w:val="28"/>
        </w:rPr>
        <w:t xml:space="preserve"> физические объемы продукции животноводческой отрасли </w:t>
      </w:r>
      <w:r w:rsidR="002827F3" w:rsidRPr="00375059">
        <w:rPr>
          <w:rFonts w:ascii="Times New Roman" w:eastAsia="Calibri" w:hAnsi="Times New Roman"/>
          <w:sz w:val="28"/>
          <w:szCs w:val="28"/>
        </w:rPr>
        <w:t>выросли</w:t>
      </w:r>
      <w:r w:rsidRPr="00375059">
        <w:rPr>
          <w:rFonts w:ascii="Times New Roman" w:eastAsia="Calibri" w:hAnsi="Times New Roman"/>
          <w:sz w:val="28"/>
          <w:szCs w:val="28"/>
        </w:rPr>
        <w:t xml:space="preserve"> на 6,1%. Совокупный индекс физического объема сельскохозяйственной продукции </w:t>
      </w:r>
      <w:r w:rsidR="0031710B">
        <w:rPr>
          <w:rFonts w:ascii="Times New Roman" w:eastAsia="Calibri" w:hAnsi="Times New Roman"/>
          <w:sz w:val="28"/>
          <w:szCs w:val="28"/>
        </w:rPr>
        <w:t>продемонстрировал расширение в</w:t>
      </w:r>
      <w:r w:rsidRPr="00375059">
        <w:rPr>
          <w:rFonts w:ascii="Times New Roman" w:eastAsia="Calibri" w:hAnsi="Times New Roman"/>
          <w:sz w:val="28"/>
          <w:szCs w:val="28"/>
        </w:rPr>
        <w:t xml:space="preserve"> 2,1 р</w:t>
      </w:r>
      <w:r w:rsidR="0031710B">
        <w:rPr>
          <w:rFonts w:ascii="Times New Roman" w:eastAsia="Calibri" w:hAnsi="Times New Roman"/>
          <w:sz w:val="28"/>
          <w:szCs w:val="28"/>
        </w:rPr>
        <w:t>аза</w:t>
      </w:r>
      <w:r w:rsidRPr="00375059">
        <w:rPr>
          <w:rFonts w:ascii="Times New Roman" w:eastAsia="Calibri" w:hAnsi="Times New Roman"/>
          <w:sz w:val="28"/>
          <w:szCs w:val="28"/>
        </w:rPr>
        <w:t xml:space="preserve"> к уровню 2020 года.</w:t>
      </w:r>
    </w:p>
    <w:p w14:paraId="65CBC007" w14:textId="2C332F41" w:rsidR="002B169F" w:rsidRPr="00375059" w:rsidRDefault="002B169F" w:rsidP="001463C8">
      <w:pPr>
        <w:widowControl w:val="0"/>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Таким образом, учитывая высокие объемы урожая, а также мировые тенденции роста цен на продовольствие, валовая продукция сельского хозяйства по итогам 2021 года оценена в размере 4 628,6 млн руб., что на </w:t>
      </w:r>
      <w:r w:rsidRPr="00375059">
        <w:rPr>
          <w:rFonts w:ascii="Times New Roman" w:eastAsia="Calibri" w:hAnsi="Times New Roman"/>
          <w:sz w:val="28"/>
          <w:szCs w:val="28"/>
        </w:rPr>
        <w:lastRenderedPageBreak/>
        <w:t>55,6% выше базисного показателя (рис. 1</w:t>
      </w:r>
      <w:r w:rsidR="002827F3" w:rsidRPr="00375059">
        <w:rPr>
          <w:rFonts w:ascii="Times New Roman" w:eastAsia="Calibri" w:hAnsi="Times New Roman"/>
          <w:sz w:val="28"/>
          <w:szCs w:val="28"/>
        </w:rPr>
        <w:t>2</w:t>
      </w:r>
      <w:r w:rsidRPr="00375059">
        <w:rPr>
          <w:rFonts w:ascii="Times New Roman" w:eastAsia="Calibri" w:hAnsi="Times New Roman"/>
          <w:sz w:val="28"/>
          <w:szCs w:val="28"/>
        </w:rPr>
        <w:t>).</w:t>
      </w:r>
    </w:p>
    <w:p w14:paraId="5492AE53" w14:textId="7E255C31" w:rsidR="002B169F" w:rsidRPr="00375059" w:rsidRDefault="002B169F" w:rsidP="002B169F">
      <w:pPr>
        <w:widowControl w:val="0"/>
        <w:spacing w:after="0" w:line="240" w:lineRule="auto"/>
        <w:ind w:firstLine="426"/>
        <w:contextualSpacing/>
        <w:jc w:val="right"/>
        <w:rPr>
          <w:rFonts w:ascii="Times New Roman" w:hAnsi="Times New Roman"/>
          <w:b/>
          <w:i/>
          <w:sz w:val="28"/>
          <w:szCs w:val="28"/>
        </w:rPr>
      </w:pPr>
      <w:r w:rsidRPr="00375059">
        <w:rPr>
          <w:rFonts w:ascii="Times New Roman" w:hAnsi="Times New Roman"/>
          <w:b/>
          <w:i/>
          <w:sz w:val="28"/>
          <w:szCs w:val="28"/>
        </w:rPr>
        <w:t>Рисунок 1</w:t>
      </w:r>
      <w:r w:rsidR="002827F3" w:rsidRPr="00375059">
        <w:rPr>
          <w:rFonts w:ascii="Times New Roman" w:hAnsi="Times New Roman"/>
          <w:b/>
          <w:i/>
          <w:sz w:val="28"/>
          <w:szCs w:val="28"/>
        </w:rPr>
        <w:t>2</w:t>
      </w:r>
    </w:p>
    <w:p w14:paraId="1A368191" w14:textId="77777777" w:rsidR="002B169F" w:rsidRPr="00375059" w:rsidRDefault="002B169F" w:rsidP="0031710B">
      <w:pPr>
        <w:widowControl w:val="0"/>
        <w:spacing w:after="0" w:line="240" w:lineRule="auto"/>
        <w:contextualSpacing/>
        <w:jc w:val="center"/>
        <w:rPr>
          <w:rFonts w:ascii="Times New Roman" w:hAnsi="Times New Roman"/>
          <w:b/>
          <w:iCs/>
          <w:sz w:val="28"/>
          <w:szCs w:val="28"/>
        </w:rPr>
      </w:pPr>
      <w:r w:rsidRPr="00375059">
        <w:rPr>
          <w:rFonts w:ascii="Times New Roman" w:hAnsi="Times New Roman"/>
          <w:b/>
          <w:iCs/>
          <w:sz w:val="28"/>
          <w:szCs w:val="28"/>
        </w:rPr>
        <w:t>Производство продукции сельского хозяйства, млн руб.</w:t>
      </w:r>
    </w:p>
    <w:p w14:paraId="3815623B" w14:textId="58B61150" w:rsidR="002B169F" w:rsidRPr="00375059" w:rsidRDefault="00863ADB" w:rsidP="002B169F">
      <w:pPr>
        <w:widowControl w:val="0"/>
        <w:spacing w:after="0" w:line="240" w:lineRule="auto"/>
        <w:ind w:left="-284"/>
        <w:jc w:val="both"/>
        <w:rPr>
          <w:rFonts w:ascii="Times New Roman" w:hAnsi="Times New Roman"/>
          <w:sz w:val="28"/>
          <w:szCs w:val="28"/>
        </w:rPr>
      </w:pPr>
      <w:r w:rsidRPr="00375059">
        <w:rPr>
          <w:rFonts w:ascii="Times New Roman" w:hAnsi="Times New Roman"/>
          <w:noProof/>
        </w:rPr>
        <mc:AlternateContent>
          <mc:Choice Requires="wpg">
            <w:drawing>
              <wp:anchor distT="0" distB="0" distL="114300" distR="114300" simplePos="0" relativeHeight="251665408" behindDoc="0" locked="0" layoutInCell="1" allowOverlap="1" wp14:anchorId="4444AFD0" wp14:editId="4D2F1859">
                <wp:simplePos x="0" y="0"/>
                <wp:positionH relativeFrom="column">
                  <wp:posOffset>2827020</wp:posOffset>
                </wp:positionH>
                <wp:positionV relativeFrom="paragraph">
                  <wp:posOffset>776605</wp:posOffset>
                </wp:positionV>
                <wp:extent cx="521970" cy="234950"/>
                <wp:effectExtent l="0" t="0" r="0" b="0"/>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34950"/>
                          <a:chOff x="24130" y="145650"/>
                          <a:chExt cx="518615" cy="237849"/>
                        </a:xfrm>
                      </wpg:grpSpPr>
                      <wps:wsp>
                        <wps:cNvPr id="50" name="Text Box 274"/>
                        <wps:cNvSpPr txBox="1">
                          <a:spLocks noChangeArrowheads="1"/>
                        </wps:cNvSpPr>
                        <wps:spPr bwMode="auto">
                          <a:xfrm>
                            <a:off x="24130"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4B16DC" w14:textId="77777777" w:rsidR="00540656" w:rsidRDefault="00540656" w:rsidP="002B169F">
                              <w:pPr>
                                <w:rPr>
                                  <w:rFonts w:ascii="Times New Roman" w:hAnsi="Times New Roman"/>
                                  <w:sz w:val="16"/>
                                  <w:lang w:val="en-US"/>
                                </w:rPr>
                              </w:pPr>
                              <w:r>
                                <w:rPr>
                                  <w:rFonts w:ascii="Times New Roman" w:hAnsi="Times New Roman"/>
                                  <w:sz w:val="16"/>
                                </w:rPr>
                                <w:t>-2,6%</w:t>
                              </w:r>
                            </w:p>
                            <w:p w14:paraId="7EB8FA04" w14:textId="77777777" w:rsidR="00540656" w:rsidRDefault="00540656" w:rsidP="002B169F">
                              <w:pPr>
                                <w:rPr>
                                  <w:rFonts w:ascii="Times New Roman" w:hAnsi="Times New Roman"/>
                                  <w:sz w:val="16"/>
                                  <w:lang w:val="en-US"/>
                                </w:rPr>
                              </w:pPr>
                            </w:p>
                          </w:txbxContent>
                        </wps:txbx>
                        <wps:bodyPr rot="0" vert="horz" wrap="square" lIns="91440" tIns="45720" rIns="91440" bIns="45720" anchor="t" anchorCtr="0" upright="1">
                          <a:noAutofit/>
                        </wps:bodyPr>
                      </wps:wsp>
                      <wps:wsp>
                        <wps:cNvPr id="51" name="AutoShape 275"/>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4444AFD0" id="Группа 49" o:spid="_x0000_s1035" style="position:absolute;left:0;text-align:left;margin-left:222.6pt;margin-top:61.15pt;width:41.1pt;height:18.5pt;z-index:251665408;mso-height-relative:margin" coordorigin="241,1456" coordsize="5186,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iM5QMAAAkLAAAOAAAAZHJzL2Uyb0RvYy54bWzcVmtu4zYQ/l+gdyD437EoU09EWSR2HBRI&#10;20V3ewBaoh6tJKokHTktChToEXqR3qBX2L1Rh6T8iPfRYoPuj9qAQHGo4cw3833k5Ytd16IHLlUj&#10;+gyTCw8j3ueiaPoqw9+/Xs9ijJRmfcFa0fMMP3KFX1x9+cXlOKTcF7VoCy4ROOlVOg4ZrrUe0vlc&#10;5TXvmLoQA+/BWArZMQ2vspoXko3gvWvnvueF81HIYpAi50rB7MoZ8ZX1X5Y819+WpeIatRmG2LR9&#10;SvvcmOf86pKllWRD3eRTGOwTouhY08OmB1crphnayuYdV12TS6FEqS9y0c1FWTY5tzlANsQ7y+ZO&#10;iu1gc6nSsRoOMAG0Zzh9stv8m4eXEjVFhmmCUc86qNGbP97+9vb3N3/B/08E04DROFQpLL2Tw6vh&#10;pXSJwvBe5D8qMM/P7ea9covRZvxaFOCWbbWwGO1K2RkXkD3a2VI8HkrBdxrlMBn4JImgYDmY/AVN&#10;gqlUeQ31NF/5lCzADmZCg/Bovt07IHFIgr2DKHZ5zFnqdrcRTxGa9KD71BFg9TyAX9Vs4LZuyqA2&#10;AQwxTgC/NlneiB3yI+rQtesMtEjvwABJWaSUQxj1YlmzvuLXUoqx5qyAAIn5EtI4fOrSUMbJP0H+&#10;fvAO2H8cOpYOUuk7LjpkBhmWwDIbLnu4V9pEdVxi6tyLddO2MM/Stn8yAQvdDGwNnxqbCcIS55fE&#10;S27j25jOqB/ezqi3Ws2u10s6C9ckClaL1XK5Ir+afQlN66YoeG+22ZOY0H9Xw0lOHP0ONFaibQrj&#10;zoSkZLVZthI9MBCRtf1Z7MFyXDZ/GoYFAXI5S4n41Lvxk9k6jKMZXdNgBl0ezzyS3CShRxO6Wj9N&#10;6b7p+fNTQmOGF4Caa6pj0Ge5efb3bm4s7RoNMt02XYbjwyKWmla87QtbWs2a1o1PoDDhH6GAcu8L&#10;bRvX9KrrWr3b7KwKRXs+bETxCJ0sBTQYEAeOGBjUQv6M0QhynWH105ZJjlH7VQ9sSAilsEzbFxpE&#10;PrzIU8vm1ML6HFxlWGPkhkvtzoTtIJuqhp0c/3pxDaJVNrapDdVcVBPvQDE+l3SQvXSYeKy8gHYE&#10;e6xAY4x22F79jxSDRlEYOblNiBfGZmtHVqPWiyD2jbwZtSb+giRWrQ9ie5SDvWKIbV9890Q2jLuq&#10;mASSFT9gVHYtHMVAOkTCEDZ3wmI15uMSY7o9Cfz3dbu5VvADl/XOlbnddnBEOX6Tk/aGeXPaWN7v&#10;M7I3E+PCxnAiACyF03riwod48f9Xuw9T/LMQOtfy+ZS2dwO4b9kKT3dDc6E7fYfx6Q326m8AAAD/&#10;/wMAUEsDBBQABgAIAAAAIQDnFMTh4QAAAAsBAAAPAAAAZHJzL2Rvd25yZXYueG1sTI/BTsMwDIbv&#10;SLxDZCRuLG3awihNp2kCThMSGxLaLWu8tlqTVE3Wdm+POcHR/j/9/lysZtOxEQffOishXkTA0FZO&#10;t7aW8LV/e1gC80FZrTpnUcIVPazK25tC5dpN9hPHXagZlVifKwlNCH3Oua8aNMovXI+WspMbjAo0&#10;DjXXg5qo3HRcRNEjN6q1dKFRPW4arM67i5HwPqlpncSv4/Z82lwP++zjexujlPd38/oFWMA5/MHw&#10;q0/qUJLT0V2s9qyTkKaZIJQCIRJgRGTiKQV2pE32nAAvC/7/h/IHAAD//wMAUEsBAi0AFAAGAAgA&#10;AAAhALaDOJL+AAAA4QEAABMAAAAAAAAAAAAAAAAAAAAAAFtDb250ZW50X1R5cGVzXS54bWxQSwEC&#10;LQAUAAYACAAAACEAOP0h/9YAAACUAQAACwAAAAAAAAAAAAAAAAAvAQAAX3JlbHMvLnJlbHNQSwEC&#10;LQAUAAYACAAAACEACqJojOUDAAAJCwAADgAAAAAAAAAAAAAAAAAuAgAAZHJzL2Uyb0RvYy54bWxQ&#10;SwECLQAUAAYACAAAACEA5xTE4eEAAAALAQAADwAAAAAAAAAAAAAAAAA/BgAAZHJzL2Rvd25yZXYu&#10;eG1sUEsFBgAAAAAEAAQA8wAAAE0HAAAAAA==&#10;">
                <v:shape id="Text Box 274" o:spid="_x0000_s1036" type="#_x0000_t202" style="position:absolute;left:241;top:1456;width:5186;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HtwAAAANsAAAAPAAAAZHJzL2Rvd25yZXYueG1sRE9Na8JA&#10;EL0X/A/LCN7qRkGxqasURRA8aXqotyE7JqHZ2ZhdTeyv7xwEj4/3vVz3rlZ3akPl2cBknIAizr2t&#10;uDDwne3eF6BCRLZYeyYDDwqwXg3elpha3/GR7qdYKAnhkKKBMsYm1TrkJTkMY98QC3fxrcMosC20&#10;bbGTcFfraZLMtcOKpaHEhjYl5b+nm5PebTzvmo9bde3zy+Gn7rJ5dv4zZjTsvz5BRerjS/x0762B&#10;mayXL/ID9OofAAD//wMAUEsBAi0AFAAGAAgAAAAhANvh9svuAAAAhQEAABMAAAAAAAAAAAAAAAAA&#10;AAAAAFtDb250ZW50X1R5cGVzXS54bWxQSwECLQAUAAYACAAAACEAWvQsW78AAAAVAQAACwAAAAAA&#10;AAAAAAAAAAAfAQAAX3JlbHMvLnJlbHNQSwECLQAUAAYACAAAACEAR3Wh7cAAAADbAAAADwAAAAAA&#10;AAAAAAAAAAAHAgAAZHJzL2Rvd25yZXYueG1sUEsFBgAAAAADAAMAtwAAAPQCAAAAAA==&#10;" filled="f" stroked="f" strokeweight=".25pt">
                  <v:textbox>
                    <w:txbxContent>
                      <w:p w14:paraId="7F4B16DC" w14:textId="77777777" w:rsidR="00540656" w:rsidRDefault="00540656" w:rsidP="002B169F">
                        <w:pPr>
                          <w:rPr>
                            <w:rFonts w:ascii="Times New Roman" w:hAnsi="Times New Roman"/>
                            <w:sz w:val="16"/>
                            <w:lang w:val="en-US"/>
                          </w:rPr>
                        </w:pPr>
                        <w:r>
                          <w:rPr>
                            <w:rFonts w:ascii="Times New Roman" w:hAnsi="Times New Roman"/>
                            <w:sz w:val="16"/>
                          </w:rPr>
                          <w:t>-2,6%</w:t>
                        </w:r>
                      </w:p>
                      <w:p w14:paraId="7EB8FA04" w14:textId="77777777" w:rsidR="00540656" w:rsidRDefault="00540656" w:rsidP="002B169F">
                        <w:pPr>
                          <w:rPr>
                            <w:rFonts w:ascii="Times New Roman" w:hAnsi="Times New Roman"/>
                            <w:sz w:val="16"/>
                            <w:lang w:val="en-US"/>
                          </w:rPr>
                        </w:pPr>
                      </w:p>
                    </w:txbxContent>
                  </v:textbox>
                </v:shape>
                <v:roundrect id="AutoShape 275" o:spid="_x0000_s1037" style="position:absolute;left:477;top:1910;width:3583;height:1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6mxgAAANsAAAAPAAAAZHJzL2Rvd25yZXYueG1sRI9Ba8JA&#10;FITvBf/D8oReim5SaJXoJmihUDwItTno7Zl9JsHs27i71fTfu4VCj8PMfMMsi8F04krOt5YVpNME&#10;BHFldcu1gvLrfTIH4QOyxs4yKfghD0U+elhipu2NP+m6C7WIEPYZKmhC6DMpfdWQQT+1PXH0TtYZ&#10;DFG6WmqHtwg3nXxOkldpsOW40GBPbw1V5923UTDbro/r/azcHObuCdOV3dRlf1HqcTysFiACDeE/&#10;/Nf+0ApeUvj9En+AzO8AAAD//wMAUEsBAi0AFAAGAAgAAAAhANvh9svuAAAAhQEAABMAAAAAAAAA&#10;AAAAAAAAAAAAAFtDb250ZW50X1R5cGVzXS54bWxQSwECLQAUAAYACAAAACEAWvQsW78AAAAVAQAA&#10;CwAAAAAAAAAAAAAAAAAfAQAAX3JlbHMvLnJlbHNQSwECLQAUAAYACAAAACEAyn7upsYAAADbAAAA&#10;DwAAAAAAAAAAAAAAAAAHAgAAZHJzL2Rvd25yZXYueG1sUEsFBgAAAAADAAMAtwAAAPoCAAAAAA==&#10;" filled="f" strokecolor="black [3213]"/>
              </v:group>
            </w:pict>
          </mc:Fallback>
        </mc:AlternateContent>
      </w:r>
      <w:r w:rsidRPr="00375059">
        <w:rPr>
          <w:rFonts w:ascii="Times New Roman" w:hAnsi="Times New Roman"/>
          <w:noProof/>
        </w:rPr>
        <mc:AlternateContent>
          <mc:Choice Requires="wpg">
            <w:drawing>
              <wp:anchor distT="0" distB="0" distL="114300" distR="114300" simplePos="0" relativeHeight="251666432" behindDoc="0" locked="0" layoutInCell="1" allowOverlap="1" wp14:anchorId="13FFD92B" wp14:editId="3659DF2A">
                <wp:simplePos x="0" y="0"/>
                <wp:positionH relativeFrom="column">
                  <wp:posOffset>730885</wp:posOffset>
                </wp:positionH>
                <wp:positionV relativeFrom="paragraph">
                  <wp:posOffset>233045</wp:posOffset>
                </wp:positionV>
                <wp:extent cx="521970" cy="262890"/>
                <wp:effectExtent l="0" t="0" r="0" b="3810"/>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61260"/>
                          <a:chExt cx="518615" cy="237849"/>
                        </a:xfrm>
                      </wpg:grpSpPr>
                      <wps:wsp>
                        <wps:cNvPr id="34" name="Text Box 285"/>
                        <wps:cNvSpPr txBox="1">
                          <a:spLocks noChangeArrowheads="1"/>
                        </wps:cNvSpPr>
                        <wps:spPr bwMode="auto">
                          <a:xfrm>
                            <a:off x="-27295" y="16126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A0F56" w14:textId="77777777" w:rsidR="00540656" w:rsidRDefault="00540656" w:rsidP="002B169F">
                              <w:pPr>
                                <w:jc w:val="center"/>
                                <w:rPr>
                                  <w:rFonts w:ascii="Times New Roman" w:hAnsi="Times New Roman"/>
                                  <w:sz w:val="16"/>
                                  <w:lang w:val="en-US"/>
                                </w:rPr>
                              </w:pPr>
                              <w:r>
                                <w:rPr>
                                  <w:rFonts w:ascii="Times New Roman" w:hAnsi="Times New Roman"/>
                                  <w:sz w:val="16"/>
                                </w:rPr>
                                <w:t>+55,6%</w:t>
                              </w:r>
                            </w:p>
                            <w:p w14:paraId="01BB33AF" w14:textId="77777777" w:rsidR="00540656" w:rsidRDefault="00540656" w:rsidP="002B169F">
                              <w:pPr>
                                <w:rPr>
                                  <w:rFonts w:ascii="Times New Roman" w:hAnsi="Times New Roman"/>
                                  <w:sz w:val="16"/>
                                  <w:lang w:val="en-US"/>
                                </w:rPr>
                              </w:pPr>
                            </w:p>
                          </w:txbxContent>
                        </wps:txbx>
                        <wps:bodyPr rot="0" vert="horz" wrap="square" lIns="91440" tIns="45720" rIns="91440" bIns="45720" anchor="t" anchorCtr="0" upright="1">
                          <a:noAutofit/>
                        </wps:bodyPr>
                      </wps:wsp>
                      <wps:wsp>
                        <wps:cNvPr id="35" name="AutoShape 286"/>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3FFD92B" id="Группа 33" o:spid="_x0000_s1038" style="position:absolute;left:0;text-align:left;margin-left:57.55pt;margin-top:18.35pt;width:41.1pt;height:20.7pt;z-index:251666432;mso-height-relative:margin" coordorigin="-27295,16126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Ol5gMAAAsLAAAOAAAAZHJzL2Uyb0RvYy54bWzcVl1u4zYQfi/QOxB8VyTKsiwJURaJf4IC&#10;abvobg9AS9RPK5EqSUdOiwIFeoRepDfoFXZv1CFpa52kbosNug+1AYPk0MOZb+b7yMtX+75D90yq&#10;VvAck4sAI8YLUba8zvG3bzdegpHSlJe0E5zl+IEp/Orq888uxyFjoWhEVzKJwAlX2TjkuNF6yHxf&#10;FQ3rqboQA+NgrITsqYaprP1S0hG8950fBkHsj0KWgxQFUwpWV86Ir6z/qmKF/rqqFNOoyzHEpu2v&#10;tL9b8+tfXdKslnRo2uIQBv2IKHracjh0crWimqKdbJ+56ttCCiUqfVGI3hdV1RbM5gDZkOBJNrdS&#10;7AabS52N9TDBBNA+wemj3RZf3b+WqC1zPJthxGkPNXr32/tf3v/67g/4/o5gGTAahzqDrbdyeDO8&#10;li5RGN6J4nsFZv+p3cxrtxltxy9FCW7pTguL0b6SvXEB2aO9LcXDVAq216iAxXlI0gUUrABTGIdJ&#10;eihV0UA9zb+8cBGmc4zATmISxpN9ffRAkpjAButhtkii1CTi08wdb0M+hGjyg/ZTHxBWL0P4TUMH&#10;ZgunDGxHhKMjwm9Nmjdij8Jk7uC1+wy2SO/BAElZqJSDGHGxbCiv2bWUYmwYLSFAYvMxkcMRrixm&#10;ooyTf8L8DHoT+n+PHc0GqfQtEz0ygxxL4JmNl97fKe1gPm4xleZi03YdrNOs448WoB5uBY6Gvxqb&#10;CcJS56c0SNfJOom8KIzXXhSsVt71Zhl58YYs5qvZarlckZ/NuSTKmrYsGTfHHGlMon9XxIOgOAJO&#10;RFaia0vjzoSkZL1ddhLdU5CRjf0cmulkm/84DNtrkMuTlEgYBTdh6m3iZOFFm2juQZ8nXkDSmzQO&#10;ojRabR6ndNdy9vKU0AgMB9RcV53NLbCf57nRrG81CHXX9jlOpk00M7245qUtraZt58YnUJjwP0AB&#10;5T4WGgjomtWxT++3e6tDyZEQW1E+QCtLAQ0GSgCXDAwaIX/EaATBzrH6YUclw6j7ggMdUhJFRuHt&#10;JJovQpjIU8v21EJ5Aa5yrDFyw6V2t8JukG3dwEmOgFxcg2xVrW1qE7GLykqelYxPpR2gZE6dTTxW&#10;X0A84iNWkwJAr/5HkhEtFvHC6W1KgtiWyZHV6PVsnoTzg16TcEacXk9q+1wxxI6X3zySDUOUujxk&#10;ScvvMKr6Di5jIB0icQyHO2GxGmNb6qzEmG5P5+Ffdbt5WLCJy3rvytzterikHL/JSXvDurlvLO/t&#10;DQMZ2beJcWFjOBEAmsF9feDCOV78/9XuPMU/CaELLV9Oafs4gBeXrfDhdWiedKdzGJ++Ya/+BAAA&#10;//8DAFBLAwQUAAYACAAAACEAwhus+98AAAAJAQAADwAAAGRycy9kb3ducmV2LnhtbEyPQUvDQBCF&#10;74L/YRnBm92soU2N2ZRS1FMRbAXxNk2mSWh2NmS3Sfrv3Z7s8TEf732TrSbTioF611jWoGYRCOLC&#10;lg1XGr73709LEM4jl9haJg0XcrDK7+8yTEs78hcNO1+JUMIuRQ21910qpStqMuhmtiMOt6PtDfoQ&#10;+0qWPY6h3LTyOYoW0mDDYaHGjjY1Fafd2Wj4GHFcx+pt2J6Om8vvfv75s1Wk9ePDtH4F4Wny/zBc&#10;9YM65MHpYM9cOtGGrOYqoBriRQLiCrwkMYiDhmSpQOaZvP0g/wMAAP//AwBQSwECLQAUAAYACAAA&#10;ACEAtoM4kv4AAADhAQAAEwAAAAAAAAAAAAAAAAAAAAAAW0NvbnRlbnRfVHlwZXNdLnhtbFBLAQIt&#10;ABQABgAIAAAAIQA4/SH/1gAAAJQBAAALAAAAAAAAAAAAAAAAAC8BAABfcmVscy8ucmVsc1BLAQIt&#10;ABQABgAIAAAAIQBcLSOl5gMAAAsLAAAOAAAAAAAAAAAAAAAAAC4CAABkcnMvZTJvRG9jLnhtbFBL&#10;AQItABQABgAIAAAAIQDCG6z73wAAAAkBAAAPAAAAAAAAAAAAAAAAAEAGAABkcnMvZG93bnJldi54&#10;bWxQSwUGAAAAAAQABADzAAAATAcAAAAA&#10;">
                <v:shape id="Text Box 285" o:spid="_x0000_s1039" type="#_x0000_t202" style="position:absolute;left:-27295;top:16126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JOwwAAANsAAAAPAAAAZHJzL2Rvd25yZXYueG1sRI9Li8Iw&#10;FIX3gv8hXMGdpj4QrUYRRRBcjZ2F7i7NtS02N7WJtjO/fiIIszycx8dZbVpTihfVrrCsYDSMQBCn&#10;VhecKfhODoM5COeRNZaWScEPOdisu50Vxto2/EWvs89EGGEXo4Lc+yqW0qU5GXRDWxEH72Zrgz7I&#10;OpO6xiaMm1KOo2gmDRYcCDlWtMspvZ+fJnD3/nqoFs/i0aa306Vsklly/VWq32u3SxCeWv8f/rSP&#10;WsFkCu8v4QfI9R8AAAD//wMAUEsBAi0AFAAGAAgAAAAhANvh9svuAAAAhQEAABMAAAAAAAAAAAAA&#10;AAAAAAAAAFtDb250ZW50X1R5cGVzXS54bWxQSwECLQAUAAYACAAAACEAWvQsW78AAAAVAQAACwAA&#10;AAAAAAAAAAAAAAAfAQAAX3JlbHMvLnJlbHNQSwECLQAUAAYACAAAACEA5ZFCTsMAAADbAAAADwAA&#10;AAAAAAAAAAAAAAAHAgAAZHJzL2Rvd25yZXYueG1sUEsFBgAAAAADAAMAtwAAAPcCAAAAAA==&#10;" filled="f" stroked="f" strokeweight=".25pt">
                  <v:textbox>
                    <w:txbxContent>
                      <w:p w14:paraId="2BCA0F56" w14:textId="77777777" w:rsidR="00540656" w:rsidRDefault="00540656" w:rsidP="002B169F">
                        <w:pPr>
                          <w:jc w:val="center"/>
                          <w:rPr>
                            <w:rFonts w:ascii="Times New Roman" w:hAnsi="Times New Roman"/>
                            <w:sz w:val="16"/>
                            <w:lang w:val="en-US"/>
                          </w:rPr>
                        </w:pPr>
                        <w:r>
                          <w:rPr>
                            <w:rFonts w:ascii="Times New Roman" w:hAnsi="Times New Roman"/>
                            <w:sz w:val="16"/>
                          </w:rPr>
                          <w:t>+55,6%</w:t>
                        </w:r>
                      </w:p>
                      <w:p w14:paraId="01BB33AF" w14:textId="77777777" w:rsidR="00540656" w:rsidRDefault="00540656" w:rsidP="002B169F">
                        <w:pPr>
                          <w:rPr>
                            <w:rFonts w:ascii="Times New Roman" w:hAnsi="Times New Roman"/>
                            <w:sz w:val="16"/>
                            <w:lang w:val="en-US"/>
                          </w:rPr>
                        </w:pPr>
                      </w:p>
                    </w:txbxContent>
                  </v:textbox>
                </v:shape>
                <v:roundrect id="AutoShape 286" o:spid="_x0000_s1040"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0FxgAAANsAAAAPAAAAZHJzL2Rvd25yZXYueG1sRI9Ba8JA&#10;FITvBf/D8oReim5sqUp0E7RQKB4Kag56e2afSTD7Nt3davrvu4WCx2FmvmGWeW9acSXnG8sKJuME&#10;BHFpdcOVgmL/PpqD8AFZY2uZFPyQhzwbPCwx1fbGW7ruQiUihH2KCuoQulRKX9Zk0I9tRxy9s3UG&#10;Q5SuktrhLcJNK5+TZCoNNhwXauzorabysvs2Cmaf69P6MCs2x7l7wsnKbqqi+1LqcdivFiAC9eEe&#10;/m9/aAUvr/D3Jf4Amf0CAAD//wMAUEsBAi0AFAAGAAgAAAAhANvh9svuAAAAhQEAABMAAAAAAAAA&#10;AAAAAAAAAAAAAFtDb250ZW50X1R5cGVzXS54bWxQSwECLQAUAAYACAAAACEAWvQsW78AAAAVAQAA&#10;CwAAAAAAAAAAAAAAAAAfAQAAX3JlbHMvLnJlbHNQSwECLQAUAAYACAAAACEAaJoNBcYAAADbAAAA&#10;DwAAAAAAAAAAAAAAAAAHAgAAZHJzL2Rvd25yZXYueG1sUEsFBgAAAAADAAMAtwAAAPoCAAAAAA==&#10;" filled="f" strokecolor="black [3213]"/>
              </v:group>
            </w:pict>
          </mc:Fallback>
        </mc:AlternateContent>
      </w:r>
      <w:r w:rsidR="002B169F" w:rsidRPr="00375059">
        <w:rPr>
          <w:rFonts w:ascii="Times New Roman" w:hAnsi="Times New Roman"/>
          <w:noProof/>
        </w:rPr>
        <mc:AlternateContent>
          <mc:Choice Requires="wpg">
            <w:drawing>
              <wp:anchor distT="0" distB="0" distL="114300" distR="114300" simplePos="0" relativeHeight="251667456" behindDoc="0" locked="0" layoutInCell="1" allowOverlap="1" wp14:anchorId="1A199628" wp14:editId="0837BA9D">
                <wp:simplePos x="0" y="0"/>
                <wp:positionH relativeFrom="column">
                  <wp:posOffset>4691380</wp:posOffset>
                </wp:positionH>
                <wp:positionV relativeFrom="paragraph">
                  <wp:posOffset>215900</wp:posOffset>
                </wp:positionV>
                <wp:extent cx="521970" cy="245745"/>
                <wp:effectExtent l="0" t="0" r="0" b="0"/>
                <wp:wrapNone/>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45745"/>
                          <a:chOff x="-27295" y="145650"/>
                          <a:chExt cx="518615" cy="237849"/>
                        </a:xfrm>
                      </wpg:grpSpPr>
                      <wps:wsp>
                        <wps:cNvPr id="47" name="Text Box 294"/>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3CE43" w14:textId="77777777" w:rsidR="00540656" w:rsidRDefault="00540656" w:rsidP="002B169F">
                              <w:pPr>
                                <w:jc w:val="center"/>
                                <w:rPr>
                                  <w:rFonts w:ascii="Times New Roman" w:hAnsi="Times New Roman"/>
                                  <w:sz w:val="16"/>
                                  <w:lang w:val="en-US"/>
                                </w:rPr>
                              </w:pPr>
                              <w:r>
                                <w:rPr>
                                  <w:rFonts w:ascii="Times New Roman" w:hAnsi="Times New Roman"/>
                                  <w:sz w:val="16"/>
                                </w:rPr>
                                <w:t>+73,2%</w:t>
                              </w:r>
                            </w:p>
                            <w:p w14:paraId="463C9E88" w14:textId="77777777" w:rsidR="00540656" w:rsidRDefault="00540656" w:rsidP="002B169F">
                              <w:pPr>
                                <w:rPr>
                                  <w:rFonts w:ascii="Times New Roman" w:hAnsi="Times New Roman"/>
                                  <w:sz w:val="16"/>
                                  <w:lang w:val="en-US"/>
                                </w:rPr>
                              </w:pPr>
                            </w:p>
                          </w:txbxContent>
                        </wps:txbx>
                        <wps:bodyPr rot="0" vert="horz" wrap="square" lIns="91440" tIns="45720" rIns="91440" bIns="45720" anchor="t" anchorCtr="0" upright="1">
                          <a:noAutofit/>
                        </wps:bodyPr>
                      </wps:wsp>
                      <wps:wsp>
                        <wps:cNvPr id="48" name="AutoShape 295"/>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A199628" id="Группа 45" o:spid="_x0000_s1041" style="position:absolute;left:0;text-align:left;margin-left:369.4pt;margin-top:17pt;width:41.1pt;height:19.35pt;z-index:251667456;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4KV5QMAAAsLAAAOAAAAZHJzL2Uyb0RvYy54bWzcVl1u4zYQfi/QOxB8VyQqkiwJURaJf4IC&#10;aXfR3R6AlqifViJVko6cFgUK7BF6kd6gV9i9UYek7TgJvC026D7UBgySQw9nvpnvIy9ebYce3TGp&#10;OsELTM4CjBgvRdXxpsA/vFt5KUZKU17RXnBW4Hum8KvLr7+6mMachaIVfcUkAidc5dNY4FbrMfd9&#10;VbZsoOpMjIyDsRZyoBqmsvErSSfwPvR+GASJPwlZjVKUTClYXTgjvrT+65qV+nVdK6ZRX2CITdtf&#10;aX/X5te/vKB5I+nYduUuDPoZUQy043DowdWCaoo2snvmauhKKZSo9VkpBl/UdVcymwNkQ4In2dxI&#10;sRltLk0+NeMBJoD2CU6f7bb87u6NRF1V4CjGiNMBavThj4+/f3z/4S/4/olgGTCaxiaHrTdyfDu+&#10;kS5RGN6K8icFZv+p3cwbtxmtp29FBW7pRguL0baWg3EB2aOtLcX9oRRsq1EJi3FIshkUrARTGMUz&#10;FwbNyxbqaf7lhbMwg5DBTqI4iXelLNvl3gNJEwIbrIfzWRplJhGf5u54G/IuRJMftJ96QFi9DOG3&#10;LR2ZLZwysO0Rnu0RfmfSvBZbFGaRg9fuM9givQUDJGWhUg5ixMW8pbxhV1KKqWW0ggCJzcdEDke4&#10;spiJMk7+CfMT6B3Q/zR2NB+l0jdMDMgMCiyBZzZeenertIN5v8VUmotV1/ewTvOeP1qAergVOBr+&#10;amwmCEudX7MgW6bLNPKiMFl6UbBYeFereeQlKzKLF+eL+XxBfjPnkihvu6pi3ByzpzGJ/l0Rd4Li&#10;CHggshJ9Vxl3JiQlm/W8l+iOgoys7GfXTEfb/Mdh2F6DXJ6kRMIouA4zb5WkMy9aRbEHfZ56Acmu&#10;sySIsmixepzSbcfZy1NCU4GzOIxdV53MLbCf57nRfOg0CHXfDQVOD5tobnpxyStbWk273o2PoDDh&#10;P0AB5d4XGgjomtWxT2/XW6tDlqbGthbVPbSyFNBgoARwycCgFfIXjCYQ7AKrnzdUMoz6bzjQISNR&#10;ZBTeTkAxQpjIY8v62EJ5Ca4KrDFyw7l2t8JmlF3TwkmOgFxcgWzVnW3qh6is5FnJ+FLaAfeoU2cT&#10;j9UXEI+dNh8pAPTqfyQZ0WyWgIAZvc1IkKSmSRxZjV6fx2kIGmzVloTnJLN6fFDb54ohNrz6/pFs&#10;GHdNtcuSVj9iVA89XMZAOkSSBA53wmI1xrbUSYn5RLebhwU7cFlvXZn7zQCXlOM3OWpvWDf3jeX9&#10;PiP7NjEubAxHAkBzuK93XDjFi/+/2p2m+BchdKnlyyltHwfw4rIV3r0OzZPueA7j4zfs5d8AAAD/&#10;/wMAUEsDBBQABgAIAAAAIQCh7vmh4AAAAAkBAAAPAAAAZHJzL2Rvd25yZXYueG1sTI9PS8NAEMXv&#10;gt9hGcGb3fxRG2I2pRT1VIS2gnibZqdJaHY3ZLdJ+u0dT3qbx3u8+b1iNZtOjDT41lkF8SICQbZy&#10;urW1gs/D20MGwge0GjtnScGVPKzK25sCc+0mu6NxH2rBJdbnqKAJoc+l9FVDBv3C9WTZO7nBYGA5&#10;1FIPOHG56WQSRc/SYGv5Q4M9bRqqzvuLUfA+4bRO49dxez5trt+Hp4+vbUxK3d/N6xcQgebwF4Zf&#10;fEaHkpmO7mK1F52CZZoxelCQPvImDmRJzMeRnWQJsizk/wXlDwAAAP//AwBQSwECLQAUAAYACAAA&#10;ACEAtoM4kv4AAADhAQAAEwAAAAAAAAAAAAAAAAAAAAAAW0NvbnRlbnRfVHlwZXNdLnhtbFBLAQIt&#10;ABQABgAIAAAAIQA4/SH/1gAAAJQBAAALAAAAAAAAAAAAAAAAAC8BAABfcmVscy8ucmVsc1BLAQIt&#10;ABQABgAIAAAAIQB924KV5QMAAAsLAAAOAAAAAAAAAAAAAAAAAC4CAABkcnMvZTJvRG9jLnhtbFBL&#10;AQItABQABgAIAAAAIQCh7vmh4AAAAAkBAAAPAAAAAAAAAAAAAAAAAD8GAABkcnMvZG93bnJldi54&#10;bWxQSwUGAAAAAAQABADzAAAATAcAAAAA&#10;">
                <v:shape id="Text Box 294" o:spid="_x0000_s1042"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AF3CE43" w14:textId="77777777" w:rsidR="00540656" w:rsidRDefault="00540656" w:rsidP="002B169F">
                        <w:pPr>
                          <w:jc w:val="center"/>
                          <w:rPr>
                            <w:rFonts w:ascii="Times New Roman" w:hAnsi="Times New Roman"/>
                            <w:sz w:val="16"/>
                            <w:lang w:val="en-US"/>
                          </w:rPr>
                        </w:pPr>
                        <w:r>
                          <w:rPr>
                            <w:rFonts w:ascii="Times New Roman" w:hAnsi="Times New Roman"/>
                            <w:sz w:val="16"/>
                          </w:rPr>
                          <w:t>+73,2%</w:t>
                        </w:r>
                      </w:p>
                      <w:p w14:paraId="463C9E88" w14:textId="77777777" w:rsidR="00540656" w:rsidRDefault="00540656" w:rsidP="002B169F">
                        <w:pPr>
                          <w:rPr>
                            <w:rFonts w:ascii="Times New Roman" w:hAnsi="Times New Roman"/>
                            <w:sz w:val="16"/>
                            <w:lang w:val="en-US"/>
                          </w:rPr>
                        </w:pPr>
                      </w:p>
                    </w:txbxContent>
                  </v:textbox>
                </v:shape>
                <v:roundrect id="AutoShape 295" o:spid="_x0000_s1043"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HmwgAAANsAAAAPAAAAZHJzL2Rvd25yZXYueG1sRE9Ni8Iw&#10;EL0L+x/CLHgRTRVRqUbRBUE8LOj2sN7GZmyLzaSbRK3/3hwWPD7e92LVmlrcyfnKsoLhIAFBnFtd&#10;caEg+9n2ZyB8QNZYWyYFT/KwWn50Fphq++AD3Y+hEDGEfYoKyhCaVEqfl2TQD2xDHLmLdQZDhK6Q&#10;2uEjhptajpJkIg1WHBtKbOirpPx6vBkF0+/NefM7zfanmevhcG33Rdb8KdX9bNdzEIHa8Bb/u3da&#10;wTiOjV/iD5DLFwAAAP//AwBQSwECLQAUAAYACAAAACEA2+H2y+4AAACFAQAAEwAAAAAAAAAAAAAA&#10;AAAAAAAAW0NvbnRlbnRfVHlwZXNdLnhtbFBLAQItABQABgAIAAAAIQBa9CxbvwAAABUBAAALAAAA&#10;AAAAAAAAAAAAAB8BAABfcmVscy8ucmVsc1BLAQItABQABgAIAAAAIQDendHmwgAAANsAAAAPAAAA&#10;AAAAAAAAAAAAAAcCAABkcnMvZG93bnJldi54bWxQSwUGAAAAAAMAAwC3AAAA9gIAAAAA&#10;" filled="f" strokecolor="black [3213]"/>
              </v:group>
            </w:pict>
          </mc:Fallback>
        </mc:AlternateContent>
      </w:r>
      <w:r w:rsidR="002B169F" w:rsidRPr="00375059">
        <w:rPr>
          <w:rFonts w:ascii="Times New Roman" w:hAnsi="Times New Roman"/>
          <w:noProof/>
        </w:rPr>
        <mc:AlternateContent>
          <mc:Choice Requires="wpg">
            <w:drawing>
              <wp:anchor distT="0" distB="0" distL="114300" distR="114300" simplePos="0" relativeHeight="251680768" behindDoc="0" locked="0" layoutInCell="1" allowOverlap="1" wp14:anchorId="0509D807" wp14:editId="5BC30B8B">
                <wp:simplePos x="0" y="0"/>
                <wp:positionH relativeFrom="column">
                  <wp:posOffset>2735580</wp:posOffset>
                </wp:positionH>
                <wp:positionV relativeFrom="paragraph">
                  <wp:posOffset>1101725</wp:posOffset>
                </wp:positionV>
                <wp:extent cx="560070" cy="299085"/>
                <wp:effectExtent l="11430" t="6350" r="47625" b="8890"/>
                <wp:wrapNone/>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299085"/>
                          <a:chOff x="6009" y="7377"/>
                          <a:chExt cx="882" cy="471"/>
                        </a:xfrm>
                      </wpg:grpSpPr>
                      <wps:wsp>
                        <wps:cNvPr id="40" name="Line 37"/>
                        <wps:cNvCnPr>
                          <a:cxnSpLocks noChangeShapeType="1"/>
                        </wps:cNvCnPr>
                        <wps:spPr bwMode="auto">
                          <a:xfrm flipV="1">
                            <a:off x="6012" y="7377"/>
                            <a:ext cx="0" cy="47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1" name="Line 38"/>
                        <wps:cNvCnPr>
                          <a:cxnSpLocks noChangeShapeType="1"/>
                        </wps:cNvCnPr>
                        <wps:spPr bwMode="auto">
                          <a:xfrm rot="16200000" flipV="1">
                            <a:off x="6450" y="6939"/>
                            <a:ext cx="0" cy="88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2" name="AutoShape 39"/>
                        <wps:cNvCnPr>
                          <a:cxnSpLocks noChangeShapeType="1"/>
                        </wps:cNvCnPr>
                        <wps:spPr bwMode="auto">
                          <a:xfrm>
                            <a:off x="6882" y="7380"/>
                            <a:ext cx="0"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EDF9966" id="Группа 39" o:spid="_x0000_s1026" style="position:absolute;margin-left:215.4pt;margin-top:86.75pt;width:44.1pt;height:23.55pt;z-index:251680768" coordorigin="6009,7377" coordsize="88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qn/gIAAE0JAAAOAAAAZHJzL2Uyb0RvYy54bWzsVktu2zAQ3RfoHQjuG8mOv0LkoHA+m7Q1&#10;kLR7WqIkIhRJkLRl7wr0CL1Ib9ArJDfqkJQd2w2CImm6KgQIJIcczbx588ST01XN0ZJqw6RIceco&#10;xoiKTOZMlCn+fHPxboSRsUTkhEtBU7ymBp9O3r45aVRCu7KSPKcagRNhkkaluLJWJVFksorWxBxJ&#10;RQUYC6lrYmGqyyjXpAHvNY+6cTyIGqlzpWVGjYHVs2DEE++/KGhmPxWFoRbxFENs1r+1f8/dO5qc&#10;kKTURFUsa8Mgz4iiJkzAR7euzoglaKHZb65qlmlpZGGPMllHsihYRn0OkE0nPsjmUsuF8rmUSVOq&#10;LUwA7QFOz3abfVzONGJ5io/HGAlSQ43uvt9/vf929xOeHwiWAaNGlQlsvdTqWs10SBSGVzK7NWCO&#10;Du1uXobNaN58kDm4JQsrPUarQtfOBWSPVr4U620p6MqiDBb7gzgeQsEyMHXH43jUD6XKKqinOwV2&#10;CBisw+PhcGM7b0+PRt1wtDfsOFtEkvBRH2gbmMsKSGcecDUvw/W6Ior6chkHVotrD7IIuF4xQdGx&#10;D9Z9GbZMRQAzW4kWTCTktCKipN7ZzVoBcCGFvSNuYqASj4OLCs7UF3dwB+ZB3AFQ9gDbgN3ifAgW&#10;SZQ29pLKGrlBijkk4F2S5ZWxAdfNFvclIS8Y57BOEi5Qk+Jxv9v3B4zkLHdGZ/PNTadcoyWBtsxv&#10;Q5x8UQNRwtq4H8dtc8KyK7nf6pegmFsPvrR7zqFlRO5DqCjJz9uxJYyHMZzmwjM2IBhYMJf5eqZd&#10;Ri0n/hU5OvvkGDm27lWaJH+bHFpCKTsDUE+H8eNc6fXBAlwZjEP/k+SAK67DHFybxvrPldcXEmjf&#10;ICTvQUm9PmzV+TXVZFdDvLB6DRm17XnAi+649zQvjNWElZWdSiHg7yx1aP4XKoou51s98bzeKsWu&#10;8DypDch6sbWagfxyip1+1TTHiFO42bhR4PufqYf/0cA/27dIe79wl4LduVebh1vQ5BcAAAD//wMA&#10;UEsDBBQABgAIAAAAIQAQevSM4QAAAAsBAAAPAAAAZHJzL2Rvd25yZXYueG1sTI9BS8NAFITvgv9h&#10;eYI3u5vEVI3ZlFLUUxFsBfG2TV6T0OzbkN0m6b/3edLjMMPMN/lqtp0YcfCtIw3RQoFAKl3VUq3h&#10;c/969wjCB0OV6Ryhhgt6WBXXV7nJKjfRB467UAsuIZ8ZDU0IfSalLxu0xi9cj8Te0Q3WBJZDLavB&#10;TFxuOxkrtZTWtMQLjelx02B52p2thrfJTOskehm3p+Pm8r1P37+2EWp9ezOvn0EEnMNfGH7xGR0K&#10;Zjq4M1VedBruE8XogY2HJAXBiTR64ncHDXGsliCLXP7/UPwAAAD//wMAUEsBAi0AFAAGAAgAAAAh&#10;ALaDOJL+AAAA4QEAABMAAAAAAAAAAAAAAAAAAAAAAFtDb250ZW50X1R5cGVzXS54bWxQSwECLQAU&#10;AAYACAAAACEAOP0h/9YAAACUAQAACwAAAAAAAAAAAAAAAAAvAQAAX3JlbHMvLnJlbHNQSwECLQAU&#10;AAYACAAAACEAlCRKp/4CAABNCQAADgAAAAAAAAAAAAAAAAAuAgAAZHJzL2Uyb0RvYy54bWxQSwEC&#10;LQAUAAYACAAAACEAEHr0jOEAAAALAQAADwAAAAAAAAAAAAAAAABYBQAAZHJzL2Rvd25yZXYueG1s&#10;UEsFBgAAAAAEAAQA8wAAAGYGAAAAAA==&#10;">
                <v:line id="Line 37" o:spid="_x0000_s1027" style="position:absolute;flip:y;visibility:visible;mso-wrap-style:square" from="6012,7377" to="6012,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iyvwAAANsAAAAPAAAAZHJzL2Rvd25yZXYueG1sRE/LisIw&#10;FN0L/kO4gjtNHcSRahQRhEFRxtfC3aW5fWBzU5po69+bheDycN7zZWtK8aTaFZYVjIYRCOLE6oIz&#10;BZfzZjAF4TyyxtIyKXiRg+Wi25ljrG3DR3qefCZCCLsYFeTeV7GULsnJoBvaijhwqa0N+gDrTOoa&#10;mxBuSvkTRRNpsODQkGNF65yS++lhFKTuUa1vV+3T3+3+uE932QGbf6X6vXY1A+Gp9V/xx/2nFYzD&#10;+vAl/AC5eAMAAP//AwBQSwECLQAUAAYACAAAACEA2+H2y+4AAACFAQAAEwAAAAAAAAAAAAAAAAAA&#10;AAAAW0NvbnRlbnRfVHlwZXNdLnhtbFBLAQItABQABgAIAAAAIQBa9CxbvwAAABUBAAALAAAAAAAA&#10;AAAAAAAAAB8BAABfcmVscy8ucmVsc1BLAQItABQABgAIAAAAIQC7iQiyvwAAANsAAAAPAAAAAAAA&#10;AAAAAAAAAAcCAABkcnMvZG93bnJldi54bWxQSwUGAAAAAAMAAwC3AAAA8wIAAAAA&#10;" strokecolor="black [3040]"/>
                <v:line id="Line 38" o:spid="_x0000_s1028" style="position:absolute;rotation:90;flip:y;visibility:visible;mso-wrap-style:square" from="6450,6939" to="6450,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7ywwAAANsAAAAPAAAAZHJzL2Rvd25yZXYueG1sRI9Pi8Iw&#10;FMTvC36H8AQvi6a6i0g1ilSU3dPiv/ujeTbF5qU0UauffiMIHoeZ+Q0zW7S2EldqfOlYwXCQgCDO&#10;nS65UHDYr/sTED4ga6wck4I7eVjMOx8zTLW78Zauu1CICGGfogITQp1K6XNDFv3A1cTRO7nGYoiy&#10;KaRu8BbhtpKjJBlLiyXHBYM1ZYby8+5iFbSHr0wfs9+R32aPY7n5syvzuVGq122XUxCB2vAOv9o/&#10;WsH3EJ5f4g+Q838AAAD//wMAUEsBAi0AFAAGAAgAAAAhANvh9svuAAAAhQEAABMAAAAAAAAAAAAA&#10;AAAAAAAAAFtDb250ZW50X1R5cGVzXS54bWxQSwECLQAUAAYACAAAACEAWvQsW78AAAAVAQAACwAA&#10;AAAAAAAAAAAAAAAfAQAAX3JlbHMvLnJlbHNQSwECLQAUAAYACAAAACEAA6I+8sMAAADbAAAADwAA&#10;AAAAAAAAAAAAAAAHAgAAZHJzL2Rvd25yZXYueG1sUEsFBgAAAAADAAMAtwAAAPcCAAAAAA==&#10;" strokecolor="black [3040]"/>
                <v:shapetype id="_x0000_t32" coordsize="21600,21600" o:spt="32" o:oned="t" path="m,l21600,21600e" filled="f">
                  <v:path arrowok="t" fillok="f" o:connecttype="none"/>
                  <o:lock v:ext="edit" shapetype="t"/>
                </v:shapetype>
                <v:shape id="AutoShape 39" o:spid="_x0000_s1029" type="#_x0000_t32" style="position:absolute;left:6882;top:7380;width:0;height: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group>
            </w:pict>
          </mc:Fallback>
        </mc:AlternateContent>
      </w:r>
      <w:r w:rsidR="002B169F" w:rsidRPr="00375059">
        <w:rPr>
          <w:rFonts w:ascii="Times New Roman" w:hAnsi="Times New Roman"/>
          <w:noProof/>
        </w:rPr>
        <mc:AlternateContent>
          <mc:Choice Requires="wps">
            <w:drawing>
              <wp:anchor distT="0" distB="0" distL="114300" distR="114300" simplePos="0" relativeHeight="251679744" behindDoc="0" locked="0" layoutInCell="1" allowOverlap="1" wp14:anchorId="65B14787" wp14:editId="0F78CFB5">
                <wp:simplePos x="0" y="0"/>
                <wp:positionH relativeFrom="column">
                  <wp:posOffset>1250950</wp:posOffset>
                </wp:positionH>
                <wp:positionV relativeFrom="paragraph">
                  <wp:posOffset>436245</wp:posOffset>
                </wp:positionV>
                <wp:extent cx="0" cy="90170"/>
                <wp:effectExtent l="60325" t="7620" r="53975" b="1651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6A9C5B5" id="Прямая со стрелкой 38" o:spid="_x0000_s1026" type="#_x0000_t32" style="position:absolute;margin-left:98.5pt;margin-top:34.35pt;width:0;height: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L6YAIAAHYEAAAOAAAAZHJzL2Uyb0RvYy54bWysVEtu2zAQ3RfoHQjuHUmO8xMiF4Vkd5O2&#10;AZIegCYpiyhFEiRj2SgKpL1AjtArdNNFP8gZ5Bt1SH+atJuiqBf0kJx582bmUefPlq1EC26d0KrA&#10;2UGKEVdUM6HmBX5zPR2cYuQ8UYxIrXiBV9zhZ+OnT847k/OhbrRk3CIAUS7vTIEb702eJI42vCXu&#10;QBuu4LLWtiUetnaeMEs6QG9lMkzT46TTlhmrKXcOTqvNJR5H/Lrm1L+ua8c9kgUGbj6uNq6zsCbj&#10;c5LPLTGNoFsa5B9YtEQoSLqHqogn6MaKP6BaQa12uvYHVLeJrmtBeawBqsnS36q5aojhsRZojjP7&#10;Nrn/B0tfLS4tEqzAhzApRVqYUf9pfbu+63/0n9d3aP2hv4dl/XF923/pv/ff+vv+KwJn6FxnXA4A&#10;pbq0oXa6VFfmQtO3DildNkTNeazgemUANQsRyaOQsHEG8s+6l5qBD7nxOrZxWds2QEKD0DJOa7Wf&#10;Fl96RDeHFE7P0uwkzjEh+S7MWOdfcN2iYBTYeUvEvPGlVgoUoW0Wk5DFhfOBFMl3ASGn0lMhZRSG&#10;VKiDDEfDoxjgtBQsXAY3Z+ezUlq0IEFa8RcrhJuHblbfKBbBGk7YZGt7IiTYyMfWeCugWZLjkK3l&#10;DCPJ4TUFa0NPqpARCgfCW2ujrndn6dnkdHI6GoyGx5PBKK2qwfNpORocT7OTo+qwKssqex/IZ6O8&#10;EYxxFfjvlJ6N/k5J2ze30ehe6/tGJY/RY0eB7O4/ko6TD8PeyGam2erShuqCCEDc0Xn7EMPrebiP&#10;Xr8+F+OfAAAA//8DAFBLAwQUAAYACAAAACEAkxh8y98AAAAJAQAADwAAAGRycy9kb3ducmV2Lnht&#10;bEyPzU7DMBCE70i8g7VI3KjTHtIkxKn6I0QuILVFiKMbL7FFvI5it015elwucJzZ0ew35WK0HTvh&#10;4I0jAdNJAgypccpQK+Bt//SQAfNBkpKdIxRwQQ+L6vamlIVyZ9riaRdaFkvIF1KADqEvOPeNRiv9&#10;xPVI8fbpBitDlEPL1SDPsdx2fJYkKbfSUPygZY9rjc3X7mgFhM3HRafvzSo3r/vnl9R813W9EeL+&#10;blw+Ags4hr8wXPEjOlSR6eCOpDzros7ncUsQkGZzYNfAr3EQkM1y4FXJ/y+ofgAAAP//AwBQSwEC&#10;LQAUAAYACAAAACEAtoM4kv4AAADhAQAAEwAAAAAAAAAAAAAAAAAAAAAAW0NvbnRlbnRfVHlwZXNd&#10;LnhtbFBLAQItABQABgAIAAAAIQA4/SH/1gAAAJQBAAALAAAAAAAAAAAAAAAAAC8BAABfcmVscy8u&#10;cmVsc1BLAQItABQABgAIAAAAIQDmlhL6YAIAAHYEAAAOAAAAAAAAAAAAAAAAAC4CAABkcnMvZTJv&#10;RG9jLnhtbFBLAQItABQABgAIAAAAIQCTGHzL3wAAAAkBAAAPAAAAAAAAAAAAAAAAALoEAABkcnMv&#10;ZG93bnJldi54bWxQSwUGAAAAAAQABADzAAAAxgUAAAAA&#10;">
                <v:stroke endarrow="block"/>
              </v:shape>
            </w:pict>
          </mc:Fallback>
        </mc:AlternateContent>
      </w:r>
      <w:r w:rsidR="002B169F" w:rsidRPr="00375059">
        <w:rPr>
          <w:rFonts w:ascii="Times New Roman" w:hAnsi="Times New Roman"/>
          <w:noProof/>
        </w:rPr>
        <mc:AlternateContent>
          <mc:Choice Requires="wps">
            <w:drawing>
              <wp:anchor distT="0" distB="0" distL="114300" distR="114300" simplePos="0" relativeHeight="251669504" behindDoc="0" locked="0" layoutInCell="1" allowOverlap="1" wp14:anchorId="5D11EEB7" wp14:editId="46D30F36">
                <wp:simplePos x="0" y="0"/>
                <wp:positionH relativeFrom="column">
                  <wp:posOffset>694055</wp:posOffset>
                </wp:positionH>
                <wp:positionV relativeFrom="paragraph">
                  <wp:posOffset>436245</wp:posOffset>
                </wp:positionV>
                <wp:extent cx="0" cy="389255"/>
                <wp:effectExtent l="8255" t="7620" r="10795" b="1270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925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4B33750" id="Прямая соединительная линия 3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34.35pt" to="54.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kPaagIAAJkEAAAOAAAAZHJzL2Uyb0RvYy54bWysVNFu0zAUfUfiH6y8d0m6trTR0gk1LS8D&#10;Km3w7sVOY82xLdttWiEk4Blpn8Av8ADSpAHfkP4R105WNnhBiBfn+tr3+Jzr45ycbiuONlQbJkUa&#10;xEdRgKjIJWFilQavLha9cYCMxYJgLgVNgx01wen08aOTWiW0L0vJCdUIQIRJapUGpbUqCUOTl7TC&#10;5kgqKmCxkLrCFqZ6FRKNa0CveNiPolFYS02Uljk1BrJZuxhMPX5R0Ny+LApDLeJpANysH7UfL90Y&#10;Tk9wstJYlSzvaOB/YFFhJuDQA1SGLUZrzf6AqliupZGFPcplFcqiYDn1GkBNHP2m5rzEinot0Byj&#10;Dm0y/w82f7FZasRIGhyPAiRwBXfUfNq/218335rP+2u0f9/8aL42X5qb5ntzs/8A8e3+I8Rusbnt&#10;0tcIyqGXtTIJQM7EUrtu5Ftxrs5kfmWQkLMSixX1mi52Cs6JXUX4oMRNjAJGl/VzSWAPXlvpG7st&#10;dIUKztRrV+jAoXlo629yd7hJurUob5M5ZI/Hk/5w6I/BiUNwdUob+4zKCrkgDTgTrsc4wZszYx2j&#10;X1tcWsgF49z7hAtUp8Fk2B/6AiM5I27RbfOOpTOu0QaD18hVS5KvKxDS5ibDKOocB2nwZZv2KTj0&#10;gOApPADXci2Ip1BSTOZdbDHjbQzVXDgWoB9EdFFrwDeTaDIfz8eD3qA/mvcGUZb1ni5mg95oET8Z&#10;ZsfZbJbFb52geJCUjBAqnKa7xxAP/s5s3bNsbXx4DofmhQ/RvUQge/f1pL0V3O23PrqUZLfUdxYB&#10;//vN3Vt1D+z+HOL7f5TpTwAAAP//AwBQSwMEFAAGAAgAAAAhAF9eNYbeAAAACgEAAA8AAABkcnMv&#10;ZG93bnJldi54bWxMj81OwzAQhO9IvIO1SFwqatOKNA1xKlSJCxwopQ/gxEsS4Z8Qu6n79my5wG1n&#10;dzT7TblJ1rAJx9B7J+F+LoCha7zuXSvh8PF8lwMLUTmtjHco4YwBNtX1VakK7U/uHad9bBmFuFAo&#10;CV2MQ8F5aDq0Ksz9gI5un360KpIcW65HdaJwa/hCiIxb1Tv60KkBtx02X/ujlfDytpudFymbfa8e&#10;6m2acpNeg5Hy9iY9PQKLmOKfGS74hA4VMdX+6HRghrRYL8kqIctXwC6G30VNw1II4FXJ/1eofgAA&#10;AP//AwBQSwECLQAUAAYACAAAACEAtoM4kv4AAADhAQAAEwAAAAAAAAAAAAAAAAAAAAAAW0NvbnRl&#10;bnRfVHlwZXNdLnhtbFBLAQItABQABgAIAAAAIQA4/SH/1gAAAJQBAAALAAAAAAAAAAAAAAAAAC8B&#10;AABfcmVscy8ucmVsc1BLAQItABQABgAIAAAAIQC39kPaagIAAJkEAAAOAAAAAAAAAAAAAAAAAC4C&#10;AABkcnMvZTJvRG9jLnhtbFBLAQItABQABgAIAAAAIQBfXjWG3gAAAAoBAAAPAAAAAAAAAAAAAAAA&#10;AMQEAABkcnMvZG93bnJldi54bWxQSwUGAAAAAAQABADzAAAAzwUAAAAA&#10;" strokecolor="black [3040]"/>
            </w:pict>
          </mc:Fallback>
        </mc:AlternateContent>
      </w:r>
      <w:r w:rsidR="002B169F" w:rsidRPr="00375059">
        <w:rPr>
          <w:rFonts w:ascii="Times New Roman" w:hAnsi="Times New Roman"/>
          <w:noProof/>
        </w:rPr>
        <mc:AlternateContent>
          <mc:Choice Requires="wps">
            <w:drawing>
              <wp:anchor distT="0" distB="0" distL="114300" distR="114300" simplePos="0" relativeHeight="251670528" behindDoc="0" locked="0" layoutInCell="1" allowOverlap="1" wp14:anchorId="593B15AB" wp14:editId="0CFAF802">
                <wp:simplePos x="0" y="0"/>
                <wp:positionH relativeFrom="column">
                  <wp:posOffset>970915</wp:posOffset>
                </wp:positionH>
                <wp:positionV relativeFrom="paragraph">
                  <wp:posOffset>157480</wp:posOffset>
                </wp:positionV>
                <wp:extent cx="0" cy="560070"/>
                <wp:effectExtent l="5080" t="8890" r="6350" b="1016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56007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07BFD5C" id="Прямая соединительная линия 32" o:spid="_x0000_s1026" style="position:absolute;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5pt,12.4pt" to="76.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GAdQIAAKgEAAAOAAAAZHJzL2Uyb0RvYy54bWysVN1u0zAUvkfiHSzfd0m6tqzR0gk1LTcD&#10;Jm1w78VOY82xLdttWiEk4Bppj8ArcAHSpAHPkL4Rx07XMbhBiF64x8c+n7/v/OT4ZF0LtGLGciUz&#10;nBzEGDFZKMrlIsOvLua9I4ysI5ISoSTL8IZZfDJ5/Oi40Snrq0oJygwCEGnTRme4ck6nUWSLitXE&#10;HijNJByWytTEwdYsImpIA+i1iPpxPIoaZag2qmDWgjfvDvEk4JclK9zLsrTMIZFh4ObCasJ66ddo&#10;ckzShSG64sWOBvkHFjXhEh7dQ+XEEbQ0/A+omhdGWVW6g0LVkSpLXrCgAdQk8W9qziuiWdACybF6&#10;nyb7/2CLF6szgzjN8GEfI0lqqFH7aftue91+az9vr9H2ffuj/dp+aW/a7+3N9gPYt9uPYPvD9nbn&#10;vkYQDrlstE0BcirPjM9GsZbn+lQVVxZJNa2IXLCg6WKj4Z3ER0QPQvzGamB02TxXFO6QpVMhsevS&#10;1MgoKGAygsLDD6NScP3a4/i3IJdoHQq72ReWrR0qOmcB3uEojp+Emkck9YA+ThvrnjFVI29kWHDp&#10;U05Ssjq1zhO8v+LdUs25EKFthERNhsfD/jAEWCU49Yf+WmhgNhUGrQi0Hr3qSIplDbo633joRXRI&#10;yxratHPf8dsjBAoPwI1aShoCK0bobGc7wkVnA2UhPQvQDyJ2VtePb8bxeHY0Oxr0Bv3RrDeI87z3&#10;dD4d9Ebz5MkwP8yn0zx56wUlg7TilDLpNd3NRjL4u97bTWnX1fvp2CcveogeJALZu/9AOnSGb4au&#10;rS4V3ZwZXxDfJDAO4fJudP28/boPt+4/MJOfAAAA//8DAFBLAwQUAAYACAAAACEAivSrWt0AAAAJ&#10;AQAADwAAAGRycy9kb3ducmV2LnhtbEyPzU7DMBCE70i8g7VI3KhDhZI0jVMhBOLABcpPr068JAF7&#10;HcVuk749W3GA48yOZr8pN7Oz4oBj6D0puF4kIJAab3pqFby9PlzlIELUZLT1hAqOGGBTnZ+VujB+&#10;ohc8bGMruIRCoRV0MQ6FlKHp0Omw8AMS3z796HRkObbSjHricmflMklS6XRP/KHTA9512Hxv907B&#10;MD22Nd6/Z0/p7uvm+WidX2YfSl1ezLdrEBHn+BeGEz6jQ8VMtd+TCcKyTnJGjwrSfAXiFFhlPK7+&#10;NWRVyv8Lqh8AAAD//wMAUEsBAi0AFAAGAAgAAAAhALaDOJL+AAAA4QEAABMAAAAAAAAAAAAAAAAA&#10;AAAAAFtDb250ZW50X1R5cGVzXS54bWxQSwECLQAUAAYACAAAACEAOP0h/9YAAACUAQAACwAAAAAA&#10;AAAAAAAAAAAvAQAAX3JlbHMvLnJlbHNQSwECLQAUAAYACAAAACEA0KIRgHUCAACoBAAADgAAAAAA&#10;AAAAAAAAAAAuAgAAZHJzL2Uyb0RvYy54bWxQSwECLQAUAAYACAAAACEAivSrWt0AAAAJAQAADwAA&#10;AAAAAAAAAAAAAADPBAAAZHJzL2Rvd25yZXYueG1sUEsFBgAAAAAEAAQA8wAAANkFAAAAAA==&#10;" strokecolor="black [3040]"/>
            </w:pict>
          </mc:Fallback>
        </mc:AlternateContent>
      </w:r>
      <w:r w:rsidR="002B169F" w:rsidRPr="00375059">
        <w:rPr>
          <w:rFonts w:ascii="Times New Roman" w:hAnsi="Times New Roman"/>
          <w:noProof/>
          <w:sz w:val="28"/>
          <w:szCs w:val="28"/>
        </w:rPr>
        <w:drawing>
          <wp:inline distT="0" distB="0" distL="0" distR="0" wp14:anchorId="74DFC3F7" wp14:editId="13090BEB">
            <wp:extent cx="6115050" cy="212407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664102" w14:textId="54C6A583" w:rsidR="002B169F" w:rsidRPr="00375059" w:rsidRDefault="002B169F"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В отчетном году в структуре производства валовой продукции сельского хозяйства на долю юридических лиц пришлось 57,8% от общего объема, хозяйств населения – 25,1%, крестьянских (фермерских) хозяйств и арендаторов – 17,1% (рис. 1</w:t>
      </w:r>
      <w:r w:rsidR="002827F3" w:rsidRPr="00375059">
        <w:rPr>
          <w:rFonts w:ascii="Times New Roman" w:eastAsia="Calibri" w:hAnsi="Times New Roman"/>
          <w:sz w:val="28"/>
          <w:szCs w:val="28"/>
        </w:rPr>
        <w:t>3</w:t>
      </w:r>
      <w:r w:rsidRPr="00375059">
        <w:rPr>
          <w:rFonts w:ascii="Times New Roman" w:eastAsia="Calibri" w:hAnsi="Times New Roman"/>
          <w:sz w:val="28"/>
          <w:szCs w:val="28"/>
        </w:rPr>
        <w:t>).</w:t>
      </w:r>
    </w:p>
    <w:p w14:paraId="18D8BFD2" w14:textId="0788FFCB" w:rsidR="002B169F" w:rsidRPr="00375059" w:rsidRDefault="002B169F" w:rsidP="002B169F">
      <w:pPr>
        <w:spacing w:after="0" w:line="240" w:lineRule="auto"/>
        <w:ind w:firstLine="426"/>
        <w:contextualSpacing/>
        <w:jc w:val="right"/>
        <w:rPr>
          <w:rFonts w:ascii="Times New Roman" w:hAnsi="Times New Roman"/>
          <w:b/>
          <w:i/>
          <w:sz w:val="28"/>
          <w:szCs w:val="28"/>
        </w:rPr>
      </w:pPr>
      <w:r w:rsidRPr="00375059">
        <w:rPr>
          <w:rFonts w:ascii="Times New Roman" w:hAnsi="Times New Roman"/>
          <w:b/>
          <w:i/>
          <w:sz w:val="28"/>
          <w:szCs w:val="28"/>
        </w:rPr>
        <w:t xml:space="preserve">Рисунок </w:t>
      </w:r>
      <w:r w:rsidR="002827F3" w:rsidRPr="00375059">
        <w:rPr>
          <w:rFonts w:ascii="Times New Roman" w:hAnsi="Times New Roman"/>
          <w:b/>
          <w:i/>
          <w:sz w:val="28"/>
          <w:szCs w:val="28"/>
        </w:rPr>
        <w:t>13</w:t>
      </w:r>
    </w:p>
    <w:p w14:paraId="4E43A9D0" w14:textId="77777777" w:rsidR="002B169F" w:rsidRPr="00375059" w:rsidRDefault="002B169F" w:rsidP="0031710B">
      <w:pPr>
        <w:spacing w:after="0" w:line="240" w:lineRule="auto"/>
        <w:jc w:val="center"/>
        <w:rPr>
          <w:rFonts w:ascii="Times New Roman" w:eastAsia="Calibri" w:hAnsi="Times New Roman"/>
          <w:b/>
          <w:sz w:val="28"/>
          <w:szCs w:val="28"/>
        </w:rPr>
      </w:pPr>
      <w:r w:rsidRPr="00375059">
        <w:rPr>
          <w:rFonts w:ascii="Times New Roman" w:eastAsia="Calibri" w:hAnsi="Times New Roman"/>
          <w:b/>
          <w:sz w:val="28"/>
          <w:szCs w:val="28"/>
        </w:rPr>
        <w:t>Структура валовой продукции сельского хозяйства</w:t>
      </w:r>
    </w:p>
    <w:p w14:paraId="14D67831" w14:textId="18927851" w:rsidR="002B169F" w:rsidRPr="00375059" w:rsidRDefault="002B169F" w:rsidP="002B169F">
      <w:pPr>
        <w:spacing w:after="0" w:line="240" w:lineRule="auto"/>
        <w:jc w:val="center"/>
        <w:rPr>
          <w:rFonts w:ascii="Times New Roman" w:eastAsia="Calibri" w:hAnsi="Times New Roman"/>
          <w:b/>
          <w:sz w:val="28"/>
          <w:szCs w:val="28"/>
        </w:rPr>
      </w:pPr>
      <w:r w:rsidRPr="00375059">
        <w:rPr>
          <w:rFonts w:ascii="Times New Roman" w:hAnsi="Times New Roman"/>
          <w:b/>
          <w:noProof/>
          <w:sz w:val="28"/>
          <w:szCs w:val="28"/>
        </w:rPr>
        <w:drawing>
          <wp:inline distT="0" distB="0" distL="0" distR="0" wp14:anchorId="476DD730" wp14:editId="6A0B5FBC">
            <wp:extent cx="6105525" cy="2467155"/>
            <wp:effectExtent l="0" t="0" r="0" b="0"/>
            <wp:docPr id="392" name="Диаграмма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EEE86E" w14:textId="77777777" w:rsidR="009952C8" w:rsidRPr="00375059" w:rsidRDefault="009952C8" w:rsidP="002827F3">
      <w:pPr>
        <w:widowControl w:val="0"/>
        <w:tabs>
          <w:tab w:val="left" w:pos="4253"/>
          <w:tab w:val="left" w:pos="5529"/>
        </w:tabs>
        <w:spacing w:after="0" w:line="240" w:lineRule="auto"/>
        <w:ind w:firstLine="567"/>
        <w:jc w:val="both"/>
        <w:rPr>
          <w:rFonts w:ascii="Times New Roman" w:hAnsi="Times New Roman"/>
          <w:b/>
          <w:i/>
          <w:sz w:val="28"/>
          <w:szCs w:val="28"/>
        </w:rPr>
      </w:pPr>
    </w:p>
    <w:p w14:paraId="02CDAB4C" w14:textId="2EC43340" w:rsidR="002B169F" w:rsidRPr="00375059" w:rsidRDefault="002B169F" w:rsidP="001463C8">
      <w:pPr>
        <w:widowControl w:val="0"/>
        <w:tabs>
          <w:tab w:val="left" w:pos="4253"/>
          <w:tab w:val="left" w:pos="5529"/>
        </w:tabs>
        <w:spacing w:after="0" w:line="240" w:lineRule="auto"/>
        <w:ind w:firstLine="567"/>
        <w:jc w:val="both"/>
        <w:rPr>
          <w:rFonts w:ascii="Times New Roman" w:hAnsi="Times New Roman"/>
          <w:b/>
          <w:i/>
          <w:sz w:val="28"/>
          <w:szCs w:val="28"/>
        </w:rPr>
      </w:pPr>
      <w:r w:rsidRPr="00375059">
        <w:rPr>
          <w:rFonts w:ascii="Times New Roman" w:hAnsi="Times New Roman"/>
          <w:b/>
          <w:i/>
          <w:sz w:val="28"/>
          <w:szCs w:val="28"/>
        </w:rPr>
        <w:t>Растениеводство</w:t>
      </w:r>
    </w:p>
    <w:p w14:paraId="27313EA1"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Несмотря на сложное финансовое положение сельхозпроизводителей вследствие неурожая 2020 года и неблагоприятные погодные условия в период уборки в 2021 году, получены высокие показатели урожая практически по всем основным сельскохозяйственным культурам. Положительная динамика развития подотрасли в основном является следствием использования современных достижений в области аграрной науки, а также комплекса мер государственной поддержки.</w:t>
      </w:r>
    </w:p>
    <w:p w14:paraId="273C6CED"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Производство и урожайность основных видов продукции растениеводства представлены следующими данными (табл. 1).</w:t>
      </w:r>
    </w:p>
    <w:p w14:paraId="79EC3A7E" w14:textId="77777777" w:rsidR="0087132A" w:rsidRDefault="0087132A">
      <w:pPr>
        <w:spacing w:after="160" w:line="259" w:lineRule="auto"/>
        <w:rPr>
          <w:rFonts w:ascii="Times New Roman" w:hAnsi="Times New Roman"/>
          <w:b/>
          <w:bCs/>
          <w:i/>
          <w:sz w:val="28"/>
          <w:szCs w:val="28"/>
        </w:rPr>
      </w:pPr>
      <w:r>
        <w:rPr>
          <w:rFonts w:ascii="Times New Roman" w:hAnsi="Times New Roman"/>
          <w:b/>
          <w:bCs/>
          <w:i/>
          <w:sz w:val="28"/>
          <w:szCs w:val="28"/>
        </w:rPr>
        <w:br w:type="page"/>
      </w:r>
    </w:p>
    <w:p w14:paraId="542B80AF" w14:textId="4ACEC86F" w:rsidR="002B169F" w:rsidRPr="00375059" w:rsidRDefault="002B169F" w:rsidP="002B169F">
      <w:pPr>
        <w:spacing w:after="0" w:line="240" w:lineRule="auto"/>
        <w:ind w:firstLine="708"/>
        <w:jc w:val="right"/>
        <w:rPr>
          <w:rFonts w:ascii="Times New Roman" w:hAnsi="Times New Roman"/>
          <w:b/>
          <w:bCs/>
          <w:i/>
          <w:sz w:val="28"/>
          <w:szCs w:val="28"/>
        </w:rPr>
      </w:pPr>
      <w:r w:rsidRPr="00375059">
        <w:rPr>
          <w:rFonts w:ascii="Times New Roman" w:hAnsi="Times New Roman"/>
          <w:b/>
          <w:bCs/>
          <w:i/>
          <w:sz w:val="28"/>
          <w:szCs w:val="28"/>
        </w:rPr>
        <w:lastRenderedPageBreak/>
        <w:t>Таблица 1</w:t>
      </w:r>
    </w:p>
    <w:p w14:paraId="23F4A972" w14:textId="77777777" w:rsidR="002B169F" w:rsidRPr="00375059" w:rsidRDefault="002B169F" w:rsidP="002B169F">
      <w:pPr>
        <w:spacing w:after="0" w:line="240" w:lineRule="auto"/>
        <w:jc w:val="center"/>
        <w:rPr>
          <w:rFonts w:ascii="Times New Roman" w:eastAsia="Calibri" w:hAnsi="Times New Roman"/>
          <w:b/>
          <w:sz w:val="28"/>
          <w:szCs w:val="28"/>
        </w:rPr>
      </w:pPr>
      <w:r w:rsidRPr="00375059">
        <w:rPr>
          <w:rFonts w:ascii="Times New Roman" w:eastAsia="Calibri" w:hAnsi="Times New Roman"/>
          <w:b/>
          <w:sz w:val="28"/>
          <w:szCs w:val="28"/>
        </w:rPr>
        <w:t xml:space="preserve">Производство основных сельскохозяйственных культур </w:t>
      </w:r>
    </w:p>
    <w:p w14:paraId="7C153528" w14:textId="77777777" w:rsidR="002B169F" w:rsidRPr="00375059" w:rsidRDefault="002B169F" w:rsidP="002B169F">
      <w:pPr>
        <w:spacing w:after="0" w:line="240" w:lineRule="auto"/>
        <w:jc w:val="center"/>
        <w:rPr>
          <w:rFonts w:ascii="Times New Roman" w:eastAsia="Calibri" w:hAnsi="Times New Roman"/>
          <w:b/>
          <w:sz w:val="28"/>
          <w:szCs w:val="28"/>
        </w:rPr>
      </w:pPr>
      <w:r w:rsidRPr="00375059">
        <w:rPr>
          <w:rFonts w:ascii="Times New Roman" w:eastAsia="Calibri" w:hAnsi="Times New Roman"/>
          <w:b/>
          <w:sz w:val="28"/>
          <w:szCs w:val="28"/>
        </w:rPr>
        <w:t>(без хозяйств населения) за 2020 -2021 годы</w:t>
      </w:r>
    </w:p>
    <w:tbl>
      <w:tblPr>
        <w:tblW w:w="9243" w:type="dxa"/>
        <w:tblInd w:w="108" w:type="dxa"/>
        <w:tblLayout w:type="fixed"/>
        <w:tblLook w:val="04A0" w:firstRow="1" w:lastRow="0" w:firstColumn="1" w:lastColumn="0" w:noHBand="0" w:noVBand="1"/>
      </w:tblPr>
      <w:tblGrid>
        <w:gridCol w:w="2692"/>
        <w:gridCol w:w="992"/>
        <w:gridCol w:w="1134"/>
        <w:gridCol w:w="1276"/>
        <w:gridCol w:w="992"/>
        <w:gridCol w:w="992"/>
        <w:gridCol w:w="1165"/>
      </w:tblGrid>
      <w:tr w:rsidR="002B169F" w:rsidRPr="00375059" w14:paraId="72CD8685" w14:textId="77777777" w:rsidTr="006E1D00">
        <w:trPr>
          <w:trHeight w:val="206"/>
        </w:trPr>
        <w:tc>
          <w:tcPr>
            <w:tcW w:w="26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528F4" w14:textId="77777777" w:rsidR="002B169F" w:rsidRPr="00CE10DF" w:rsidRDefault="002B169F">
            <w:pPr>
              <w:spacing w:after="0" w:line="240" w:lineRule="auto"/>
              <w:jc w:val="center"/>
              <w:rPr>
                <w:rFonts w:ascii="Times New Roman" w:eastAsia="Calibri" w:hAnsi="Times New Roman"/>
                <w:b/>
                <w:bCs/>
                <w:sz w:val="24"/>
                <w:szCs w:val="24"/>
              </w:rPr>
            </w:pPr>
            <w:r w:rsidRPr="00CE10DF">
              <w:rPr>
                <w:rFonts w:ascii="Times New Roman" w:eastAsia="Calibri" w:hAnsi="Times New Roman"/>
                <w:b/>
                <w:bCs/>
                <w:sz w:val="24"/>
                <w:szCs w:val="24"/>
              </w:rPr>
              <w:t>Культуры</w:t>
            </w:r>
          </w:p>
        </w:tc>
        <w:tc>
          <w:tcPr>
            <w:tcW w:w="340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21085B" w14:textId="77777777" w:rsidR="002B169F" w:rsidRPr="00CE10DF" w:rsidRDefault="002B169F" w:rsidP="006E1D00">
            <w:pPr>
              <w:spacing w:after="0" w:line="240" w:lineRule="auto"/>
              <w:ind w:left="-82"/>
              <w:jc w:val="center"/>
              <w:rPr>
                <w:rFonts w:ascii="Times New Roman" w:eastAsia="Calibri" w:hAnsi="Times New Roman"/>
                <w:b/>
                <w:bCs/>
                <w:sz w:val="24"/>
                <w:szCs w:val="24"/>
              </w:rPr>
            </w:pPr>
            <w:r w:rsidRPr="00CE10DF">
              <w:rPr>
                <w:rFonts w:ascii="Times New Roman" w:eastAsia="Calibri" w:hAnsi="Times New Roman"/>
                <w:b/>
                <w:bCs/>
                <w:sz w:val="24"/>
                <w:szCs w:val="24"/>
              </w:rPr>
              <w:t>Валовой сбор, тыс. тонн</w:t>
            </w:r>
          </w:p>
        </w:tc>
        <w:tc>
          <w:tcPr>
            <w:tcW w:w="3149" w:type="dxa"/>
            <w:gridSpan w:val="3"/>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14A8498" w14:textId="77777777" w:rsidR="002B169F" w:rsidRPr="00CE10DF" w:rsidRDefault="002B169F" w:rsidP="006E1D00">
            <w:pPr>
              <w:spacing w:after="0" w:line="240" w:lineRule="auto"/>
              <w:ind w:left="-73"/>
              <w:jc w:val="center"/>
              <w:rPr>
                <w:rFonts w:ascii="Times New Roman" w:eastAsia="Calibri" w:hAnsi="Times New Roman"/>
                <w:b/>
                <w:bCs/>
                <w:sz w:val="24"/>
                <w:szCs w:val="24"/>
              </w:rPr>
            </w:pPr>
            <w:r w:rsidRPr="00CE10DF">
              <w:rPr>
                <w:rFonts w:ascii="Times New Roman" w:eastAsia="Calibri" w:hAnsi="Times New Roman"/>
                <w:b/>
                <w:bCs/>
                <w:sz w:val="24"/>
                <w:szCs w:val="24"/>
              </w:rPr>
              <w:t>Средняя урожайность, ц/га*</w:t>
            </w:r>
          </w:p>
        </w:tc>
      </w:tr>
      <w:tr w:rsidR="002B169F" w:rsidRPr="00375059" w14:paraId="43EB0614" w14:textId="77777777" w:rsidTr="006E1D00">
        <w:trPr>
          <w:trHeight w:val="324"/>
        </w:trPr>
        <w:tc>
          <w:tcPr>
            <w:tcW w:w="2692" w:type="dxa"/>
            <w:vMerge/>
            <w:tcBorders>
              <w:top w:val="single" w:sz="4" w:space="0" w:color="auto"/>
              <w:left w:val="single" w:sz="4" w:space="0" w:color="auto"/>
              <w:bottom w:val="single" w:sz="4" w:space="0" w:color="auto"/>
              <w:right w:val="single" w:sz="4" w:space="0" w:color="auto"/>
            </w:tcBorders>
            <w:vAlign w:val="center"/>
            <w:hideMark/>
          </w:tcPr>
          <w:p w14:paraId="51AE8B36" w14:textId="77777777" w:rsidR="002B169F" w:rsidRPr="00CE10DF" w:rsidRDefault="002B169F">
            <w:pPr>
              <w:spacing w:after="0" w:line="240" w:lineRule="auto"/>
              <w:rPr>
                <w:rFonts w:ascii="Times New Roman" w:eastAsia="Calibri" w:hAnsi="Times New Roman"/>
                <w:b/>
                <w:bCs/>
                <w:sz w:val="24"/>
                <w:szCs w:val="24"/>
              </w:rPr>
            </w:pP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01F69DD" w14:textId="77777777" w:rsidR="002B169F" w:rsidRPr="00CE10DF" w:rsidRDefault="002B169F">
            <w:pPr>
              <w:spacing w:after="0" w:line="240" w:lineRule="auto"/>
              <w:ind w:left="-108" w:right="-108"/>
              <w:jc w:val="center"/>
              <w:rPr>
                <w:rFonts w:ascii="Times New Roman" w:eastAsia="Calibri" w:hAnsi="Times New Roman"/>
                <w:b/>
                <w:bCs/>
                <w:sz w:val="24"/>
                <w:szCs w:val="24"/>
              </w:rPr>
            </w:pPr>
            <w:r w:rsidRPr="00CE10DF">
              <w:rPr>
                <w:rFonts w:ascii="Times New Roman" w:eastAsia="Calibri" w:hAnsi="Times New Roman"/>
                <w:b/>
                <w:bCs/>
                <w:sz w:val="24"/>
                <w:szCs w:val="24"/>
              </w:rPr>
              <w:t>20</w:t>
            </w:r>
            <w:r w:rsidRPr="00CE10DF">
              <w:rPr>
                <w:rFonts w:ascii="Times New Roman" w:eastAsia="Calibri" w:hAnsi="Times New Roman"/>
                <w:b/>
                <w:bCs/>
                <w:sz w:val="24"/>
                <w:szCs w:val="24"/>
                <w:lang w:val="en-US"/>
              </w:rPr>
              <w:t>20</w:t>
            </w:r>
            <w:r w:rsidRPr="00CE10DF">
              <w:rPr>
                <w:rFonts w:ascii="Times New Roman" w:eastAsia="Calibri" w:hAnsi="Times New Roman"/>
                <w:b/>
                <w:bCs/>
                <w:sz w:val="24"/>
                <w:szCs w:val="24"/>
              </w:rPr>
              <w:t xml:space="preserve"> год</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402D158F" w14:textId="77777777" w:rsidR="002B169F" w:rsidRPr="00CE10DF" w:rsidRDefault="002B169F">
            <w:pPr>
              <w:spacing w:after="0" w:line="240" w:lineRule="auto"/>
              <w:ind w:left="-108" w:right="-109"/>
              <w:jc w:val="center"/>
              <w:rPr>
                <w:rFonts w:ascii="Times New Roman" w:eastAsia="Calibri" w:hAnsi="Times New Roman"/>
                <w:b/>
                <w:bCs/>
                <w:sz w:val="24"/>
                <w:szCs w:val="24"/>
              </w:rPr>
            </w:pPr>
            <w:r w:rsidRPr="00CE10DF">
              <w:rPr>
                <w:rFonts w:ascii="Times New Roman" w:eastAsia="Calibri" w:hAnsi="Times New Roman"/>
                <w:b/>
                <w:bCs/>
                <w:sz w:val="24"/>
                <w:szCs w:val="24"/>
              </w:rPr>
              <w:t>20</w:t>
            </w:r>
            <w:r w:rsidRPr="00CE10DF">
              <w:rPr>
                <w:rFonts w:ascii="Times New Roman" w:eastAsia="Calibri" w:hAnsi="Times New Roman"/>
                <w:b/>
                <w:bCs/>
                <w:sz w:val="24"/>
                <w:szCs w:val="24"/>
                <w:lang w:val="en-US"/>
              </w:rPr>
              <w:t>2</w:t>
            </w:r>
            <w:r w:rsidRPr="00CE10DF">
              <w:rPr>
                <w:rFonts w:ascii="Times New Roman" w:eastAsia="Calibri" w:hAnsi="Times New Roman"/>
                <w:b/>
                <w:bCs/>
                <w:sz w:val="24"/>
                <w:szCs w:val="24"/>
              </w:rPr>
              <w:t>1 год</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14:paraId="1CA0D35C" w14:textId="070AAFF1" w:rsidR="002B169F" w:rsidRPr="00CE10DF" w:rsidRDefault="002B169F">
            <w:pPr>
              <w:spacing w:after="0" w:line="240" w:lineRule="auto"/>
              <w:ind w:left="-108"/>
              <w:jc w:val="center"/>
              <w:rPr>
                <w:rFonts w:ascii="Times New Roman" w:eastAsia="Calibri" w:hAnsi="Times New Roman"/>
                <w:b/>
                <w:bCs/>
                <w:sz w:val="24"/>
                <w:szCs w:val="24"/>
              </w:rPr>
            </w:pPr>
            <w:r w:rsidRPr="00CE10DF">
              <w:rPr>
                <w:rFonts w:ascii="Times New Roman" w:eastAsia="Calibri" w:hAnsi="Times New Roman"/>
                <w:b/>
                <w:bCs/>
                <w:sz w:val="24"/>
                <w:szCs w:val="24"/>
              </w:rPr>
              <w:t>темп роста к 2020 г</w:t>
            </w:r>
            <w:r w:rsidR="009952C8" w:rsidRPr="00CE10DF">
              <w:rPr>
                <w:rFonts w:ascii="Times New Roman" w:eastAsia="Calibri" w:hAnsi="Times New Roman"/>
                <w:b/>
                <w:bCs/>
                <w:sz w:val="24"/>
                <w:szCs w:val="24"/>
              </w:rPr>
              <w:t>оду</w:t>
            </w:r>
            <w:r w:rsidRPr="00CE10DF">
              <w:rPr>
                <w:rFonts w:ascii="Times New Roman" w:eastAsia="Calibri" w:hAnsi="Times New Roman"/>
                <w:b/>
                <w:bCs/>
                <w:sz w:val="24"/>
                <w:szCs w:val="24"/>
              </w:rPr>
              <w:t>,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0D9440A" w14:textId="77777777" w:rsidR="002B169F" w:rsidRPr="00CE10DF" w:rsidRDefault="002B169F">
            <w:pPr>
              <w:spacing w:after="0" w:line="240" w:lineRule="auto"/>
              <w:ind w:left="-108" w:right="-108"/>
              <w:jc w:val="center"/>
              <w:rPr>
                <w:rFonts w:ascii="Times New Roman" w:eastAsia="Calibri" w:hAnsi="Times New Roman"/>
                <w:b/>
                <w:bCs/>
                <w:sz w:val="24"/>
                <w:szCs w:val="24"/>
              </w:rPr>
            </w:pPr>
            <w:r w:rsidRPr="00CE10DF">
              <w:rPr>
                <w:rFonts w:ascii="Times New Roman" w:eastAsia="Calibri" w:hAnsi="Times New Roman"/>
                <w:b/>
                <w:bCs/>
                <w:sz w:val="24"/>
                <w:szCs w:val="24"/>
              </w:rPr>
              <w:t>20</w:t>
            </w:r>
            <w:r w:rsidRPr="00CE10DF">
              <w:rPr>
                <w:rFonts w:ascii="Times New Roman" w:eastAsia="Calibri" w:hAnsi="Times New Roman"/>
                <w:b/>
                <w:bCs/>
                <w:sz w:val="24"/>
                <w:szCs w:val="24"/>
                <w:lang w:val="en-US"/>
              </w:rPr>
              <w:t>20</w:t>
            </w:r>
            <w:r w:rsidRPr="00CE10DF">
              <w:rPr>
                <w:rFonts w:ascii="Times New Roman" w:eastAsia="Calibri" w:hAnsi="Times New Roman"/>
                <w:b/>
                <w:bCs/>
                <w:sz w:val="24"/>
                <w:szCs w:val="24"/>
              </w:rPr>
              <w:t xml:space="preserve"> год</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0A1428C0" w14:textId="77777777" w:rsidR="002B169F" w:rsidRPr="00CE10DF" w:rsidRDefault="002B169F">
            <w:pPr>
              <w:spacing w:after="0" w:line="240" w:lineRule="auto"/>
              <w:ind w:left="-108" w:right="-109"/>
              <w:jc w:val="center"/>
              <w:rPr>
                <w:rFonts w:ascii="Times New Roman" w:eastAsia="Calibri" w:hAnsi="Times New Roman"/>
                <w:b/>
                <w:bCs/>
                <w:sz w:val="24"/>
                <w:szCs w:val="24"/>
              </w:rPr>
            </w:pPr>
            <w:r w:rsidRPr="00CE10DF">
              <w:rPr>
                <w:rFonts w:ascii="Times New Roman" w:eastAsia="Calibri" w:hAnsi="Times New Roman"/>
                <w:b/>
                <w:bCs/>
                <w:sz w:val="24"/>
                <w:szCs w:val="24"/>
              </w:rPr>
              <w:t>20</w:t>
            </w:r>
            <w:r w:rsidRPr="00CE10DF">
              <w:rPr>
                <w:rFonts w:ascii="Times New Roman" w:eastAsia="Calibri" w:hAnsi="Times New Roman"/>
                <w:b/>
                <w:bCs/>
                <w:sz w:val="24"/>
                <w:szCs w:val="24"/>
                <w:lang w:val="en-US"/>
              </w:rPr>
              <w:t>2</w:t>
            </w:r>
            <w:r w:rsidRPr="00CE10DF">
              <w:rPr>
                <w:rFonts w:ascii="Times New Roman" w:eastAsia="Calibri" w:hAnsi="Times New Roman"/>
                <w:b/>
                <w:bCs/>
                <w:sz w:val="24"/>
                <w:szCs w:val="24"/>
              </w:rPr>
              <w:t>1 год</w:t>
            </w:r>
          </w:p>
        </w:tc>
        <w:tc>
          <w:tcPr>
            <w:tcW w:w="1165" w:type="dxa"/>
            <w:tcBorders>
              <w:top w:val="nil"/>
              <w:left w:val="nil"/>
              <w:bottom w:val="single" w:sz="4" w:space="0" w:color="auto"/>
              <w:right w:val="single" w:sz="4" w:space="0" w:color="auto"/>
            </w:tcBorders>
            <w:shd w:val="clear" w:color="auto" w:fill="D9D9D9" w:themeFill="background1" w:themeFillShade="D9"/>
            <w:vAlign w:val="center"/>
            <w:hideMark/>
          </w:tcPr>
          <w:p w14:paraId="426BFD8E" w14:textId="635AFA38" w:rsidR="002B169F" w:rsidRPr="00CE10DF" w:rsidRDefault="009952C8" w:rsidP="009952C8">
            <w:pPr>
              <w:spacing w:after="0" w:line="240" w:lineRule="auto"/>
              <w:ind w:left="-80"/>
              <w:jc w:val="center"/>
              <w:rPr>
                <w:rFonts w:ascii="Times New Roman" w:eastAsia="Calibri" w:hAnsi="Times New Roman"/>
                <w:b/>
                <w:bCs/>
                <w:sz w:val="24"/>
                <w:szCs w:val="24"/>
              </w:rPr>
            </w:pPr>
            <w:r w:rsidRPr="00CE10DF">
              <w:rPr>
                <w:rFonts w:ascii="Times New Roman" w:eastAsia="Calibri" w:hAnsi="Times New Roman"/>
                <w:b/>
                <w:bCs/>
                <w:sz w:val="24"/>
                <w:szCs w:val="24"/>
              </w:rPr>
              <w:t>темп роста к 2020 году, %</w:t>
            </w:r>
          </w:p>
        </w:tc>
      </w:tr>
      <w:tr w:rsidR="002B169F" w:rsidRPr="00375059" w14:paraId="43813AB3" w14:textId="77777777" w:rsidTr="006E1D00">
        <w:trPr>
          <w:trHeight w:val="377"/>
        </w:trPr>
        <w:tc>
          <w:tcPr>
            <w:tcW w:w="2692" w:type="dxa"/>
            <w:tcBorders>
              <w:top w:val="single" w:sz="4" w:space="0" w:color="auto"/>
              <w:left w:val="single" w:sz="4" w:space="0" w:color="auto"/>
              <w:bottom w:val="single" w:sz="4" w:space="0" w:color="auto"/>
              <w:right w:val="single" w:sz="4" w:space="0" w:color="auto"/>
            </w:tcBorders>
            <w:vAlign w:val="center"/>
            <w:hideMark/>
          </w:tcPr>
          <w:p w14:paraId="2A5510C6" w14:textId="77777777" w:rsidR="002B169F" w:rsidRPr="00CE10DF" w:rsidRDefault="002B169F">
            <w:pPr>
              <w:spacing w:after="0" w:line="240" w:lineRule="auto"/>
              <w:ind w:right="-108"/>
              <w:rPr>
                <w:rFonts w:ascii="Times New Roman" w:eastAsia="Calibri" w:hAnsi="Times New Roman"/>
                <w:bCs/>
                <w:sz w:val="24"/>
                <w:szCs w:val="24"/>
              </w:rPr>
            </w:pPr>
            <w:r w:rsidRPr="00CE10DF">
              <w:rPr>
                <w:rFonts w:ascii="Times New Roman" w:eastAsia="Calibri" w:hAnsi="Times New Roman"/>
                <w:bCs/>
                <w:sz w:val="24"/>
                <w:szCs w:val="24"/>
              </w:rPr>
              <w:t>Зерновые и зернобобовые культуры, из них:</w:t>
            </w:r>
          </w:p>
        </w:tc>
        <w:tc>
          <w:tcPr>
            <w:tcW w:w="992" w:type="dxa"/>
            <w:tcBorders>
              <w:top w:val="single" w:sz="4" w:space="0" w:color="auto"/>
              <w:left w:val="nil"/>
              <w:bottom w:val="single" w:sz="4" w:space="0" w:color="auto"/>
              <w:right w:val="single" w:sz="4" w:space="0" w:color="auto"/>
            </w:tcBorders>
            <w:vAlign w:val="center"/>
            <w:hideMark/>
          </w:tcPr>
          <w:p w14:paraId="1C7137CD"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lang w:val="en-US"/>
              </w:rPr>
              <w:t>13</w:t>
            </w:r>
            <w:r w:rsidRPr="00CE10DF">
              <w:rPr>
                <w:rFonts w:ascii="Times New Roman" w:hAnsi="Times New Roman"/>
                <w:sz w:val="24"/>
                <w:szCs w:val="24"/>
              </w:rPr>
              <w:t>3,6</w:t>
            </w:r>
          </w:p>
        </w:tc>
        <w:tc>
          <w:tcPr>
            <w:tcW w:w="1134" w:type="dxa"/>
            <w:tcBorders>
              <w:top w:val="single" w:sz="4" w:space="0" w:color="auto"/>
              <w:left w:val="nil"/>
              <w:bottom w:val="single" w:sz="4" w:space="0" w:color="auto"/>
              <w:right w:val="single" w:sz="4" w:space="0" w:color="auto"/>
            </w:tcBorders>
            <w:vAlign w:val="center"/>
            <w:hideMark/>
          </w:tcPr>
          <w:p w14:paraId="3E766BF8" w14:textId="77777777" w:rsidR="002B169F" w:rsidRPr="00CE10DF" w:rsidRDefault="002B169F" w:rsidP="009952C8">
            <w:pPr>
              <w:spacing w:after="0" w:line="240" w:lineRule="auto"/>
              <w:jc w:val="right"/>
              <w:rPr>
                <w:rFonts w:ascii="Times New Roman" w:hAnsi="Times New Roman"/>
                <w:sz w:val="24"/>
                <w:szCs w:val="24"/>
              </w:rPr>
            </w:pPr>
            <w:bookmarkStart w:id="11" w:name="_Hlk98944777"/>
            <w:r w:rsidRPr="00CE10DF">
              <w:rPr>
                <w:rFonts w:ascii="Times New Roman" w:hAnsi="Times New Roman"/>
                <w:sz w:val="24"/>
                <w:szCs w:val="24"/>
              </w:rPr>
              <w:t>676,8</w:t>
            </w:r>
            <w:bookmarkEnd w:id="11"/>
          </w:p>
        </w:tc>
        <w:tc>
          <w:tcPr>
            <w:tcW w:w="1276" w:type="dxa"/>
            <w:tcBorders>
              <w:top w:val="single" w:sz="4" w:space="0" w:color="auto"/>
              <w:left w:val="nil"/>
              <w:bottom w:val="single" w:sz="4" w:space="0" w:color="auto"/>
              <w:right w:val="single" w:sz="4" w:space="0" w:color="auto"/>
            </w:tcBorders>
            <w:vAlign w:val="center"/>
            <w:hideMark/>
          </w:tcPr>
          <w:p w14:paraId="6018E148"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506,6</w:t>
            </w:r>
          </w:p>
        </w:tc>
        <w:tc>
          <w:tcPr>
            <w:tcW w:w="992" w:type="dxa"/>
            <w:tcBorders>
              <w:top w:val="single" w:sz="4" w:space="0" w:color="auto"/>
              <w:left w:val="nil"/>
              <w:bottom w:val="single" w:sz="4" w:space="0" w:color="auto"/>
              <w:right w:val="single" w:sz="4" w:space="0" w:color="auto"/>
            </w:tcBorders>
            <w:vAlign w:val="center"/>
            <w:hideMark/>
          </w:tcPr>
          <w:p w14:paraId="35877F58" w14:textId="77777777" w:rsidR="002B169F" w:rsidRPr="00CE10DF" w:rsidRDefault="002B169F" w:rsidP="009952C8">
            <w:pPr>
              <w:spacing w:after="0" w:line="240" w:lineRule="auto"/>
              <w:ind w:left="-250" w:firstLine="44"/>
              <w:jc w:val="right"/>
              <w:rPr>
                <w:rFonts w:ascii="Times New Roman" w:hAnsi="Times New Roman"/>
                <w:sz w:val="24"/>
                <w:szCs w:val="24"/>
              </w:rPr>
            </w:pPr>
            <w:r w:rsidRPr="00CE10DF">
              <w:rPr>
                <w:rFonts w:ascii="Times New Roman" w:hAnsi="Times New Roman"/>
                <w:sz w:val="24"/>
                <w:szCs w:val="24"/>
              </w:rPr>
              <w:t>18,0</w:t>
            </w:r>
          </w:p>
        </w:tc>
        <w:tc>
          <w:tcPr>
            <w:tcW w:w="992" w:type="dxa"/>
            <w:tcBorders>
              <w:top w:val="single" w:sz="4" w:space="0" w:color="auto"/>
              <w:left w:val="nil"/>
              <w:bottom w:val="single" w:sz="4" w:space="0" w:color="auto"/>
              <w:right w:val="single" w:sz="4" w:space="0" w:color="auto"/>
            </w:tcBorders>
            <w:vAlign w:val="center"/>
            <w:hideMark/>
          </w:tcPr>
          <w:p w14:paraId="2A2D13EF" w14:textId="77777777" w:rsidR="002B169F" w:rsidRPr="00CE10DF" w:rsidRDefault="002B169F" w:rsidP="009952C8">
            <w:pPr>
              <w:spacing w:after="0" w:line="240" w:lineRule="auto"/>
              <w:ind w:left="-250" w:firstLine="44"/>
              <w:jc w:val="right"/>
              <w:rPr>
                <w:rFonts w:ascii="Times New Roman" w:hAnsi="Times New Roman"/>
                <w:sz w:val="24"/>
                <w:szCs w:val="24"/>
              </w:rPr>
            </w:pPr>
            <w:r w:rsidRPr="00CE10DF">
              <w:rPr>
                <w:rFonts w:ascii="Times New Roman" w:hAnsi="Times New Roman"/>
                <w:sz w:val="24"/>
                <w:szCs w:val="24"/>
              </w:rPr>
              <w:t>51,6</w:t>
            </w:r>
          </w:p>
        </w:tc>
        <w:tc>
          <w:tcPr>
            <w:tcW w:w="1165" w:type="dxa"/>
            <w:tcBorders>
              <w:top w:val="single" w:sz="4" w:space="0" w:color="auto"/>
              <w:left w:val="nil"/>
              <w:bottom w:val="single" w:sz="4" w:space="0" w:color="auto"/>
              <w:right w:val="single" w:sz="4" w:space="0" w:color="auto"/>
            </w:tcBorders>
            <w:noWrap/>
            <w:vAlign w:val="center"/>
            <w:hideMark/>
          </w:tcPr>
          <w:p w14:paraId="1E627DCF"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286,7</w:t>
            </w:r>
          </w:p>
        </w:tc>
      </w:tr>
      <w:tr w:rsidR="002B169F" w:rsidRPr="00375059" w14:paraId="48069A92" w14:textId="77777777" w:rsidTr="006E1D00">
        <w:trPr>
          <w:trHeight w:val="126"/>
        </w:trPr>
        <w:tc>
          <w:tcPr>
            <w:tcW w:w="2692" w:type="dxa"/>
            <w:tcBorders>
              <w:top w:val="single" w:sz="4" w:space="0" w:color="auto"/>
              <w:left w:val="single" w:sz="4" w:space="0" w:color="auto"/>
              <w:bottom w:val="single" w:sz="4" w:space="0" w:color="auto"/>
              <w:right w:val="single" w:sz="4" w:space="0" w:color="auto"/>
            </w:tcBorders>
            <w:hideMark/>
          </w:tcPr>
          <w:p w14:paraId="4FB5D053" w14:textId="30DC27FD" w:rsidR="002B169F" w:rsidRPr="00CE10DF" w:rsidRDefault="006E1D00">
            <w:pPr>
              <w:spacing w:after="0" w:line="240" w:lineRule="auto"/>
              <w:ind w:right="-108"/>
              <w:rPr>
                <w:rFonts w:ascii="Times New Roman" w:eastAsia="Calibri" w:hAnsi="Times New Roman"/>
                <w:bCs/>
                <w:sz w:val="24"/>
                <w:szCs w:val="24"/>
              </w:rPr>
            </w:pPr>
            <w:r w:rsidRPr="00CE10DF">
              <w:rPr>
                <w:rFonts w:ascii="Times New Roman" w:eastAsia="Calibri" w:hAnsi="Times New Roman"/>
                <w:bCs/>
                <w:sz w:val="24"/>
                <w:szCs w:val="24"/>
              </w:rPr>
              <w:t xml:space="preserve">   </w:t>
            </w:r>
            <w:r w:rsidR="002B169F" w:rsidRPr="00CE10DF">
              <w:rPr>
                <w:rFonts w:ascii="Times New Roman" w:eastAsia="Calibri" w:hAnsi="Times New Roman"/>
                <w:bCs/>
                <w:sz w:val="24"/>
                <w:szCs w:val="24"/>
              </w:rPr>
              <w:t>озимая пшеница</w:t>
            </w:r>
          </w:p>
        </w:tc>
        <w:tc>
          <w:tcPr>
            <w:tcW w:w="992" w:type="dxa"/>
            <w:tcBorders>
              <w:top w:val="single" w:sz="4" w:space="0" w:color="auto"/>
              <w:left w:val="nil"/>
              <w:bottom w:val="single" w:sz="4" w:space="0" w:color="auto"/>
              <w:right w:val="single" w:sz="4" w:space="0" w:color="auto"/>
            </w:tcBorders>
            <w:vAlign w:val="center"/>
            <w:hideMark/>
          </w:tcPr>
          <w:p w14:paraId="0D05DE31"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81,3</w:t>
            </w:r>
          </w:p>
        </w:tc>
        <w:tc>
          <w:tcPr>
            <w:tcW w:w="1134" w:type="dxa"/>
            <w:tcBorders>
              <w:top w:val="single" w:sz="4" w:space="0" w:color="auto"/>
              <w:left w:val="nil"/>
              <w:bottom w:val="single" w:sz="4" w:space="0" w:color="auto"/>
              <w:right w:val="single" w:sz="4" w:space="0" w:color="auto"/>
            </w:tcBorders>
            <w:vAlign w:val="center"/>
            <w:hideMark/>
          </w:tcPr>
          <w:p w14:paraId="3529AFB4"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384,7</w:t>
            </w:r>
          </w:p>
        </w:tc>
        <w:tc>
          <w:tcPr>
            <w:tcW w:w="1276" w:type="dxa"/>
            <w:tcBorders>
              <w:top w:val="single" w:sz="4" w:space="0" w:color="auto"/>
              <w:left w:val="nil"/>
              <w:bottom w:val="single" w:sz="4" w:space="0" w:color="auto"/>
              <w:right w:val="single" w:sz="4" w:space="0" w:color="auto"/>
            </w:tcBorders>
            <w:vAlign w:val="center"/>
            <w:hideMark/>
          </w:tcPr>
          <w:p w14:paraId="1B46652F"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473,2</w:t>
            </w:r>
          </w:p>
        </w:tc>
        <w:tc>
          <w:tcPr>
            <w:tcW w:w="992" w:type="dxa"/>
            <w:tcBorders>
              <w:top w:val="single" w:sz="4" w:space="0" w:color="auto"/>
              <w:left w:val="nil"/>
              <w:bottom w:val="single" w:sz="4" w:space="0" w:color="auto"/>
              <w:right w:val="single" w:sz="4" w:space="0" w:color="auto"/>
            </w:tcBorders>
            <w:vAlign w:val="center"/>
            <w:hideMark/>
          </w:tcPr>
          <w:p w14:paraId="76A478EA"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16,8</w:t>
            </w:r>
          </w:p>
        </w:tc>
        <w:tc>
          <w:tcPr>
            <w:tcW w:w="992" w:type="dxa"/>
            <w:tcBorders>
              <w:top w:val="single" w:sz="4" w:space="0" w:color="auto"/>
              <w:left w:val="nil"/>
              <w:bottom w:val="single" w:sz="4" w:space="0" w:color="auto"/>
              <w:right w:val="single" w:sz="4" w:space="0" w:color="auto"/>
            </w:tcBorders>
            <w:vAlign w:val="center"/>
            <w:hideMark/>
          </w:tcPr>
          <w:p w14:paraId="1EBF95BB"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45,3</w:t>
            </w:r>
          </w:p>
        </w:tc>
        <w:tc>
          <w:tcPr>
            <w:tcW w:w="1165" w:type="dxa"/>
            <w:tcBorders>
              <w:top w:val="single" w:sz="4" w:space="0" w:color="auto"/>
              <w:left w:val="nil"/>
              <w:bottom w:val="single" w:sz="4" w:space="0" w:color="auto"/>
              <w:right w:val="single" w:sz="4" w:space="0" w:color="auto"/>
            </w:tcBorders>
            <w:noWrap/>
            <w:vAlign w:val="center"/>
            <w:hideMark/>
          </w:tcPr>
          <w:p w14:paraId="36DFEFFD"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269,6</w:t>
            </w:r>
          </w:p>
        </w:tc>
      </w:tr>
      <w:tr w:rsidR="002B169F" w:rsidRPr="00375059" w14:paraId="5344323B" w14:textId="77777777" w:rsidTr="006E1D00">
        <w:trPr>
          <w:trHeight w:val="144"/>
        </w:trPr>
        <w:tc>
          <w:tcPr>
            <w:tcW w:w="2692" w:type="dxa"/>
            <w:tcBorders>
              <w:top w:val="single" w:sz="4" w:space="0" w:color="auto"/>
              <w:left w:val="single" w:sz="4" w:space="0" w:color="auto"/>
              <w:bottom w:val="single" w:sz="4" w:space="0" w:color="auto"/>
              <w:right w:val="single" w:sz="4" w:space="0" w:color="auto"/>
            </w:tcBorders>
            <w:hideMark/>
          </w:tcPr>
          <w:p w14:paraId="4064AED4" w14:textId="51E5C54C" w:rsidR="002B169F" w:rsidRPr="00CE10DF" w:rsidRDefault="006E1D00">
            <w:pPr>
              <w:spacing w:after="0" w:line="240" w:lineRule="auto"/>
              <w:ind w:right="-108"/>
              <w:rPr>
                <w:rFonts w:ascii="Times New Roman" w:eastAsia="Calibri" w:hAnsi="Times New Roman"/>
                <w:bCs/>
                <w:sz w:val="24"/>
                <w:szCs w:val="24"/>
              </w:rPr>
            </w:pPr>
            <w:r w:rsidRPr="00CE10DF">
              <w:rPr>
                <w:rFonts w:ascii="Times New Roman" w:eastAsia="Calibri" w:hAnsi="Times New Roman"/>
                <w:bCs/>
                <w:sz w:val="24"/>
                <w:szCs w:val="24"/>
              </w:rPr>
              <w:t xml:space="preserve">   </w:t>
            </w:r>
            <w:r w:rsidR="002B169F" w:rsidRPr="00CE10DF">
              <w:rPr>
                <w:rFonts w:ascii="Times New Roman" w:eastAsia="Calibri" w:hAnsi="Times New Roman"/>
                <w:bCs/>
                <w:sz w:val="24"/>
                <w:szCs w:val="24"/>
              </w:rPr>
              <w:t>кукуруза на зерно</w:t>
            </w:r>
          </w:p>
        </w:tc>
        <w:tc>
          <w:tcPr>
            <w:tcW w:w="992" w:type="dxa"/>
            <w:tcBorders>
              <w:top w:val="single" w:sz="4" w:space="0" w:color="auto"/>
              <w:left w:val="nil"/>
              <w:bottom w:val="single" w:sz="4" w:space="0" w:color="auto"/>
              <w:right w:val="single" w:sz="4" w:space="0" w:color="auto"/>
            </w:tcBorders>
            <w:vAlign w:val="center"/>
            <w:hideMark/>
          </w:tcPr>
          <w:p w14:paraId="7193C20C"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36,0</w:t>
            </w:r>
          </w:p>
        </w:tc>
        <w:tc>
          <w:tcPr>
            <w:tcW w:w="1134" w:type="dxa"/>
            <w:tcBorders>
              <w:top w:val="single" w:sz="4" w:space="0" w:color="auto"/>
              <w:left w:val="nil"/>
              <w:bottom w:val="single" w:sz="4" w:space="0" w:color="auto"/>
              <w:right w:val="single" w:sz="4" w:space="0" w:color="auto"/>
            </w:tcBorders>
            <w:vAlign w:val="center"/>
            <w:hideMark/>
          </w:tcPr>
          <w:p w14:paraId="4C8827B1"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216,1</w:t>
            </w:r>
          </w:p>
        </w:tc>
        <w:tc>
          <w:tcPr>
            <w:tcW w:w="1276" w:type="dxa"/>
            <w:tcBorders>
              <w:top w:val="single" w:sz="4" w:space="0" w:color="auto"/>
              <w:left w:val="nil"/>
              <w:bottom w:val="single" w:sz="4" w:space="0" w:color="auto"/>
              <w:right w:val="single" w:sz="4" w:space="0" w:color="auto"/>
            </w:tcBorders>
            <w:vAlign w:val="center"/>
            <w:hideMark/>
          </w:tcPr>
          <w:p w14:paraId="1E678958"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599,6</w:t>
            </w:r>
          </w:p>
        </w:tc>
        <w:tc>
          <w:tcPr>
            <w:tcW w:w="992" w:type="dxa"/>
            <w:tcBorders>
              <w:top w:val="single" w:sz="4" w:space="0" w:color="auto"/>
              <w:left w:val="nil"/>
              <w:bottom w:val="single" w:sz="4" w:space="0" w:color="auto"/>
              <w:right w:val="single" w:sz="4" w:space="0" w:color="auto"/>
            </w:tcBorders>
            <w:vAlign w:val="center"/>
            <w:hideMark/>
          </w:tcPr>
          <w:p w14:paraId="050CB8DC"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24,0</w:t>
            </w:r>
          </w:p>
        </w:tc>
        <w:tc>
          <w:tcPr>
            <w:tcW w:w="992" w:type="dxa"/>
            <w:tcBorders>
              <w:top w:val="single" w:sz="4" w:space="0" w:color="auto"/>
              <w:left w:val="nil"/>
              <w:bottom w:val="single" w:sz="4" w:space="0" w:color="auto"/>
              <w:right w:val="single" w:sz="4" w:space="0" w:color="auto"/>
            </w:tcBorders>
            <w:vAlign w:val="center"/>
            <w:hideMark/>
          </w:tcPr>
          <w:p w14:paraId="541C72C3"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83,3</w:t>
            </w:r>
          </w:p>
        </w:tc>
        <w:tc>
          <w:tcPr>
            <w:tcW w:w="1165" w:type="dxa"/>
            <w:tcBorders>
              <w:top w:val="single" w:sz="4" w:space="0" w:color="auto"/>
              <w:left w:val="nil"/>
              <w:bottom w:val="single" w:sz="4" w:space="0" w:color="auto"/>
              <w:right w:val="single" w:sz="4" w:space="0" w:color="auto"/>
            </w:tcBorders>
            <w:noWrap/>
            <w:vAlign w:val="center"/>
            <w:hideMark/>
          </w:tcPr>
          <w:p w14:paraId="626B8E6F"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347,1</w:t>
            </w:r>
          </w:p>
        </w:tc>
      </w:tr>
      <w:tr w:rsidR="002B169F" w:rsidRPr="00375059" w14:paraId="2583D4F5" w14:textId="77777777" w:rsidTr="006E1D00">
        <w:trPr>
          <w:trHeight w:val="214"/>
        </w:trPr>
        <w:tc>
          <w:tcPr>
            <w:tcW w:w="2692" w:type="dxa"/>
            <w:tcBorders>
              <w:top w:val="single" w:sz="4" w:space="0" w:color="auto"/>
              <w:left w:val="single" w:sz="4" w:space="0" w:color="auto"/>
              <w:bottom w:val="single" w:sz="4" w:space="0" w:color="auto"/>
              <w:right w:val="single" w:sz="4" w:space="0" w:color="auto"/>
            </w:tcBorders>
            <w:hideMark/>
          </w:tcPr>
          <w:p w14:paraId="7A47EF93" w14:textId="77777777" w:rsidR="002B169F" w:rsidRPr="00CE10DF" w:rsidRDefault="002B169F">
            <w:pPr>
              <w:spacing w:after="0" w:line="240" w:lineRule="auto"/>
              <w:ind w:right="-108"/>
              <w:rPr>
                <w:rFonts w:ascii="Times New Roman" w:eastAsia="Calibri" w:hAnsi="Times New Roman"/>
                <w:bCs/>
                <w:sz w:val="24"/>
                <w:szCs w:val="24"/>
              </w:rPr>
            </w:pPr>
            <w:r w:rsidRPr="00CE10DF">
              <w:rPr>
                <w:rFonts w:ascii="Times New Roman" w:eastAsia="Calibri" w:hAnsi="Times New Roman"/>
                <w:bCs/>
                <w:sz w:val="24"/>
                <w:szCs w:val="24"/>
              </w:rPr>
              <w:t>Подсолнечник на зерно</w:t>
            </w:r>
          </w:p>
        </w:tc>
        <w:tc>
          <w:tcPr>
            <w:tcW w:w="992" w:type="dxa"/>
            <w:tcBorders>
              <w:top w:val="single" w:sz="4" w:space="0" w:color="auto"/>
              <w:left w:val="nil"/>
              <w:bottom w:val="single" w:sz="4" w:space="0" w:color="auto"/>
              <w:right w:val="single" w:sz="4" w:space="0" w:color="auto"/>
            </w:tcBorders>
            <w:vAlign w:val="center"/>
            <w:hideMark/>
          </w:tcPr>
          <w:p w14:paraId="34BEDB0E"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54,8</w:t>
            </w:r>
          </w:p>
        </w:tc>
        <w:tc>
          <w:tcPr>
            <w:tcW w:w="1134" w:type="dxa"/>
            <w:tcBorders>
              <w:top w:val="single" w:sz="4" w:space="0" w:color="auto"/>
              <w:left w:val="nil"/>
              <w:bottom w:val="single" w:sz="4" w:space="0" w:color="auto"/>
              <w:right w:val="single" w:sz="4" w:space="0" w:color="auto"/>
            </w:tcBorders>
            <w:vAlign w:val="center"/>
            <w:hideMark/>
          </w:tcPr>
          <w:p w14:paraId="18E67D48"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123,9</w:t>
            </w:r>
          </w:p>
        </w:tc>
        <w:tc>
          <w:tcPr>
            <w:tcW w:w="1276" w:type="dxa"/>
            <w:tcBorders>
              <w:top w:val="single" w:sz="4" w:space="0" w:color="auto"/>
              <w:left w:val="nil"/>
              <w:bottom w:val="single" w:sz="4" w:space="0" w:color="auto"/>
              <w:right w:val="single" w:sz="4" w:space="0" w:color="auto"/>
            </w:tcBorders>
            <w:vAlign w:val="center"/>
            <w:hideMark/>
          </w:tcPr>
          <w:p w14:paraId="5D60FAC9"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225,9</w:t>
            </w:r>
          </w:p>
        </w:tc>
        <w:tc>
          <w:tcPr>
            <w:tcW w:w="992" w:type="dxa"/>
            <w:tcBorders>
              <w:top w:val="single" w:sz="4" w:space="0" w:color="auto"/>
              <w:left w:val="nil"/>
              <w:bottom w:val="single" w:sz="4" w:space="0" w:color="auto"/>
              <w:right w:val="single" w:sz="4" w:space="0" w:color="auto"/>
            </w:tcBorders>
            <w:vAlign w:val="center"/>
            <w:hideMark/>
          </w:tcPr>
          <w:p w14:paraId="6C81E3BB"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10,2</w:t>
            </w:r>
          </w:p>
        </w:tc>
        <w:tc>
          <w:tcPr>
            <w:tcW w:w="992" w:type="dxa"/>
            <w:tcBorders>
              <w:top w:val="single" w:sz="4" w:space="0" w:color="auto"/>
              <w:left w:val="nil"/>
              <w:bottom w:val="single" w:sz="4" w:space="0" w:color="auto"/>
              <w:right w:val="single" w:sz="4" w:space="0" w:color="auto"/>
            </w:tcBorders>
            <w:vAlign w:val="center"/>
            <w:hideMark/>
          </w:tcPr>
          <w:p w14:paraId="4E0A80A8"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22,8</w:t>
            </w:r>
          </w:p>
        </w:tc>
        <w:tc>
          <w:tcPr>
            <w:tcW w:w="1165" w:type="dxa"/>
            <w:tcBorders>
              <w:top w:val="single" w:sz="4" w:space="0" w:color="auto"/>
              <w:left w:val="nil"/>
              <w:bottom w:val="single" w:sz="4" w:space="0" w:color="auto"/>
              <w:right w:val="single" w:sz="4" w:space="0" w:color="auto"/>
            </w:tcBorders>
            <w:noWrap/>
            <w:vAlign w:val="center"/>
            <w:hideMark/>
          </w:tcPr>
          <w:p w14:paraId="03F69376"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223,5</w:t>
            </w:r>
          </w:p>
        </w:tc>
      </w:tr>
      <w:tr w:rsidR="002B169F" w:rsidRPr="00375059" w14:paraId="1FA5C76F" w14:textId="77777777" w:rsidTr="006E1D00">
        <w:trPr>
          <w:trHeight w:val="127"/>
        </w:trPr>
        <w:tc>
          <w:tcPr>
            <w:tcW w:w="2692" w:type="dxa"/>
            <w:tcBorders>
              <w:top w:val="single" w:sz="4" w:space="0" w:color="auto"/>
              <w:left w:val="single" w:sz="4" w:space="0" w:color="auto"/>
              <w:bottom w:val="single" w:sz="4" w:space="0" w:color="auto"/>
              <w:right w:val="single" w:sz="4" w:space="0" w:color="auto"/>
            </w:tcBorders>
            <w:hideMark/>
          </w:tcPr>
          <w:p w14:paraId="4D8D9298" w14:textId="77777777" w:rsidR="002B169F" w:rsidRPr="00CE10DF" w:rsidRDefault="002B169F">
            <w:pPr>
              <w:spacing w:after="0" w:line="240" w:lineRule="auto"/>
              <w:ind w:right="-108"/>
              <w:rPr>
                <w:rFonts w:ascii="Times New Roman" w:eastAsia="Calibri" w:hAnsi="Times New Roman"/>
                <w:bCs/>
                <w:sz w:val="24"/>
                <w:szCs w:val="24"/>
              </w:rPr>
            </w:pPr>
            <w:r w:rsidRPr="00CE10DF">
              <w:rPr>
                <w:rFonts w:ascii="Times New Roman" w:eastAsia="Calibri" w:hAnsi="Times New Roman"/>
                <w:bCs/>
                <w:sz w:val="24"/>
                <w:szCs w:val="24"/>
              </w:rPr>
              <w:t>Картофель</w:t>
            </w:r>
          </w:p>
        </w:tc>
        <w:tc>
          <w:tcPr>
            <w:tcW w:w="992" w:type="dxa"/>
            <w:tcBorders>
              <w:top w:val="single" w:sz="4" w:space="0" w:color="auto"/>
              <w:left w:val="nil"/>
              <w:bottom w:val="single" w:sz="4" w:space="0" w:color="auto"/>
              <w:right w:val="single" w:sz="4" w:space="0" w:color="auto"/>
            </w:tcBorders>
            <w:vAlign w:val="center"/>
            <w:hideMark/>
          </w:tcPr>
          <w:p w14:paraId="4B3DB805"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7,6</w:t>
            </w:r>
          </w:p>
        </w:tc>
        <w:tc>
          <w:tcPr>
            <w:tcW w:w="1134" w:type="dxa"/>
            <w:tcBorders>
              <w:top w:val="single" w:sz="4" w:space="0" w:color="auto"/>
              <w:left w:val="nil"/>
              <w:bottom w:val="single" w:sz="4" w:space="0" w:color="auto"/>
              <w:right w:val="single" w:sz="4" w:space="0" w:color="auto"/>
            </w:tcBorders>
            <w:vAlign w:val="center"/>
            <w:hideMark/>
          </w:tcPr>
          <w:p w14:paraId="19C979C0"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8,0</w:t>
            </w:r>
          </w:p>
        </w:tc>
        <w:tc>
          <w:tcPr>
            <w:tcW w:w="1276" w:type="dxa"/>
            <w:tcBorders>
              <w:top w:val="single" w:sz="4" w:space="0" w:color="auto"/>
              <w:left w:val="nil"/>
              <w:bottom w:val="single" w:sz="4" w:space="0" w:color="auto"/>
              <w:right w:val="single" w:sz="4" w:space="0" w:color="auto"/>
            </w:tcBorders>
            <w:vAlign w:val="center"/>
            <w:hideMark/>
          </w:tcPr>
          <w:p w14:paraId="61507DBC"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105,8</w:t>
            </w:r>
          </w:p>
        </w:tc>
        <w:tc>
          <w:tcPr>
            <w:tcW w:w="992" w:type="dxa"/>
            <w:tcBorders>
              <w:top w:val="single" w:sz="4" w:space="0" w:color="auto"/>
              <w:left w:val="nil"/>
              <w:bottom w:val="single" w:sz="4" w:space="0" w:color="auto"/>
              <w:right w:val="single" w:sz="4" w:space="0" w:color="auto"/>
            </w:tcBorders>
            <w:vAlign w:val="center"/>
            <w:hideMark/>
          </w:tcPr>
          <w:p w14:paraId="67F47DF8"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289,6</w:t>
            </w:r>
          </w:p>
        </w:tc>
        <w:tc>
          <w:tcPr>
            <w:tcW w:w="992" w:type="dxa"/>
            <w:tcBorders>
              <w:top w:val="single" w:sz="4" w:space="0" w:color="auto"/>
              <w:left w:val="nil"/>
              <w:bottom w:val="single" w:sz="4" w:space="0" w:color="auto"/>
              <w:right w:val="single" w:sz="4" w:space="0" w:color="auto"/>
            </w:tcBorders>
            <w:vAlign w:val="center"/>
            <w:hideMark/>
          </w:tcPr>
          <w:p w14:paraId="299189C8"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234,3</w:t>
            </w:r>
          </w:p>
        </w:tc>
        <w:tc>
          <w:tcPr>
            <w:tcW w:w="1165" w:type="dxa"/>
            <w:tcBorders>
              <w:top w:val="single" w:sz="4" w:space="0" w:color="auto"/>
              <w:left w:val="nil"/>
              <w:bottom w:val="single" w:sz="4" w:space="0" w:color="auto"/>
              <w:right w:val="single" w:sz="4" w:space="0" w:color="auto"/>
            </w:tcBorders>
            <w:noWrap/>
            <w:vAlign w:val="center"/>
            <w:hideMark/>
          </w:tcPr>
          <w:p w14:paraId="4F5F8CB4"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80,9</w:t>
            </w:r>
          </w:p>
        </w:tc>
      </w:tr>
      <w:tr w:rsidR="002B169F" w:rsidRPr="00375059" w14:paraId="6ED0B13A" w14:textId="77777777" w:rsidTr="006E1D00">
        <w:trPr>
          <w:trHeight w:val="160"/>
        </w:trPr>
        <w:tc>
          <w:tcPr>
            <w:tcW w:w="2692" w:type="dxa"/>
            <w:tcBorders>
              <w:top w:val="single" w:sz="4" w:space="0" w:color="auto"/>
              <w:left w:val="single" w:sz="4" w:space="0" w:color="auto"/>
              <w:bottom w:val="single" w:sz="4" w:space="0" w:color="auto"/>
              <w:right w:val="single" w:sz="4" w:space="0" w:color="auto"/>
            </w:tcBorders>
            <w:vAlign w:val="center"/>
            <w:hideMark/>
          </w:tcPr>
          <w:p w14:paraId="35E0B256" w14:textId="77777777" w:rsidR="002B169F" w:rsidRPr="00CE10DF" w:rsidRDefault="002B169F">
            <w:pPr>
              <w:spacing w:after="0" w:line="240" w:lineRule="auto"/>
              <w:ind w:right="-108"/>
              <w:rPr>
                <w:rFonts w:ascii="Times New Roman" w:eastAsia="Calibri" w:hAnsi="Times New Roman"/>
                <w:iCs/>
                <w:sz w:val="24"/>
                <w:szCs w:val="24"/>
              </w:rPr>
            </w:pPr>
            <w:r w:rsidRPr="00CE10DF">
              <w:rPr>
                <w:rFonts w:ascii="Times New Roman" w:eastAsia="Calibri" w:hAnsi="Times New Roman"/>
                <w:iCs/>
                <w:sz w:val="24"/>
                <w:szCs w:val="24"/>
              </w:rPr>
              <w:t>Овощи открытого грунта</w:t>
            </w:r>
          </w:p>
        </w:tc>
        <w:tc>
          <w:tcPr>
            <w:tcW w:w="992" w:type="dxa"/>
            <w:tcBorders>
              <w:top w:val="single" w:sz="4" w:space="0" w:color="auto"/>
              <w:left w:val="nil"/>
              <w:bottom w:val="single" w:sz="4" w:space="0" w:color="auto"/>
              <w:right w:val="single" w:sz="4" w:space="0" w:color="auto"/>
            </w:tcBorders>
            <w:vAlign w:val="center"/>
            <w:hideMark/>
          </w:tcPr>
          <w:p w14:paraId="08264BE3"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46,2</w:t>
            </w:r>
          </w:p>
        </w:tc>
        <w:tc>
          <w:tcPr>
            <w:tcW w:w="1134" w:type="dxa"/>
            <w:tcBorders>
              <w:top w:val="single" w:sz="4" w:space="0" w:color="auto"/>
              <w:left w:val="nil"/>
              <w:bottom w:val="single" w:sz="4" w:space="0" w:color="auto"/>
              <w:right w:val="single" w:sz="4" w:space="0" w:color="auto"/>
            </w:tcBorders>
            <w:vAlign w:val="center"/>
            <w:hideMark/>
          </w:tcPr>
          <w:p w14:paraId="4039F13F"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34,7</w:t>
            </w:r>
          </w:p>
        </w:tc>
        <w:tc>
          <w:tcPr>
            <w:tcW w:w="1276" w:type="dxa"/>
            <w:tcBorders>
              <w:top w:val="single" w:sz="4" w:space="0" w:color="auto"/>
              <w:left w:val="nil"/>
              <w:bottom w:val="single" w:sz="4" w:space="0" w:color="auto"/>
              <w:right w:val="single" w:sz="4" w:space="0" w:color="auto"/>
            </w:tcBorders>
            <w:vAlign w:val="center"/>
            <w:hideMark/>
          </w:tcPr>
          <w:p w14:paraId="09E8D70E"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75,1</w:t>
            </w:r>
          </w:p>
        </w:tc>
        <w:tc>
          <w:tcPr>
            <w:tcW w:w="992" w:type="dxa"/>
            <w:tcBorders>
              <w:top w:val="single" w:sz="4" w:space="0" w:color="auto"/>
              <w:left w:val="nil"/>
              <w:bottom w:val="single" w:sz="4" w:space="0" w:color="auto"/>
              <w:right w:val="single" w:sz="4" w:space="0" w:color="auto"/>
            </w:tcBorders>
            <w:vAlign w:val="center"/>
            <w:hideMark/>
          </w:tcPr>
          <w:p w14:paraId="448EED68"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160,5</w:t>
            </w:r>
          </w:p>
        </w:tc>
        <w:tc>
          <w:tcPr>
            <w:tcW w:w="992" w:type="dxa"/>
            <w:tcBorders>
              <w:top w:val="single" w:sz="4" w:space="0" w:color="auto"/>
              <w:left w:val="nil"/>
              <w:bottom w:val="single" w:sz="4" w:space="0" w:color="auto"/>
              <w:right w:val="single" w:sz="4" w:space="0" w:color="auto"/>
            </w:tcBorders>
            <w:vAlign w:val="center"/>
            <w:hideMark/>
          </w:tcPr>
          <w:p w14:paraId="3A3686E6"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151,2</w:t>
            </w:r>
          </w:p>
        </w:tc>
        <w:tc>
          <w:tcPr>
            <w:tcW w:w="1165" w:type="dxa"/>
            <w:tcBorders>
              <w:top w:val="single" w:sz="4" w:space="0" w:color="auto"/>
              <w:left w:val="nil"/>
              <w:bottom w:val="single" w:sz="4" w:space="0" w:color="auto"/>
              <w:right w:val="single" w:sz="4" w:space="0" w:color="auto"/>
            </w:tcBorders>
            <w:vAlign w:val="center"/>
            <w:hideMark/>
          </w:tcPr>
          <w:p w14:paraId="58E1F068"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94,2</w:t>
            </w:r>
          </w:p>
        </w:tc>
      </w:tr>
      <w:tr w:rsidR="002B169F" w:rsidRPr="00375059" w14:paraId="3D92E1F0" w14:textId="77777777" w:rsidTr="006E1D00">
        <w:trPr>
          <w:trHeight w:val="92"/>
        </w:trPr>
        <w:tc>
          <w:tcPr>
            <w:tcW w:w="2692" w:type="dxa"/>
            <w:tcBorders>
              <w:top w:val="single" w:sz="4" w:space="0" w:color="auto"/>
              <w:left w:val="single" w:sz="4" w:space="0" w:color="auto"/>
              <w:bottom w:val="single" w:sz="4" w:space="0" w:color="auto"/>
              <w:right w:val="single" w:sz="4" w:space="0" w:color="auto"/>
            </w:tcBorders>
            <w:hideMark/>
          </w:tcPr>
          <w:p w14:paraId="572BEA0A" w14:textId="77777777" w:rsidR="002B169F" w:rsidRPr="00CE10DF" w:rsidRDefault="002B169F">
            <w:pPr>
              <w:spacing w:after="0" w:line="240" w:lineRule="auto"/>
              <w:ind w:right="-108"/>
              <w:rPr>
                <w:rFonts w:ascii="Times New Roman" w:eastAsia="Calibri" w:hAnsi="Times New Roman"/>
                <w:iCs/>
                <w:sz w:val="24"/>
                <w:szCs w:val="24"/>
              </w:rPr>
            </w:pPr>
            <w:r w:rsidRPr="00CE10DF">
              <w:rPr>
                <w:rFonts w:ascii="Times New Roman" w:eastAsia="Calibri" w:hAnsi="Times New Roman"/>
                <w:iCs/>
                <w:sz w:val="24"/>
                <w:szCs w:val="24"/>
              </w:rPr>
              <w:t>Плоды</w:t>
            </w:r>
          </w:p>
        </w:tc>
        <w:tc>
          <w:tcPr>
            <w:tcW w:w="992" w:type="dxa"/>
            <w:tcBorders>
              <w:top w:val="single" w:sz="4" w:space="0" w:color="auto"/>
              <w:left w:val="nil"/>
              <w:bottom w:val="single" w:sz="4" w:space="0" w:color="auto"/>
              <w:right w:val="single" w:sz="4" w:space="0" w:color="auto"/>
            </w:tcBorders>
            <w:vAlign w:val="center"/>
            <w:hideMark/>
          </w:tcPr>
          <w:p w14:paraId="4ABE7818"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11,5</w:t>
            </w:r>
          </w:p>
        </w:tc>
        <w:tc>
          <w:tcPr>
            <w:tcW w:w="1134" w:type="dxa"/>
            <w:tcBorders>
              <w:top w:val="single" w:sz="4" w:space="0" w:color="auto"/>
              <w:left w:val="nil"/>
              <w:bottom w:val="single" w:sz="4" w:space="0" w:color="auto"/>
              <w:right w:val="single" w:sz="4" w:space="0" w:color="auto"/>
            </w:tcBorders>
            <w:vAlign w:val="center"/>
            <w:hideMark/>
          </w:tcPr>
          <w:p w14:paraId="0812113B"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18,5</w:t>
            </w:r>
          </w:p>
        </w:tc>
        <w:tc>
          <w:tcPr>
            <w:tcW w:w="1276" w:type="dxa"/>
            <w:tcBorders>
              <w:top w:val="single" w:sz="4" w:space="0" w:color="auto"/>
              <w:left w:val="nil"/>
              <w:bottom w:val="single" w:sz="4" w:space="0" w:color="auto"/>
              <w:right w:val="single" w:sz="4" w:space="0" w:color="auto"/>
            </w:tcBorders>
            <w:vAlign w:val="center"/>
            <w:hideMark/>
          </w:tcPr>
          <w:p w14:paraId="382BB61D"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161,0</w:t>
            </w:r>
          </w:p>
        </w:tc>
        <w:tc>
          <w:tcPr>
            <w:tcW w:w="992" w:type="dxa"/>
            <w:tcBorders>
              <w:top w:val="single" w:sz="4" w:space="0" w:color="auto"/>
              <w:left w:val="nil"/>
              <w:bottom w:val="single" w:sz="4" w:space="0" w:color="auto"/>
              <w:right w:val="single" w:sz="4" w:space="0" w:color="auto"/>
            </w:tcBorders>
            <w:vAlign w:val="center"/>
            <w:hideMark/>
          </w:tcPr>
          <w:p w14:paraId="7FF63A6B" w14:textId="77777777" w:rsidR="002B169F" w:rsidRPr="00CE10DF" w:rsidRDefault="002B169F" w:rsidP="009952C8">
            <w:pPr>
              <w:spacing w:after="0" w:line="240" w:lineRule="auto"/>
              <w:ind w:left="-108"/>
              <w:jc w:val="right"/>
              <w:rPr>
                <w:rFonts w:ascii="Times New Roman" w:hAnsi="Times New Roman"/>
                <w:sz w:val="24"/>
                <w:szCs w:val="24"/>
              </w:rPr>
            </w:pPr>
            <w:r w:rsidRPr="00CE10DF">
              <w:rPr>
                <w:rFonts w:ascii="Times New Roman" w:hAnsi="Times New Roman"/>
                <w:sz w:val="24"/>
                <w:szCs w:val="24"/>
              </w:rPr>
              <w:t>51,8**</w:t>
            </w:r>
          </w:p>
        </w:tc>
        <w:tc>
          <w:tcPr>
            <w:tcW w:w="992" w:type="dxa"/>
            <w:tcBorders>
              <w:top w:val="single" w:sz="4" w:space="0" w:color="auto"/>
              <w:left w:val="nil"/>
              <w:bottom w:val="single" w:sz="4" w:space="0" w:color="auto"/>
              <w:right w:val="single" w:sz="4" w:space="0" w:color="auto"/>
            </w:tcBorders>
            <w:vAlign w:val="center"/>
            <w:hideMark/>
          </w:tcPr>
          <w:p w14:paraId="242C0A71" w14:textId="77777777" w:rsidR="002B169F" w:rsidRPr="00CE10DF" w:rsidRDefault="002B169F" w:rsidP="009952C8">
            <w:pPr>
              <w:spacing w:after="0" w:line="240" w:lineRule="auto"/>
              <w:ind w:left="-108"/>
              <w:jc w:val="right"/>
              <w:rPr>
                <w:rFonts w:ascii="Times New Roman" w:hAnsi="Times New Roman"/>
                <w:sz w:val="24"/>
                <w:szCs w:val="24"/>
              </w:rPr>
            </w:pPr>
            <w:r w:rsidRPr="00CE10DF">
              <w:rPr>
                <w:rFonts w:ascii="Times New Roman" w:hAnsi="Times New Roman"/>
                <w:sz w:val="24"/>
                <w:szCs w:val="24"/>
              </w:rPr>
              <w:t>75,6**</w:t>
            </w:r>
          </w:p>
        </w:tc>
        <w:tc>
          <w:tcPr>
            <w:tcW w:w="1165" w:type="dxa"/>
            <w:tcBorders>
              <w:top w:val="single" w:sz="4" w:space="0" w:color="auto"/>
              <w:left w:val="nil"/>
              <w:bottom w:val="single" w:sz="4" w:space="0" w:color="auto"/>
              <w:right w:val="single" w:sz="4" w:space="0" w:color="auto"/>
            </w:tcBorders>
            <w:vAlign w:val="center"/>
            <w:hideMark/>
          </w:tcPr>
          <w:p w14:paraId="4899565C"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145,9</w:t>
            </w:r>
          </w:p>
        </w:tc>
      </w:tr>
      <w:tr w:rsidR="002B169F" w:rsidRPr="00375059" w14:paraId="5E0A0BBD" w14:textId="77777777" w:rsidTr="006E1D00">
        <w:trPr>
          <w:trHeight w:val="70"/>
        </w:trPr>
        <w:tc>
          <w:tcPr>
            <w:tcW w:w="2692" w:type="dxa"/>
            <w:tcBorders>
              <w:top w:val="single" w:sz="4" w:space="0" w:color="auto"/>
              <w:left w:val="single" w:sz="4" w:space="0" w:color="auto"/>
              <w:bottom w:val="single" w:sz="4" w:space="0" w:color="auto"/>
              <w:right w:val="single" w:sz="4" w:space="0" w:color="auto"/>
            </w:tcBorders>
            <w:hideMark/>
          </w:tcPr>
          <w:p w14:paraId="46F277D9" w14:textId="77777777" w:rsidR="002B169F" w:rsidRPr="00CE10DF" w:rsidRDefault="002B169F">
            <w:pPr>
              <w:spacing w:after="0" w:line="240" w:lineRule="auto"/>
              <w:ind w:right="-108"/>
              <w:rPr>
                <w:rFonts w:ascii="Times New Roman" w:eastAsia="Calibri" w:hAnsi="Times New Roman"/>
                <w:iCs/>
                <w:sz w:val="24"/>
                <w:szCs w:val="24"/>
              </w:rPr>
            </w:pPr>
            <w:r w:rsidRPr="00CE10DF">
              <w:rPr>
                <w:rFonts w:ascii="Times New Roman" w:eastAsia="Calibri" w:hAnsi="Times New Roman"/>
                <w:iCs/>
                <w:sz w:val="24"/>
                <w:szCs w:val="24"/>
              </w:rPr>
              <w:t>Виноград</w:t>
            </w:r>
          </w:p>
        </w:tc>
        <w:tc>
          <w:tcPr>
            <w:tcW w:w="992" w:type="dxa"/>
            <w:tcBorders>
              <w:top w:val="single" w:sz="4" w:space="0" w:color="auto"/>
              <w:left w:val="nil"/>
              <w:bottom w:val="single" w:sz="4" w:space="0" w:color="auto"/>
              <w:right w:val="single" w:sz="4" w:space="0" w:color="auto"/>
            </w:tcBorders>
            <w:vAlign w:val="center"/>
            <w:hideMark/>
          </w:tcPr>
          <w:p w14:paraId="5EEC9A7E"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9,4</w:t>
            </w:r>
          </w:p>
        </w:tc>
        <w:tc>
          <w:tcPr>
            <w:tcW w:w="1134" w:type="dxa"/>
            <w:tcBorders>
              <w:top w:val="single" w:sz="4" w:space="0" w:color="auto"/>
              <w:left w:val="nil"/>
              <w:bottom w:val="single" w:sz="4" w:space="0" w:color="auto"/>
              <w:right w:val="single" w:sz="4" w:space="0" w:color="auto"/>
            </w:tcBorders>
            <w:vAlign w:val="center"/>
            <w:hideMark/>
          </w:tcPr>
          <w:p w14:paraId="35EFCBBC"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22,1</w:t>
            </w:r>
          </w:p>
        </w:tc>
        <w:tc>
          <w:tcPr>
            <w:tcW w:w="1276" w:type="dxa"/>
            <w:tcBorders>
              <w:top w:val="single" w:sz="4" w:space="0" w:color="auto"/>
              <w:left w:val="nil"/>
              <w:bottom w:val="single" w:sz="4" w:space="0" w:color="auto"/>
              <w:right w:val="single" w:sz="4" w:space="0" w:color="auto"/>
            </w:tcBorders>
            <w:vAlign w:val="center"/>
            <w:hideMark/>
          </w:tcPr>
          <w:p w14:paraId="4B67BDB8"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234,2</w:t>
            </w:r>
          </w:p>
        </w:tc>
        <w:tc>
          <w:tcPr>
            <w:tcW w:w="992" w:type="dxa"/>
            <w:tcBorders>
              <w:top w:val="single" w:sz="4" w:space="0" w:color="auto"/>
              <w:left w:val="nil"/>
              <w:bottom w:val="single" w:sz="4" w:space="0" w:color="auto"/>
              <w:right w:val="single" w:sz="4" w:space="0" w:color="auto"/>
            </w:tcBorders>
            <w:vAlign w:val="center"/>
            <w:hideMark/>
          </w:tcPr>
          <w:p w14:paraId="65E60E30"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38,4**</w:t>
            </w:r>
          </w:p>
        </w:tc>
        <w:tc>
          <w:tcPr>
            <w:tcW w:w="992" w:type="dxa"/>
            <w:tcBorders>
              <w:top w:val="single" w:sz="4" w:space="0" w:color="auto"/>
              <w:left w:val="nil"/>
              <w:bottom w:val="single" w:sz="4" w:space="0" w:color="auto"/>
              <w:right w:val="single" w:sz="4" w:space="0" w:color="auto"/>
            </w:tcBorders>
            <w:vAlign w:val="center"/>
            <w:hideMark/>
          </w:tcPr>
          <w:p w14:paraId="45BB392E" w14:textId="77777777" w:rsidR="002B169F" w:rsidRPr="00CE10DF" w:rsidRDefault="002B169F" w:rsidP="009952C8">
            <w:pPr>
              <w:spacing w:after="0" w:line="240" w:lineRule="auto"/>
              <w:jc w:val="right"/>
              <w:rPr>
                <w:rFonts w:ascii="Times New Roman" w:hAnsi="Times New Roman"/>
                <w:sz w:val="24"/>
                <w:szCs w:val="24"/>
              </w:rPr>
            </w:pPr>
            <w:r w:rsidRPr="00CE10DF">
              <w:rPr>
                <w:rFonts w:ascii="Times New Roman" w:hAnsi="Times New Roman"/>
                <w:sz w:val="24"/>
                <w:szCs w:val="24"/>
              </w:rPr>
              <w:t>92,4**</w:t>
            </w:r>
          </w:p>
        </w:tc>
        <w:tc>
          <w:tcPr>
            <w:tcW w:w="1165" w:type="dxa"/>
            <w:tcBorders>
              <w:top w:val="single" w:sz="4" w:space="0" w:color="auto"/>
              <w:left w:val="nil"/>
              <w:bottom w:val="single" w:sz="4" w:space="0" w:color="auto"/>
              <w:right w:val="single" w:sz="4" w:space="0" w:color="auto"/>
            </w:tcBorders>
            <w:vAlign w:val="center"/>
            <w:hideMark/>
          </w:tcPr>
          <w:p w14:paraId="3A8D6936" w14:textId="77777777" w:rsidR="002B169F" w:rsidRPr="00CE10DF" w:rsidRDefault="002B169F" w:rsidP="009952C8">
            <w:pPr>
              <w:spacing w:after="0" w:line="240" w:lineRule="auto"/>
              <w:jc w:val="right"/>
              <w:rPr>
                <w:rFonts w:ascii="Times New Roman" w:hAnsi="Times New Roman"/>
                <w:color w:val="000000"/>
                <w:sz w:val="24"/>
                <w:szCs w:val="24"/>
              </w:rPr>
            </w:pPr>
            <w:r w:rsidRPr="00CE10DF">
              <w:rPr>
                <w:rFonts w:ascii="Times New Roman" w:hAnsi="Times New Roman"/>
                <w:color w:val="000000"/>
                <w:sz w:val="24"/>
                <w:szCs w:val="24"/>
              </w:rPr>
              <w:t>240,6</w:t>
            </w:r>
          </w:p>
        </w:tc>
      </w:tr>
    </w:tbl>
    <w:p w14:paraId="42714AAB" w14:textId="77777777" w:rsidR="002B169F" w:rsidRPr="00375059" w:rsidRDefault="002B169F" w:rsidP="002B169F">
      <w:pPr>
        <w:tabs>
          <w:tab w:val="left" w:pos="7020"/>
          <w:tab w:val="left" w:pos="8460"/>
        </w:tabs>
        <w:spacing w:after="0" w:line="240" w:lineRule="auto"/>
        <w:rPr>
          <w:rFonts w:ascii="Times New Roman" w:eastAsia="Calibri" w:hAnsi="Times New Roman"/>
        </w:rPr>
      </w:pPr>
      <w:r w:rsidRPr="00375059">
        <w:rPr>
          <w:rFonts w:ascii="Times New Roman" w:eastAsia="Calibri" w:hAnsi="Times New Roman"/>
        </w:rPr>
        <w:t xml:space="preserve"> *- средняя урожайность, ц/га с уборочной площади;</w:t>
      </w:r>
    </w:p>
    <w:p w14:paraId="0F4A6960" w14:textId="77777777" w:rsidR="002B169F" w:rsidRPr="00375059" w:rsidRDefault="002B169F" w:rsidP="002B169F">
      <w:pPr>
        <w:tabs>
          <w:tab w:val="left" w:pos="8460"/>
        </w:tabs>
        <w:spacing w:after="0"/>
        <w:ind w:left="-567" w:firstLine="567"/>
        <w:rPr>
          <w:rFonts w:ascii="Times New Roman" w:eastAsia="Calibri" w:hAnsi="Times New Roman"/>
        </w:rPr>
      </w:pPr>
      <w:r w:rsidRPr="00375059">
        <w:rPr>
          <w:rFonts w:ascii="Times New Roman" w:eastAsia="Calibri" w:hAnsi="Times New Roman"/>
        </w:rPr>
        <w:t xml:space="preserve"> **- средняя урожайность, ц/га с площади в плодоносящем возрасте </w:t>
      </w:r>
    </w:p>
    <w:p w14:paraId="34B946E4" w14:textId="77777777" w:rsidR="002B169F" w:rsidRPr="00375059" w:rsidRDefault="002B169F" w:rsidP="001463C8">
      <w:pPr>
        <w:suppressAutoHyphen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Валовой сбор зерновых и зернобобовых культур первой группы на фоне роста средней урожайности в 2,9 раза </w:t>
      </w:r>
      <w:r w:rsidRPr="00375059">
        <w:rPr>
          <w:rFonts w:ascii="Times New Roman" w:hAnsi="Times New Roman"/>
          <w:color w:val="000000"/>
          <w:sz w:val="28"/>
          <w:szCs w:val="28"/>
        </w:rPr>
        <w:t>(51,6 ц/га против 18,0 ц/га в 2020 году)</w:t>
      </w:r>
      <w:r w:rsidRPr="00375059">
        <w:rPr>
          <w:rFonts w:ascii="Times New Roman" w:hAnsi="Times New Roman"/>
          <w:sz w:val="28"/>
          <w:szCs w:val="28"/>
        </w:rPr>
        <w:t xml:space="preserve"> составил 676,8 тыс. тонн против 133,6 тыс. тонн в 2020 году, в том числе озимой пшеницы – 384,7 тыс. тонн против 81,3 тыс. тонн в 2020 году. Кукурузы на зерно собрано в 6,0 раз больше (216,1 тыс. тонн). Подсолнечника при росте урожайности в 2,2 раза собрано 123,9 тыс. тонн (рост в 2,3 раза относительно 2020 года).</w:t>
      </w:r>
    </w:p>
    <w:p w14:paraId="42E16973" w14:textId="025EB173"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Овощных культур в целом было собрано 34,7 тыс. тонн (-24,9%). При этом валовой сбор зеленого горошка составил 3,0 тыс. тонн, сократившись на </w:t>
      </w:r>
      <w:r w:rsidRPr="00375059">
        <w:rPr>
          <w:rFonts w:ascii="Times New Roman" w:hAnsi="Times New Roman"/>
          <w:color w:val="000000"/>
          <w:sz w:val="28"/>
          <w:szCs w:val="28"/>
        </w:rPr>
        <w:t xml:space="preserve">11,8% к уровню 2020 года, а </w:t>
      </w:r>
      <w:r w:rsidRPr="00375059">
        <w:rPr>
          <w:rFonts w:ascii="Times New Roman" w:hAnsi="Times New Roman"/>
          <w:sz w:val="28"/>
          <w:szCs w:val="28"/>
        </w:rPr>
        <w:t>сахарной кукурузы 17,6 тыс. тонн (-29,6% к уровню 2020 года), часть которой поступила на заморозку, как в початках, так и в зерне, а часть – на консервирование. Несмотря на снижение урожайности (-19,1%), картофеля собрано в отчетном периоде больше (8,0 тыс. тонн против 7,6 тыс. тонн в 2020 году).</w:t>
      </w:r>
    </w:p>
    <w:p w14:paraId="5C974BB3"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Плодов собрано 18,5 тыс. тонн, в том числе косточковых 7,3 тыс. тонн, семечковых 11,2 тыс. тонн. Винограда убрано 22,1 тыс. тонн. Несмотря на рост объемов собранной продукции по сравнению с 2020 годом, сельскохозяйственными производителями отмечен недобор урожая по отношению к запланированной величине на фоне затяжной весны с осадками во время цветения, что препятствовало формированию завязи, а также ливневых дождей и града, вследствие которых была повреждена часть плодов многолетних насаждений.</w:t>
      </w:r>
    </w:p>
    <w:p w14:paraId="333FF396" w14:textId="6777FB39" w:rsidR="002B169F" w:rsidRPr="00375059" w:rsidRDefault="002B169F" w:rsidP="001463C8">
      <w:pPr>
        <w:spacing w:after="0" w:line="240" w:lineRule="auto"/>
        <w:ind w:firstLine="567"/>
        <w:jc w:val="both"/>
        <w:rPr>
          <w:rFonts w:ascii="Times New Roman" w:hAnsi="Times New Roman"/>
          <w:sz w:val="28"/>
          <w:szCs w:val="28"/>
          <w:lang w:eastAsia="en-US"/>
        </w:rPr>
      </w:pPr>
      <w:r w:rsidRPr="00375059">
        <w:rPr>
          <w:rFonts w:ascii="Times New Roman" w:hAnsi="Times New Roman"/>
          <w:sz w:val="28"/>
          <w:szCs w:val="28"/>
          <w:lang w:eastAsia="en-US"/>
        </w:rPr>
        <w:t xml:space="preserve">С учетом обильных весенних дождей необходимость в подаче воды на цели орошения со стороны ГУП «Республиканские оросительные системы» возникла только к третьей декаде апреля 2021 года. По итогам года объемы </w:t>
      </w:r>
      <w:r w:rsidRPr="00375059">
        <w:rPr>
          <w:rFonts w:ascii="Times New Roman" w:hAnsi="Times New Roman"/>
          <w:sz w:val="28"/>
          <w:szCs w:val="28"/>
          <w:lang w:eastAsia="en-US"/>
        </w:rPr>
        <w:lastRenderedPageBreak/>
        <w:t>поданной воды сократились практически в 2,5 раза от факта 2020 года (19,6</w:t>
      </w:r>
      <w:r w:rsidR="001C04ED" w:rsidRPr="00375059">
        <w:rPr>
          <w:rFonts w:ascii="Times New Roman" w:hAnsi="Times New Roman"/>
          <w:sz w:val="28"/>
          <w:szCs w:val="28"/>
          <w:lang w:eastAsia="en-US"/>
        </w:rPr>
        <w:t> </w:t>
      </w:r>
      <w:r w:rsidRPr="00375059">
        <w:rPr>
          <w:rFonts w:ascii="Times New Roman" w:hAnsi="Times New Roman"/>
          <w:sz w:val="28"/>
          <w:szCs w:val="28"/>
          <w:lang w:eastAsia="en-US"/>
        </w:rPr>
        <w:t>млн куб.</w:t>
      </w:r>
      <w:r w:rsidR="00481EB4" w:rsidRPr="00375059">
        <w:rPr>
          <w:rFonts w:ascii="Times New Roman" w:hAnsi="Times New Roman"/>
          <w:sz w:val="28"/>
          <w:szCs w:val="28"/>
          <w:lang w:eastAsia="en-US"/>
        </w:rPr>
        <w:t xml:space="preserve"> </w:t>
      </w:r>
      <w:r w:rsidRPr="00375059">
        <w:rPr>
          <w:rFonts w:ascii="Times New Roman" w:hAnsi="Times New Roman"/>
          <w:sz w:val="28"/>
          <w:szCs w:val="28"/>
          <w:lang w:eastAsia="en-US"/>
        </w:rPr>
        <w:t>м против 49 млн куб.</w:t>
      </w:r>
      <w:r w:rsidR="00481EB4" w:rsidRPr="00375059">
        <w:rPr>
          <w:rFonts w:ascii="Times New Roman" w:hAnsi="Times New Roman"/>
          <w:sz w:val="28"/>
          <w:szCs w:val="28"/>
          <w:lang w:eastAsia="en-US"/>
        </w:rPr>
        <w:t xml:space="preserve"> </w:t>
      </w:r>
      <w:r w:rsidRPr="00375059">
        <w:rPr>
          <w:rFonts w:ascii="Times New Roman" w:hAnsi="Times New Roman"/>
          <w:sz w:val="28"/>
          <w:szCs w:val="28"/>
          <w:lang w:eastAsia="en-US"/>
        </w:rPr>
        <w:t>м годом ранее). Для сохранения тарифа на полив на уровне 2020 года (0,70 руб. за 1 куб.</w:t>
      </w:r>
      <w:r w:rsidR="00481EB4" w:rsidRPr="00375059">
        <w:rPr>
          <w:rFonts w:ascii="Times New Roman" w:hAnsi="Times New Roman"/>
          <w:sz w:val="28"/>
          <w:szCs w:val="28"/>
          <w:lang w:eastAsia="en-US"/>
        </w:rPr>
        <w:t xml:space="preserve"> </w:t>
      </w:r>
      <w:r w:rsidRPr="00375059">
        <w:rPr>
          <w:rFonts w:ascii="Times New Roman" w:hAnsi="Times New Roman"/>
          <w:sz w:val="28"/>
          <w:szCs w:val="28"/>
          <w:lang w:eastAsia="en-US"/>
        </w:rPr>
        <w:t>м) сумма средств, направленных на покрытие убытков государственных предприятий мелиоративного комплекса, связанных с установлением тарифа на услуги на уровне, не обеспечивающем покрытие экономически обоснованных затрат и получение обоснованной прибыли (рентабельности), составила 19,2 млн руб.</w:t>
      </w:r>
    </w:p>
    <w:p w14:paraId="10C14D40" w14:textId="62F8CAC1" w:rsidR="000A128E" w:rsidRPr="000A128E" w:rsidRDefault="000A128E" w:rsidP="000A128E">
      <w:pPr>
        <w:spacing w:after="0" w:line="240" w:lineRule="auto"/>
        <w:ind w:firstLine="567"/>
        <w:jc w:val="both"/>
        <w:rPr>
          <w:rFonts w:ascii="Times New Roman" w:hAnsi="Times New Roman"/>
          <w:bCs/>
          <w:color w:val="000000"/>
          <w:sz w:val="28"/>
          <w:szCs w:val="28"/>
          <w:lang w:eastAsia="en-US"/>
        </w:rPr>
      </w:pPr>
      <w:r w:rsidRPr="000A128E">
        <w:rPr>
          <w:rFonts w:ascii="Times New Roman" w:hAnsi="Times New Roman"/>
          <w:bCs/>
          <w:color w:val="000000"/>
          <w:sz w:val="28"/>
          <w:szCs w:val="28"/>
          <w:lang w:eastAsia="en-US"/>
        </w:rPr>
        <w:t>Благодаря приобретению хозяйствующими субъектами поливной техники и налаживани</w:t>
      </w:r>
      <w:r>
        <w:rPr>
          <w:rFonts w:ascii="Times New Roman" w:hAnsi="Times New Roman"/>
          <w:bCs/>
          <w:color w:val="000000"/>
          <w:sz w:val="28"/>
          <w:szCs w:val="28"/>
          <w:lang w:eastAsia="en-US"/>
        </w:rPr>
        <w:t>ю</w:t>
      </w:r>
      <w:r w:rsidRPr="000A128E">
        <w:rPr>
          <w:rFonts w:ascii="Times New Roman" w:hAnsi="Times New Roman"/>
          <w:bCs/>
          <w:color w:val="000000"/>
          <w:sz w:val="28"/>
          <w:szCs w:val="28"/>
          <w:lang w:eastAsia="en-US"/>
        </w:rPr>
        <w:t xml:space="preserve"> оросительных систем за счет льготных кредитов, развитию государством мелиоративного комплекса республики, </w:t>
      </w:r>
      <w:r>
        <w:rPr>
          <w:rFonts w:ascii="Times New Roman" w:hAnsi="Times New Roman"/>
          <w:bCs/>
          <w:color w:val="000000"/>
          <w:sz w:val="28"/>
          <w:szCs w:val="28"/>
          <w:lang w:eastAsia="en-US"/>
        </w:rPr>
        <w:t xml:space="preserve">в 2021 году </w:t>
      </w:r>
      <w:r w:rsidRPr="000A128E">
        <w:rPr>
          <w:rFonts w:ascii="Times New Roman" w:hAnsi="Times New Roman"/>
          <w:bCs/>
          <w:color w:val="000000"/>
          <w:sz w:val="28"/>
          <w:szCs w:val="28"/>
          <w:lang w:eastAsia="en-US"/>
        </w:rPr>
        <w:t xml:space="preserve">выросло количество задействованных в поливе насосных станций до 57 единиц, орошаемая площадь </w:t>
      </w:r>
      <w:r>
        <w:rPr>
          <w:rFonts w:ascii="Times New Roman" w:hAnsi="Times New Roman"/>
          <w:bCs/>
          <w:color w:val="000000"/>
          <w:sz w:val="28"/>
          <w:szCs w:val="28"/>
          <w:lang w:eastAsia="en-US"/>
        </w:rPr>
        <w:t xml:space="preserve">расширилась </w:t>
      </w:r>
      <w:r w:rsidRPr="000A128E">
        <w:rPr>
          <w:rFonts w:ascii="Times New Roman" w:hAnsi="Times New Roman"/>
          <w:bCs/>
          <w:color w:val="000000"/>
          <w:sz w:val="28"/>
          <w:szCs w:val="28"/>
          <w:lang w:eastAsia="en-US"/>
        </w:rPr>
        <w:t xml:space="preserve">до 23,5 </w:t>
      </w:r>
      <w:proofErr w:type="spellStart"/>
      <w:r w:rsidRPr="000A128E">
        <w:rPr>
          <w:rFonts w:ascii="Times New Roman" w:hAnsi="Times New Roman"/>
          <w:bCs/>
          <w:color w:val="000000"/>
          <w:sz w:val="28"/>
          <w:szCs w:val="28"/>
          <w:lang w:eastAsia="en-US"/>
        </w:rPr>
        <w:t>тыс.га</w:t>
      </w:r>
      <w:proofErr w:type="spellEnd"/>
      <w:r w:rsidRPr="000A128E">
        <w:rPr>
          <w:rFonts w:ascii="Times New Roman" w:hAnsi="Times New Roman"/>
          <w:bCs/>
          <w:color w:val="000000"/>
          <w:sz w:val="28"/>
          <w:szCs w:val="28"/>
          <w:lang w:eastAsia="en-US"/>
        </w:rPr>
        <w:t>.</w:t>
      </w:r>
    </w:p>
    <w:p w14:paraId="6A608BD2" w14:textId="1FB256B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рамках подготовки оборудования и гидротехнических сооружений к поливному сезону 2021 года было заключено 24 контракта суммарной стоимостью 2,0 млн руб. (фактический объем финансирования 1,9 млн руб.) на</w:t>
      </w:r>
      <w:r w:rsidR="00481EB4" w:rsidRPr="00375059">
        <w:rPr>
          <w:rFonts w:ascii="Times New Roman" w:hAnsi="Times New Roman"/>
          <w:sz w:val="28"/>
          <w:szCs w:val="28"/>
        </w:rPr>
        <w:t xml:space="preserve"> следующие цели</w:t>
      </w:r>
      <w:r w:rsidRPr="00375059">
        <w:rPr>
          <w:rFonts w:ascii="Times New Roman" w:hAnsi="Times New Roman"/>
          <w:sz w:val="28"/>
          <w:szCs w:val="28"/>
        </w:rPr>
        <w:t>:</w:t>
      </w:r>
    </w:p>
    <w:p w14:paraId="14E0D806" w14:textId="754364C7" w:rsidR="002B169F" w:rsidRPr="00375059" w:rsidRDefault="00481EB4"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пусконаладочные работы;</w:t>
      </w:r>
    </w:p>
    <w:p w14:paraId="10CC24C4" w14:textId="53F53C41" w:rsidR="002B169F" w:rsidRPr="00375059" w:rsidRDefault="00481EB4"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 </w:t>
      </w:r>
      <w:r w:rsidR="002B169F" w:rsidRPr="00375059">
        <w:rPr>
          <w:rFonts w:ascii="Times New Roman" w:hAnsi="Times New Roman"/>
          <w:sz w:val="28"/>
          <w:szCs w:val="28"/>
        </w:rPr>
        <w:t>выполнение работ по инфраструктурным объектам;</w:t>
      </w:r>
    </w:p>
    <w:p w14:paraId="02AB2ABB" w14:textId="2C88927F" w:rsidR="002B169F" w:rsidRPr="00375059" w:rsidRDefault="00481EB4"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 </w:t>
      </w:r>
      <w:r w:rsidR="002B169F" w:rsidRPr="00375059">
        <w:rPr>
          <w:rFonts w:ascii="Times New Roman" w:hAnsi="Times New Roman"/>
          <w:sz w:val="28"/>
          <w:szCs w:val="28"/>
        </w:rPr>
        <w:t>капитальный ремонт и приобретение электродвигателей;</w:t>
      </w:r>
    </w:p>
    <w:p w14:paraId="7B92EBE5" w14:textId="41D697F2" w:rsidR="002B169F" w:rsidRPr="00375059" w:rsidRDefault="00481EB4"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монтаж напорного трубопровода;</w:t>
      </w:r>
    </w:p>
    <w:p w14:paraId="4E70B797" w14:textId="2A0E10C9" w:rsidR="002B169F" w:rsidRPr="00375059" w:rsidRDefault="00481EB4"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устранение порыва по напорному трубопроводу; </w:t>
      </w:r>
    </w:p>
    <w:p w14:paraId="553FEEF3" w14:textId="4E38FB01" w:rsidR="002B169F" w:rsidRPr="00375059" w:rsidRDefault="00481EB4"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закупка необходимого оборудования и т.д.</w:t>
      </w:r>
    </w:p>
    <w:p w14:paraId="10BECAFA" w14:textId="5832E532"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Также за счет средств Фонда развития мелиоративного комплекса были выполнены работы по ремонту инфраструктуры и демонтажу трубопровода протяженностью 6 тыс. м от </w:t>
      </w:r>
      <w:proofErr w:type="spellStart"/>
      <w:r w:rsidRPr="00375059">
        <w:rPr>
          <w:rFonts w:ascii="Times New Roman" w:hAnsi="Times New Roman"/>
          <w:sz w:val="28"/>
          <w:szCs w:val="28"/>
        </w:rPr>
        <w:t>Суклейской</w:t>
      </w:r>
      <w:proofErr w:type="spellEnd"/>
      <w:r w:rsidRPr="00375059">
        <w:rPr>
          <w:rFonts w:ascii="Times New Roman" w:hAnsi="Times New Roman"/>
          <w:sz w:val="28"/>
          <w:szCs w:val="28"/>
        </w:rPr>
        <w:t xml:space="preserve"> насосной плавучей станции, </w:t>
      </w:r>
      <w:r w:rsidR="00481EB4" w:rsidRPr="00375059">
        <w:rPr>
          <w:rFonts w:ascii="Times New Roman" w:hAnsi="Times New Roman"/>
          <w:sz w:val="28"/>
          <w:szCs w:val="28"/>
        </w:rPr>
        <w:br/>
      </w:r>
      <w:r w:rsidRPr="00375059">
        <w:rPr>
          <w:rFonts w:ascii="Times New Roman" w:hAnsi="Times New Roman"/>
          <w:sz w:val="28"/>
          <w:szCs w:val="28"/>
        </w:rPr>
        <w:t>с последующим монтажом напорного трубопровода.</w:t>
      </w:r>
    </w:p>
    <w:p w14:paraId="027DA57A" w14:textId="6AC2B359" w:rsidR="002B169F" w:rsidRPr="00375059" w:rsidRDefault="0031710B" w:rsidP="001463C8">
      <w:pPr>
        <w:spacing w:after="0" w:line="240" w:lineRule="auto"/>
        <w:ind w:firstLine="567"/>
        <w:jc w:val="both"/>
        <w:rPr>
          <w:rFonts w:ascii="Times New Roman" w:hAnsi="Times New Roman"/>
          <w:sz w:val="28"/>
          <w:szCs w:val="28"/>
        </w:rPr>
      </w:pPr>
      <w:r>
        <w:rPr>
          <w:rFonts w:ascii="Times New Roman" w:hAnsi="Times New Roman"/>
          <w:sz w:val="28"/>
          <w:szCs w:val="28"/>
        </w:rPr>
        <w:t>В целом</w:t>
      </w:r>
      <w:r w:rsidR="002B169F" w:rsidRPr="00375059">
        <w:rPr>
          <w:rFonts w:ascii="Times New Roman" w:hAnsi="Times New Roman"/>
          <w:sz w:val="28"/>
          <w:szCs w:val="28"/>
        </w:rPr>
        <w:t xml:space="preserve"> завершены полностью работы на ГНС «</w:t>
      </w:r>
      <w:proofErr w:type="spellStart"/>
      <w:r w:rsidR="002B169F" w:rsidRPr="00375059">
        <w:rPr>
          <w:rFonts w:ascii="Times New Roman" w:hAnsi="Times New Roman"/>
          <w:sz w:val="28"/>
          <w:szCs w:val="28"/>
        </w:rPr>
        <w:t>Ташлык</w:t>
      </w:r>
      <w:proofErr w:type="spellEnd"/>
      <w:r w:rsidR="002B169F" w:rsidRPr="00375059">
        <w:rPr>
          <w:rFonts w:ascii="Times New Roman" w:hAnsi="Times New Roman"/>
          <w:sz w:val="28"/>
          <w:szCs w:val="28"/>
        </w:rPr>
        <w:t xml:space="preserve">» Григориопольского филиала (на сумму 980,1 тыс. руб.), НСП-5, НСП-6, </w:t>
      </w:r>
      <w:r w:rsidR="00481EB4" w:rsidRPr="00375059">
        <w:rPr>
          <w:rFonts w:ascii="Times New Roman" w:hAnsi="Times New Roman"/>
          <w:sz w:val="28"/>
          <w:szCs w:val="28"/>
        </w:rPr>
        <w:br/>
      </w:r>
      <w:r w:rsidR="002B169F" w:rsidRPr="00375059">
        <w:rPr>
          <w:rFonts w:ascii="Times New Roman" w:hAnsi="Times New Roman"/>
          <w:sz w:val="28"/>
          <w:szCs w:val="28"/>
        </w:rPr>
        <w:t>НСП-7, НСП-8 Рыбницкого филиала и ПHC-8 Северо-</w:t>
      </w:r>
      <w:proofErr w:type="spellStart"/>
      <w:r w:rsidR="002B169F" w:rsidRPr="00375059">
        <w:rPr>
          <w:rFonts w:ascii="Times New Roman" w:hAnsi="Times New Roman"/>
          <w:sz w:val="28"/>
          <w:szCs w:val="28"/>
        </w:rPr>
        <w:t>Дубоссарского</w:t>
      </w:r>
      <w:proofErr w:type="spellEnd"/>
      <w:r w:rsidR="002B169F" w:rsidRPr="00375059">
        <w:rPr>
          <w:rFonts w:ascii="Times New Roman" w:hAnsi="Times New Roman"/>
          <w:sz w:val="28"/>
          <w:szCs w:val="28"/>
        </w:rPr>
        <w:t xml:space="preserve"> оросительного массива (на сумму 793,2 тыс. руб.), ПНС-3 Григориопольского филиала (на сумму 749,9 тыс. руб.), ГНС «</w:t>
      </w:r>
      <w:proofErr w:type="spellStart"/>
      <w:r w:rsidR="002B169F" w:rsidRPr="00375059">
        <w:rPr>
          <w:rFonts w:ascii="Times New Roman" w:hAnsi="Times New Roman"/>
          <w:sz w:val="28"/>
          <w:szCs w:val="28"/>
        </w:rPr>
        <w:t>Чобручи</w:t>
      </w:r>
      <w:proofErr w:type="spellEnd"/>
      <w:r w:rsidR="002B169F" w:rsidRPr="00375059">
        <w:rPr>
          <w:rFonts w:ascii="Times New Roman" w:hAnsi="Times New Roman"/>
          <w:sz w:val="28"/>
          <w:szCs w:val="28"/>
        </w:rPr>
        <w:t xml:space="preserve">» (демонтаж трубопровода протяженностью 6 тыс. м от </w:t>
      </w:r>
      <w:proofErr w:type="spellStart"/>
      <w:r w:rsidR="002B169F" w:rsidRPr="00375059">
        <w:rPr>
          <w:rFonts w:ascii="Times New Roman" w:hAnsi="Times New Roman"/>
          <w:sz w:val="28"/>
          <w:szCs w:val="28"/>
        </w:rPr>
        <w:t>Суклейской</w:t>
      </w:r>
      <w:proofErr w:type="spellEnd"/>
      <w:r w:rsidR="002B169F" w:rsidRPr="00375059">
        <w:rPr>
          <w:rFonts w:ascii="Times New Roman" w:hAnsi="Times New Roman"/>
          <w:sz w:val="28"/>
          <w:szCs w:val="28"/>
        </w:rPr>
        <w:t xml:space="preserve"> насосной плавучей станции, для последующего монтажа напорного трубопровода диаметром 1200 мм) </w:t>
      </w:r>
      <w:r w:rsidR="00481EB4" w:rsidRPr="00375059">
        <w:rPr>
          <w:rFonts w:ascii="Times New Roman" w:hAnsi="Times New Roman"/>
          <w:sz w:val="28"/>
          <w:szCs w:val="28"/>
        </w:rPr>
        <w:t>–</w:t>
      </w:r>
      <w:r w:rsidR="002B169F" w:rsidRPr="00375059">
        <w:rPr>
          <w:rFonts w:ascii="Times New Roman" w:hAnsi="Times New Roman"/>
          <w:sz w:val="28"/>
          <w:szCs w:val="28"/>
        </w:rPr>
        <w:t xml:space="preserve"> на сумму 2,4 млн руб.</w:t>
      </w:r>
    </w:p>
    <w:p w14:paraId="2941E5D4"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целом на ремонт объектов государственной мелиоративной системы было израсходовано 5,9 млн руб. из запланированных 9,3 млн руб.</w:t>
      </w:r>
    </w:p>
    <w:p w14:paraId="601ACBCF" w14:textId="4A674615"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Также приобреталось оборудование для ремонта объектов государственной мелиоративной системы, ГНС «</w:t>
      </w:r>
      <w:proofErr w:type="spellStart"/>
      <w:r w:rsidRPr="00375059">
        <w:rPr>
          <w:rFonts w:ascii="Times New Roman" w:hAnsi="Times New Roman"/>
          <w:sz w:val="28"/>
          <w:szCs w:val="28"/>
        </w:rPr>
        <w:t>Ташлык</w:t>
      </w:r>
      <w:proofErr w:type="spellEnd"/>
      <w:r w:rsidRPr="00375059">
        <w:rPr>
          <w:rFonts w:ascii="Times New Roman" w:hAnsi="Times New Roman"/>
          <w:sz w:val="28"/>
          <w:szCs w:val="28"/>
        </w:rPr>
        <w:t>» и ПНС-3 Григориопольского филиала на сумму 3,8 млн руб. из плановых 3,9 млн руб.</w:t>
      </w:r>
    </w:p>
    <w:p w14:paraId="7F09B437" w14:textId="2B5DFF9A"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Проведение ремонтно-восстановительных работ на насосных станциях позволило в 2021 году предотвратить выбытие орошаемых участков общей площадью 8,4 тыс. га, а также расширить орошаемые площади на 6,8 тыс. га</w:t>
      </w:r>
      <w:r w:rsidR="00A72588">
        <w:rPr>
          <w:rFonts w:ascii="Times New Roman" w:hAnsi="Times New Roman"/>
          <w:sz w:val="28"/>
          <w:szCs w:val="28"/>
        </w:rPr>
        <w:t>.</w:t>
      </w:r>
    </w:p>
    <w:p w14:paraId="32539106"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рамках реализации Закона Приднестровской Молдавской Республики </w:t>
      </w:r>
      <w:r w:rsidRPr="00375059">
        <w:rPr>
          <w:rFonts w:ascii="Times New Roman" w:hAnsi="Times New Roman"/>
          <w:sz w:val="28"/>
          <w:szCs w:val="28"/>
        </w:rPr>
        <w:br/>
        <w:t xml:space="preserve">«О государственном перечне малых объектов приватизации на 2021–2022 годы» с целью освобождения государства от расходов, связанных с </w:t>
      </w:r>
      <w:r w:rsidRPr="00375059">
        <w:rPr>
          <w:rFonts w:ascii="Times New Roman" w:hAnsi="Times New Roman"/>
          <w:sz w:val="28"/>
          <w:szCs w:val="28"/>
        </w:rPr>
        <w:lastRenderedPageBreak/>
        <w:t xml:space="preserve">содержанием неэффективных объектов, проведено отчуждение </w:t>
      </w:r>
      <w:r w:rsidRPr="00375059">
        <w:rPr>
          <w:rFonts w:ascii="Times New Roman" w:hAnsi="Times New Roman"/>
          <w:sz w:val="28"/>
          <w:szCs w:val="28"/>
        </w:rPr>
        <w:br/>
        <w:t>3 мелиоративных объектов, не задействованных в процессе подачи воды для целей орошения.</w:t>
      </w:r>
    </w:p>
    <w:p w14:paraId="4AEF7483" w14:textId="77777777" w:rsidR="002B169F" w:rsidRPr="00375059" w:rsidRDefault="002B169F" w:rsidP="001463C8">
      <w:pPr>
        <w:widowControl w:val="0"/>
        <w:tabs>
          <w:tab w:val="left" w:pos="4253"/>
          <w:tab w:val="left" w:pos="5529"/>
        </w:tabs>
        <w:spacing w:after="0" w:line="240" w:lineRule="auto"/>
        <w:ind w:firstLine="567"/>
        <w:jc w:val="both"/>
        <w:rPr>
          <w:rFonts w:ascii="Times New Roman" w:hAnsi="Times New Roman"/>
          <w:sz w:val="28"/>
          <w:szCs w:val="28"/>
        </w:rPr>
      </w:pPr>
    </w:p>
    <w:p w14:paraId="5F559D8E" w14:textId="77777777" w:rsidR="002B169F" w:rsidRPr="00375059" w:rsidRDefault="002B169F" w:rsidP="001463C8">
      <w:pPr>
        <w:widowControl w:val="0"/>
        <w:spacing w:after="0" w:line="240" w:lineRule="auto"/>
        <w:ind w:firstLine="567"/>
        <w:jc w:val="both"/>
        <w:rPr>
          <w:rFonts w:ascii="Times New Roman" w:hAnsi="Times New Roman"/>
          <w:b/>
          <w:i/>
          <w:sz w:val="28"/>
          <w:szCs w:val="28"/>
        </w:rPr>
      </w:pPr>
      <w:r w:rsidRPr="00375059">
        <w:rPr>
          <w:rFonts w:ascii="Times New Roman" w:hAnsi="Times New Roman"/>
          <w:b/>
          <w:i/>
          <w:sz w:val="28"/>
          <w:szCs w:val="28"/>
        </w:rPr>
        <w:t>Животноводство</w:t>
      </w:r>
    </w:p>
    <w:p w14:paraId="728A33DD" w14:textId="1E462AEA"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Ситуация в животноводстве более устойчива к шоковым ситуациям и климатическим изменениям, однако тоже требует государственной поддержки</w:t>
      </w:r>
      <w:r w:rsidRPr="00375059">
        <w:rPr>
          <w:rFonts w:ascii="Times New Roman" w:eastAsia="Calibri" w:hAnsi="Times New Roman"/>
          <w:sz w:val="28"/>
          <w:szCs w:val="28"/>
        </w:rPr>
        <w:t>. Удорожание кормовой</w:t>
      </w:r>
      <w:r w:rsidRPr="00375059">
        <w:rPr>
          <w:rFonts w:ascii="Times New Roman" w:hAnsi="Times New Roman"/>
          <w:sz w:val="28"/>
          <w:szCs w:val="28"/>
        </w:rPr>
        <w:t xml:space="preserve"> базы в условиях роста цен на зерно, снижение платежеспособного спроса населения на продукцию подотрасли </w:t>
      </w:r>
      <w:r w:rsidR="0031710B">
        <w:rPr>
          <w:rFonts w:ascii="Times New Roman" w:hAnsi="Times New Roman"/>
          <w:sz w:val="28"/>
          <w:szCs w:val="28"/>
        </w:rPr>
        <w:t>сопровождались</w:t>
      </w:r>
      <w:r w:rsidRPr="00375059">
        <w:rPr>
          <w:rFonts w:ascii="Times New Roman" w:hAnsi="Times New Roman"/>
          <w:sz w:val="28"/>
          <w:szCs w:val="28"/>
        </w:rPr>
        <w:t xml:space="preserve"> рост</w:t>
      </w:r>
      <w:r w:rsidR="0031710B">
        <w:rPr>
          <w:rFonts w:ascii="Times New Roman" w:hAnsi="Times New Roman"/>
          <w:sz w:val="28"/>
          <w:szCs w:val="28"/>
        </w:rPr>
        <w:t>ом</w:t>
      </w:r>
      <w:r w:rsidRPr="00375059">
        <w:rPr>
          <w:rFonts w:ascii="Times New Roman" w:hAnsi="Times New Roman"/>
          <w:sz w:val="28"/>
          <w:szCs w:val="28"/>
        </w:rPr>
        <w:t xml:space="preserve"> поголовья птицы (+14,5% до </w:t>
      </w:r>
      <w:r w:rsidRPr="00375059">
        <w:rPr>
          <w:rFonts w:ascii="Times New Roman" w:hAnsi="Times New Roman"/>
          <w:bCs/>
          <w:sz w:val="28"/>
          <w:szCs w:val="28"/>
        </w:rPr>
        <w:t>520 363 </w:t>
      </w:r>
      <w:r w:rsidRPr="00375059">
        <w:rPr>
          <w:rFonts w:ascii="Times New Roman" w:hAnsi="Times New Roman"/>
          <w:sz w:val="28"/>
          <w:szCs w:val="28"/>
        </w:rPr>
        <w:t xml:space="preserve">голов с учетом хозяйств населения), с одновременным сокращением числа крупного рогатого скота (-4,2% до </w:t>
      </w:r>
      <w:r w:rsidRPr="00375059">
        <w:rPr>
          <w:rFonts w:ascii="Times New Roman" w:hAnsi="Times New Roman"/>
          <w:bCs/>
          <w:sz w:val="28"/>
          <w:szCs w:val="28"/>
        </w:rPr>
        <w:t>16 163</w:t>
      </w:r>
      <w:r w:rsidRPr="00375059">
        <w:rPr>
          <w:rFonts w:ascii="Times New Roman" w:hAnsi="Times New Roman"/>
          <w:sz w:val="28"/>
          <w:szCs w:val="28"/>
        </w:rPr>
        <w:t xml:space="preserve"> голов), свиней (-13,2% до </w:t>
      </w:r>
      <w:r w:rsidRPr="00375059">
        <w:rPr>
          <w:rFonts w:ascii="Times New Roman" w:hAnsi="Times New Roman"/>
          <w:bCs/>
          <w:sz w:val="28"/>
          <w:szCs w:val="28"/>
        </w:rPr>
        <w:t>23 813</w:t>
      </w:r>
      <w:r w:rsidRPr="00375059">
        <w:rPr>
          <w:rFonts w:ascii="Times New Roman" w:hAnsi="Times New Roman"/>
          <w:sz w:val="28"/>
          <w:szCs w:val="28"/>
        </w:rPr>
        <w:t xml:space="preserve"> голов). Численность овец и коз сократилась на 11,3% до </w:t>
      </w:r>
      <w:r w:rsidRPr="00375059">
        <w:rPr>
          <w:rFonts w:ascii="Times New Roman" w:hAnsi="Times New Roman"/>
          <w:bCs/>
          <w:sz w:val="28"/>
          <w:szCs w:val="28"/>
        </w:rPr>
        <w:t>11 609 </w:t>
      </w:r>
      <w:r w:rsidRPr="00375059">
        <w:rPr>
          <w:rFonts w:ascii="Times New Roman" w:hAnsi="Times New Roman"/>
          <w:sz w:val="28"/>
          <w:szCs w:val="28"/>
        </w:rPr>
        <w:t xml:space="preserve">голов, содержащихся в основном в личных подсобных хозяйствах. В 2021 году на сельхозпредприятиях республики получено 1 747 телят, что на 3,6% больше, чем за 2020 год. Вместе с тем, </w:t>
      </w:r>
      <w:r w:rsidRPr="00375059">
        <w:rPr>
          <w:rFonts w:ascii="Times New Roman" w:eastAsia="Calibri" w:hAnsi="Times New Roman"/>
          <w:sz w:val="28"/>
          <w:szCs w:val="28"/>
        </w:rPr>
        <w:t xml:space="preserve">доля хозяйств населения </w:t>
      </w:r>
      <w:r w:rsidRPr="00375059">
        <w:rPr>
          <w:rFonts w:ascii="Times New Roman" w:hAnsi="Times New Roman"/>
          <w:sz w:val="28"/>
          <w:szCs w:val="28"/>
        </w:rPr>
        <w:t xml:space="preserve">в структуре поголовья </w:t>
      </w:r>
      <w:r w:rsidRPr="00375059">
        <w:rPr>
          <w:rFonts w:ascii="Times New Roman" w:eastAsia="Calibri" w:hAnsi="Times New Roman"/>
          <w:sz w:val="28"/>
          <w:szCs w:val="28"/>
        </w:rPr>
        <w:t>крупного рогатого скота снизилась до 50,3%</w:t>
      </w:r>
      <w:r w:rsidR="00481EB4" w:rsidRPr="00375059">
        <w:rPr>
          <w:rFonts w:ascii="Times New Roman" w:eastAsia="Calibri" w:hAnsi="Times New Roman"/>
          <w:sz w:val="28"/>
          <w:szCs w:val="28"/>
        </w:rPr>
        <w:t xml:space="preserve"> </w:t>
      </w:r>
      <w:r w:rsidRPr="00375059">
        <w:rPr>
          <w:rFonts w:ascii="Times New Roman" w:eastAsia="Calibri" w:hAnsi="Times New Roman"/>
          <w:sz w:val="28"/>
          <w:szCs w:val="28"/>
        </w:rPr>
        <w:t xml:space="preserve">(-0,4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 тогда как в структуре поголовья свиней увеличилась до 34,5% (+1,7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 (рис. 1</w:t>
      </w:r>
      <w:r w:rsidR="002827F3" w:rsidRPr="00375059">
        <w:rPr>
          <w:rFonts w:ascii="Times New Roman" w:eastAsia="Calibri" w:hAnsi="Times New Roman"/>
          <w:sz w:val="28"/>
          <w:szCs w:val="28"/>
        </w:rPr>
        <w:t>4</w:t>
      </w:r>
      <w:r w:rsidRPr="00375059">
        <w:rPr>
          <w:rFonts w:ascii="Times New Roman" w:eastAsia="Calibri" w:hAnsi="Times New Roman"/>
          <w:sz w:val="28"/>
          <w:szCs w:val="28"/>
        </w:rPr>
        <w:t>).</w:t>
      </w:r>
    </w:p>
    <w:p w14:paraId="3AF498FA" w14:textId="4C3A97AA" w:rsidR="002B169F" w:rsidRPr="00375059" w:rsidRDefault="002B169F" w:rsidP="002B169F">
      <w:pPr>
        <w:spacing w:after="0" w:line="240" w:lineRule="auto"/>
        <w:ind w:firstLine="426"/>
        <w:contextualSpacing/>
        <w:jc w:val="right"/>
        <w:rPr>
          <w:rFonts w:ascii="Times New Roman" w:hAnsi="Times New Roman"/>
          <w:b/>
          <w:i/>
          <w:sz w:val="28"/>
          <w:szCs w:val="28"/>
        </w:rPr>
      </w:pPr>
      <w:r w:rsidRPr="00375059">
        <w:rPr>
          <w:rFonts w:ascii="Times New Roman" w:hAnsi="Times New Roman"/>
          <w:b/>
          <w:i/>
          <w:sz w:val="28"/>
          <w:szCs w:val="28"/>
        </w:rPr>
        <w:t>Рисунок 1</w:t>
      </w:r>
      <w:r w:rsidR="002827F3" w:rsidRPr="00375059">
        <w:rPr>
          <w:rFonts w:ascii="Times New Roman" w:hAnsi="Times New Roman"/>
          <w:b/>
          <w:i/>
          <w:sz w:val="28"/>
          <w:szCs w:val="28"/>
        </w:rPr>
        <w:t>4</w:t>
      </w:r>
    </w:p>
    <w:p w14:paraId="549D73AE" w14:textId="77777777" w:rsidR="002B169F" w:rsidRPr="00375059" w:rsidRDefault="002B169F" w:rsidP="0031710B">
      <w:pPr>
        <w:spacing w:after="0" w:line="240" w:lineRule="auto"/>
        <w:contextualSpacing/>
        <w:jc w:val="center"/>
        <w:rPr>
          <w:rFonts w:ascii="Times New Roman" w:hAnsi="Times New Roman"/>
          <w:b/>
          <w:iCs/>
          <w:sz w:val="28"/>
          <w:szCs w:val="28"/>
        </w:rPr>
      </w:pPr>
      <w:r w:rsidRPr="00375059">
        <w:rPr>
          <w:rFonts w:ascii="Times New Roman" w:hAnsi="Times New Roman"/>
          <w:b/>
          <w:iCs/>
          <w:sz w:val="28"/>
          <w:szCs w:val="28"/>
        </w:rPr>
        <w:t>Структура поголовья основных видов скота и птицы по всем категориям хозяйств (по состоянию на 1 января 2022 года)</w:t>
      </w:r>
    </w:p>
    <w:p w14:paraId="376BB147" w14:textId="1F94F40F" w:rsidR="002B169F" w:rsidRDefault="002B169F" w:rsidP="002B169F">
      <w:pPr>
        <w:widowControl w:val="0"/>
        <w:tabs>
          <w:tab w:val="left" w:pos="1560"/>
        </w:tabs>
        <w:spacing w:after="0" w:line="240" w:lineRule="auto"/>
        <w:jc w:val="both"/>
        <w:rPr>
          <w:rFonts w:ascii="Times New Roman" w:eastAsia="Calibri" w:hAnsi="Times New Roman"/>
          <w:noProof/>
          <w:color w:val="F4B083" w:themeColor="accent2" w:themeTint="99"/>
          <w:sz w:val="28"/>
          <w:szCs w:val="28"/>
          <w:shd w:val="clear" w:color="auto" w:fill="7F7F7F" w:themeFill="text1" w:themeFillTint="80"/>
        </w:rPr>
      </w:pPr>
      <w:r w:rsidRPr="00375059">
        <w:rPr>
          <w:rFonts w:ascii="Times New Roman" w:eastAsia="Calibri" w:hAnsi="Times New Roman"/>
          <w:noProof/>
          <w:color w:val="F4B083" w:themeColor="accent2" w:themeTint="99"/>
          <w:sz w:val="28"/>
          <w:szCs w:val="28"/>
          <w:shd w:val="clear" w:color="auto" w:fill="7F7F7F" w:themeFill="text1" w:themeFillTint="80"/>
        </w:rPr>
        <w:drawing>
          <wp:inline distT="0" distB="0" distL="0" distR="0" wp14:anchorId="5BE51B09" wp14:editId="14561D3E">
            <wp:extent cx="5915025" cy="2518410"/>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63A4F0" w14:textId="79BB5B95" w:rsidR="0087132A" w:rsidRDefault="0087132A" w:rsidP="002B169F">
      <w:pPr>
        <w:widowControl w:val="0"/>
        <w:tabs>
          <w:tab w:val="left" w:pos="1560"/>
        </w:tabs>
        <w:spacing w:after="0" w:line="240" w:lineRule="auto"/>
        <w:jc w:val="both"/>
        <w:rPr>
          <w:rFonts w:ascii="Times New Roman" w:eastAsia="Calibri" w:hAnsi="Times New Roman"/>
          <w:noProof/>
          <w:color w:val="F4B083" w:themeColor="accent2" w:themeTint="99"/>
          <w:sz w:val="28"/>
          <w:szCs w:val="28"/>
          <w:shd w:val="clear" w:color="auto" w:fill="7F7F7F" w:themeFill="text1" w:themeFillTint="80"/>
        </w:rPr>
      </w:pPr>
    </w:p>
    <w:p w14:paraId="0E80B0F3" w14:textId="18A7F9E7" w:rsidR="0087132A" w:rsidRPr="00375059" w:rsidRDefault="0087132A" w:rsidP="0087132A">
      <w:pPr>
        <w:widowControl w:val="0"/>
        <w:tabs>
          <w:tab w:val="left" w:pos="1418"/>
          <w:tab w:val="left" w:pos="8647"/>
        </w:tabs>
        <w:spacing w:after="0" w:line="240" w:lineRule="auto"/>
        <w:jc w:val="both"/>
        <w:rPr>
          <w:rFonts w:ascii="Times New Roman" w:hAnsi="Times New Roman"/>
          <w:b/>
          <w:i/>
          <w:sz w:val="28"/>
          <w:szCs w:val="28"/>
        </w:rPr>
      </w:pPr>
      <w:r>
        <w:rPr>
          <w:noProof/>
        </w:rPr>
        <w:drawing>
          <wp:anchor distT="0" distB="0" distL="114300" distR="114300" simplePos="0" relativeHeight="251750400" behindDoc="0" locked="0" layoutInCell="1" allowOverlap="1" wp14:anchorId="31584C58" wp14:editId="6784042E">
            <wp:simplePos x="0" y="0"/>
            <wp:positionH relativeFrom="column">
              <wp:posOffset>-1833</wp:posOffset>
            </wp:positionH>
            <wp:positionV relativeFrom="paragraph">
              <wp:posOffset>1426</wp:posOffset>
            </wp:positionV>
            <wp:extent cx="1673524" cy="1347329"/>
            <wp:effectExtent l="0" t="0" r="3175" b="5715"/>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73524" cy="1347329"/>
                    </a:xfrm>
                    <a:prstGeom prst="rect">
                      <a:avLst/>
                    </a:prstGeom>
                  </pic:spPr>
                </pic:pic>
              </a:graphicData>
            </a:graphic>
            <wp14:sizeRelH relativeFrom="page">
              <wp14:pctWidth>0</wp14:pctWidth>
            </wp14:sizeRelH>
            <wp14:sizeRelV relativeFrom="page">
              <wp14:pctHeight>0</wp14:pctHeight>
            </wp14:sizeRelV>
          </wp:anchor>
        </w:drawing>
      </w:r>
      <w:r w:rsidRPr="0087132A">
        <w:rPr>
          <w:rFonts w:ascii="Times New Roman" w:hAnsi="Times New Roman"/>
          <w:noProof/>
          <w:sz w:val="28"/>
          <w:szCs w:val="28"/>
        </w:rPr>
        <w:t xml:space="preserve"> </w:t>
      </w:r>
      <w:r>
        <w:rPr>
          <w:rFonts w:ascii="Times New Roman" w:hAnsi="Times New Roman"/>
          <w:noProof/>
          <w:sz w:val="28"/>
          <w:szCs w:val="28"/>
        </w:rPr>
        <w:t xml:space="preserve">    </w:t>
      </w:r>
      <w:r w:rsidR="00E170A9">
        <w:rPr>
          <w:rFonts w:ascii="Times New Roman" w:hAnsi="Times New Roman"/>
          <w:noProof/>
          <w:sz w:val="28"/>
          <w:szCs w:val="28"/>
        </w:rPr>
        <w:t xml:space="preserve"> </w:t>
      </w:r>
      <w:r>
        <w:rPr>
          <w:rFonts w:ascii="Times New Roman" w:hAnsi="Times New Roman"/>
          <w:noProof/>
          <w:sz w:val="28"/>
          <w:szCs w:val="28"/>
        </w:rPr>
        <w:t xml:space="preserve"> </w:t>
      </w:r>
      <w:r w:rsidRPr="00375059">
        <w:rPr>
          <w:rFonts w:ascii="Times New Roman" w:hAnsi="Times New Roman"/>
          <w:noProof/>
          <w:sz w:val="28"/>
          <w:szCs w:val="28"/>
        </w:rPr>
        <w:t>Реализация программы субсидирования части затрат на покупку импортных племенных нетелей крупного рогатого скота молочного направления в 2021 году позволила пополнить дойное стадо высокопродуктивными животными.</w:t>
      </w:r>
    </w:p>
    <w:p w14:paraId="7A110E93" w14:textId="2B35CF8D" w:rsidR="0087132A" w:rsidRPr="00375059" w:rsidRDefault="0087132A" w:rsidP="00E170A9">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 организациях республики</w:t>
      </w:r>
      <w:r w:rsidRPr="00375059">
        <w:rPr>
          <w:rFonts w:ascii="Times New Roman" w:eastAsia="Calibri" w:hAnsi="Times New Roman"/>
          <w:noProof/>
          <w:sz w:val="28"/>
          <w:szCs w:val="28"/>
        </w:rPr>
        <mc:AlternateContent>
          <mc:Choice Requires="wps">
            <w:drawing>
              <wp:anchor distT="0" distB="0" distL="114300" distR="114300" simplePos="0" relativeHeight="251749376" behindDoc="0" locked="0" layoutInCell="1" allowOverlap="1" wp14:anchorId="09656349" wp14:editId="119E9A8D">
                <wp:simplePos x="0" y="0"/>
                <wp:positionH relativeFrom="column">
                  <wp:posOffset>-1920875</wp:posOffset>
                </wp:positionH>
                <wp:positionV relativeFrom="paragraph">
                  <wp:posOffset>1119505</wp:posOffset>
                </wp:positionV>
                <wp:extent cx="0" cy="352425"/>
                <wp:effectExtent l="12700" t="5080" r="6350" b="1397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D93E0B3" id="_x0000_t32" coordsize="21600,21600" o:spt="32" o:oned="t" path="m,l21600,21600e" filled="f">
                <v:path arrowok="t" fillok="f" o:connecttype="none"/>
                <o:lock v:ext="edit" shapetype="t"/>
              </v:shapetype>
              <v:shape id="Прямая со стрелкой 13" o:spid="_x0000_s1026" type="#_x0000_t32" style="position:absolute;margin-left:-151.25pt;margin-top:88.15pt;width:0;height:2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aESwIAAFUEAAAOAAAAZHJzL2Uyb0RvYy54bWysVEtu2zAQ3RfoHQjtbVm27DpC5KCQ7G7S&#10;NkDSA9AkZRGVSIKkLRtFgTQXyBF6hW666Ac5g3yjDinbSNpNUdQLeoYcvnkz86jzi21doQ3ThkuR&#10;BlF/ECAmiKRcrNLg3c2iNw2QsVhQXEnB0mDHTHAxe/7svFEJG8pSVpRpBCDCJI1Kg9JalYShISWr&#10;selLxQQcFlLX2IKrVyHVuAH0ugqHg8EkbKSmSkvCjIHdvDsMZh6/KBixb4vCMIuqNABu1q/ar0u3&#10;hrNznKw0ViUnBxr4H1jUmAtIeoLKscVorfkfUDUnWhpZ2D6RdSiLghPma4BqosFv1VyXWDFfCzTH&#10;qFObzP+DJW82VxpxCrMbBUjgGmbUft7f7u/bn+2X/T3af2ofYNnf7W/br+2P9nv70H5DEAyda5RJ&#10;ACATV9rVTrbiWl1K8t4gIbMSixXzFdzsFKBG7kb45IpzjIL8y+a1pBCD11b6Nm4LXTtIaBDa+mnt&#10;TtNiW4tIt0lgdzQexsOxB8fJ8Z7Sxr5iskbOSANjNear0mZSCJCE1JHPgjeXxjpWODlecEmFXPCq&#10;8sqoBGrS4GwMCdyJkRWn7tA7erXMKo022GnL/w4snoRpuRbUg5UM0/nBtphXnQ3JK+HwoC6gc7A6&#10;8Xw4G5zNp/Np3IuHk3kvHuR57+Uii3uTRfRinI/yLMujj45aFCclp5QJx+4o5Cj+O6EcnlQnwZOU&#10;T20In6L7fgHZ478n7QfrZtmpYinp7kofBw7a9cGHd+Yex2Mf7Mdfg9kvAAAA//8DAFBLAwQUAAYA&#10;CAAAACEAdGBGj98AAAANAQAADwAAAGRycy9kb3ducmV2LnhtbEyPwUrDQBCG74LvsIzgRdrdJLTW&#10;mE0pggePtgWv2+yYRLOzIbtpYp/eEQQ9zvwf/3xTbGfXiTMOofWkIVkqEEiVty3VGo6H58UGRIiG&#10;rOk8oYYvDLAtr68Kk1s/0Sue97EWXEIhNxqaGPtcylA16ExY+h6Js3c/OBN5HGppBzNxuetkqtRa&#10;OtMSX2hMj08NVp/70WnAMK4StXtw9fHlMt29pZePqT9ofXsz7x5BRJzjHww/+qwOJTud/Eg2iE7D&#10;IlPpillO7tcZCEZ+VycNaZZsQJaF/P9F+Q0AAP//AwBQSwECLQAUAAYACAAAACEAtoM4kv4AAADh&#10;AQAAEwAAAAAAAAAAAAAAAAAAAAAAW0NvbnRlbnRfVHlwZXNdLnhtbFBLAQItABQABgAIAAAAIQA4&#10;/SH/1gAAAJQBAAALAAAAAAAAAAAAAAAAAC8BAABfcmVscy8ucmVsc1BLAQItABQABgAIAAAAIQB1&#10;cbaESwIAAFUEAAAOAAAAAAAAAAAAAAAAAC4CAABkcnMvZTJvRG9jLnhtbFBLAQItABQABgAIAAAA&#10;IQB0YEaP3wAAAA0BAAAPAAAAAAAAAAAAAAAAAKUEAABkcnMvZG93bnJldi54bWxQSwUGAAAAAAQA&#10;BADzAAAAsQUAAAAA&#10;"/>
            </w:pict>
          </mc:Fallback>
        </mc:AlternateContent>
      </w:r>
      <w:r w:rsidRPr="00375059">
        <w:rPr>
          <w:rFonts w:ascii="Times New Roman" w:hAnsi="Times New Roman"/>
          <w:sz w:val="28"/>
          <w:szCs w:val="28"/>
        </w:rPr>
        <w:t xml:space="preserve"> среднегодовой надой</w:t>
      </w:r>
      <w:r w:rsidRPr="00375059">
        <w:rPr>
          <w:rFonts w:ascii="Times New Roman" w:hAnsi="Times New Roman"/>
        </w:rPr>
        <w:t xml:space="preserve"> </w:t>
      </w:r>
      <w:r w:rsidRPr="00375059">
        <w:rPr>
          <w:rFonts w:ascii="Times New Roman" w:hAnsi="Times New Roman"/>
          <w:sz w:val="28"/>
          <w:szCs w:val="28"/>
        </w:rPr>
        <w:t xml:space="preserve">молока на одну корову составил 5 315 кг против 5 387 кг в базисном периоде. </w:t>
      </w:r>
    </w:p>
    <w:p w14:paraId="7B69155C" w14:textId="0E3003E9" w:rsidR="0087132A" w:rsidRPr="00375059" w:rsidRDefault="00E170A9" w:rsidP="0087132A">
      <w:pPr>
        <w:widowControl w:val="0"/>
        <w:tabs>
          <w:tab w:val="left" w:pos="1418"/>
          <w:tab w:val="left" w:pos="8647"/>
        </w:tabs>
        <w:spacing w:after="0" w:line="240" w:lineRule="auto"/>
        <w:ind w:firstLine="567"/>
        <w:jc w:val="both"/>
        <w:rPr>
          <w:rFonts w:ascii="Times New Roman" w:eastAsia="Calibri" w:hAnsi="Times New Roman"/>
          <w:sz w:val="28"/>
          <w:szCs w:val="28"/>
        </w:rPr>
      </w:pPr>
      <w:r>
        <w:rPr>
          <w:rFonts w:ascii="Times New Roman" w:hAnsi="Times New Roman"/>
          <w:sz w:val="28"/>
          <w:szCs w:val="28"/>
        </w:rPr>
        <w:t xml:space="preserve">В </w:t>
      </w:r>
      <w:r w:rsidR="0087132A" w:rsidRPr="00375059">
        <w:rPr>
          <w:rFonts w:ascii="Times New Roman" w:hAnsi="Times New Roman"/>
          <w:sz w:val="28"/>
          <w:szCs w:val="28"/>
        </w:rPr>
        <w:t xml:space="preserve">целом, в республике объем производства коровьего молока на фоне увеличения среднегодового поголовья </w:t>
      </w:r>
      <w:proofErr w:type="spellStart"/>
      <w:r w:rsidR="0087132A" w:rsidRPr="00375059">
        <w:rPr>
          <w:rFonts w:ascii="Times New Roman" w:hAnsi="Times New Roman"/>
          <w:sz w:val="28"/>
          <w:szCs w:val="28"/>
        </w:rPr>
        <w:t>коров</w:t>
      </w:r>
      <w:proofErr w:type="spellEnd"/>
      <w:r w:rsidR="0087132A" w:rsidRPr="00375059">
        <w:rPr>
          <w:rFonts w:ascii="Times New Roman" w:hAnsi="Times New Roman"/>
          <w:sz w:val="28"/>
          <w:szCs w:val="28"/>
        </w:rPr>
        <w:t xml:space="preserve"> молочного стада вырос на 12,5% </w:t>
      </w:r>
      <w:r w:rsidR="0087132A" w:rsidRPr="00375059">
        <w:rPr>
          <w:rFonts w:ascii="Times New Roman" w:hAnsi="Times New Roman"/>
          <w:sz w:val="28"/>
          <w:szCs w:val="28"/>
        </w:rPr>
        <w:lastRenderedPageBreak/>
        <w:t>(рис. 15).</w:t>
      </w:r>
    </w:p>
    <w:p w14:paraId="6A31314A" w14:textId="630AB24D" w:rsidR="007062C1" w:rsidRPr="00375059" w:rsidRDefault="0087132A" w:rsidP="00E170A9">
      <w:pPr>
        <w:widowControl w:val="0"/>
        <w:tabs>
          <w:tab w:val="left" w:pos="1560"/>
        </w:tabs>
        <w:spacing w:after="0" w:line="240" w:lineRule="auto"/>
        <w:jc w:val="both"/>
        <w:rPr>
          <w:rFonts w:ascii="Times New Roman" w:hAnsi="Times New Roman"/>
          <w:sz w:val="28"/>
          <w:szCs w:val="28"/>
        </w:rPr>
      </w:pPr>
      <w:r>
        <w:rPr>
          <w:noProof/>
        </w:rPr>
        <w:drawing>
          <wp:anchor distT="0" distB="0" distL="114300" distR="114300" simplePos="0" relativeHeight="251751424" behindDoc="0" locked="0" layoutInCell="1" allowOverlap="1" wp14:anchorId="7C0AB053" wp14:editId="77594FE4">
            <wp:simplePos x="0" y="0"/>
            <wp:positionH relativeFrom="column">
              <wp:posOffset>-1833</wp:posOffset>
            </wp:positionH>
            <wp:positionV relativeFrom="paragraph">
              <wp:posOffset>-1162</wp:posOffset>
            </wp:positionV>
            <wp:extent cx="1785668" cy="2643941"/>
            <wp:effectExtent l="0" t="0" r="5080" b="4445"/>
            <wp:wrapSquare wrapText="bothSides"/>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85668" cy="2643941"/>
                    </a:xfrm>
                    <a:prstGeom prst="rect">
                      <a:avLst/>
                    </a:prstGeom>
                  </pic:spPr>
                </pic:pic>
              </a:graphicData>
            </a:graphic>
            <wp14:sizeRelH relativeFrom="page">
              <wp14:pctWidth>0</wp14:pctWidth>
            </wp14:sizeRelH>
            <wp14:sizeRelV relativeFrom="page">
              <wp14:pctHeight>0</wp14:pctHeight>
            </wp14:sizeRelV>
          </wp:anchor>
        </w:drawing>
      </w:r>
      <w:r w:rsidR="007062C1" w:rsidRPr="00375059">
        <w:rPr>
          <w:rFonts w:ascii="Times New Roman" w:hAnsi="Times New Roman"/>
          <w:noProof/>
          <w:sz w:val="28"/>
          <w:szCs w:val="28"/>
        </w:rPr>
        <w:t xml:space="preserve"> </w:t>
      </w:r>
      <w:r w:rsidR="007062C1" w:rsidRPr="00375059">
        <w:rPr>
          <w:rFonts w:ascii="Times New Roman" w:eastAsia="Calibri" w:hAnsi="Times New Roman"/>
          <w:sz w:val="28"/>
          <w:szCs w:val="28"/>
        </w:rPr>
        <w:t>Объемы реализации скота и птицы на убой возросли на 7,4% (рис. 1</w:t>
      </w:r>
      <w:r w:rsidR="00D768A1">
        <w:rPr>
          <w:rFonts w:ascii="Times New Roman" w:eastAsia="Calibri" w:hAnsi="Times New Roman"/>
          <w:sz w:val="28"/>
          <w:szCs w:val="28"/>
        </w:rPr>
        <w:t>6</w:t>
      </w:r>
      <w:r w:rsidR="007062C1" w:rsidRPr="00375059">
        <w:rPr>
          <w:rFonts w:ascii="Times New Roman" w:eastAsia="Calibri" w:hAnsi="Times New Roman"/>
          <w:sz w:val="28"/>
          <w:szCs w:val="28"/>
        </w:rPr>
        <w:t xml:space="preserve">), в том числе крупного рогатого скота </w:t>
      </w:r>
      <w:r w:rsidR="007062C1" w:rsidRPr="00375059">
        <w:rPr>
          <w:rFonts w:ascii="Times New Roman" w:hAnsi="Times New Roman"/>
          <w:sz w:val="28"/>
          <w:szCs w:val="28"/>
          <w:lang w:eastAsia="en-US"/>
        </w:rPr>
        <w:t xml:space="preserve">– </w:t>
      </w:r>
      <w:r w:rsidR="007062C1" w:rsidRPr="00375059">
        <w:rPr>
          <w:rFonts w:ascii="Times New Roman" w:eastAsia="Calibri" w:hAnsi="Times New Roman"/>
          <w:sz w:val="28"/>
          <w:szCs w:val="28"/>
        </w:rPr>
        <w:t xml:space="preserve">на 15,6%, птицы </w:t>
      </w:r>
      <w:r w:rsidR="007062C1" w:rsidRPr="00375059">
        <w:rPr>
          <w:rFonts w:ascii="Times New Roman" w:hAnsi="Times New Roman"/>
          <w:sz w:val="28"/>
          <w:szCs w:val="28"/>
          <w:lang w:eastAsia="en-US"/>
        </w:rPr>
        <w:t xml:space="preserve">– </w:t>
      </w:r>
      <w:r w:rsidR="007062C1" w:rsidRPr="00375059">
        <w:rPr>
          <w:rFonts w:ascii="Times New Roman" w:eastAsia="Calibri" w:hAnsi="Times New Roman"/>
          <w:sz w:val="28"/>
          <w:szCs w:val="28"/>
        </w:rPr>
        <w:t xml:space="preserve">на 12,0%, при снижении реализации свинины на 3,6%. </w:t>
      </w:r>
      <w:r w:rsidR="007062C1" w:rsidRPr="00375059">
        <w:rPr>
          <w:rFonts w:ascii="Times New Roman" w:hAnsi="Times New Roman"/>
          <w:sz w:val="28"/>
          <w:szCs w:val="28"/>
        </w:rPr>
        <w:t>В отчетном периоде на 19,4% увеличились объемы производства куриных яиц (рис.1</w:t>
      </w:r>
      <w:r w:rsidR="00D768A1">
        <w:rPr>
          <w:rFonts w:ascii="Times New Roman" w:hAnsi="Times New Roman"/>
          <w:sz w:val="28"/>
          <w:szCs w:val="28"/>
        </w:rPr>
        <w:t>7</w:t>
      </w:r>
      <w:r w:rsidR="007062C1" w:rsidRPr="00375059">
        <w:rPr>
          <w:rFonts w:ascii="Times New Roman" w:hAnsi="Times New Roman"/>
          <w:sz w:val="28"/>
          <w:szCs w:val="28"/>
        </w:rPr>
        <w:t>).</w:t>
      </w:r>
    </w:p>
    <w:p w14:paraId="7C3CCDFA" w14:textId="033C0E32" w:rsidR="007062C1" w:rsidRPr="00375059" w:rsidRDefault="007062C1" w:rsidP="007062C1">
      <w:pPr>
        <w:widowControl w:val="0"/>
        <w:spacing w:after="0" w:line="240" w:lineRule="auto"/>
        <w:ind w:firstLine="425"/>
        <w:jc w:val="both"/>
        <w:rPr>
          <w:rFonts w:ascii="Times New Roman" w:hAnsi="Times New Roman"/>
          <w:sz w:val="28"/>
          <w:szCs w:val="28"/>
        </w:rPr>
      </w:pPr>
      <w:r w:rsidRPr="00375059">
        <w:rPr>
          <w:rFonts w:ascii="Times New Roman" w:hAnsi="Times New Roman"/>
          <w:sz w:val="28"/>
          <w:szCs w:val="28"/>
        </w:rPr>
        <w:t xml:space="preserve">Объем выловленной рыбы увеличился в 1,3 раза и составил 180,3 тонн, из которых 19,7 тонн – карп (-13,1%), 17,3 тонн </w:t>
      </w:r>
      <w:r w:rsidRPr="00375059">
        <w:rPr>
          <w:rFonts w:ascii="Times New Roman" w:hAnsi="Times New Roman"/>
          <w:sz w:val="28"/>
          <w:szCs w:val="28"/>
          <w:lang w:eastAsia="en-US"/>
        </w:rPr>
        <w:t xml:space="preserve">– </w:t>
      </w:r>
      <w:r w:rsidRPr="00375059">
        <w:rPr>
          <w:rFonts w:ascii="Times New Roman" w:hAnsi="Times New Roman"/>
          <w:sz w:val="28"/>
          <w:szCs w:val="28"/>
        </w:rPr>
        <w:t xml:space="preserve">толстолобик (-26,1%), </w:t>
      </w:r>
      <w:r w:rsidR="004A7310">
        <w:rPr>
          <w:rFonts w:ascii="Times New Roman" w:hAnsi="Times New Roman"/>
          <w:sz w:val="28"/>
          <w:szCs w:val="28"/>
        </w:rPr>
        <w:br/>
      </w:r>
      <w:r w:rsidRPr="00375059">
        <w:rPr>
          <w:rFonts w:ascii="Times New Roman" w:hAnsi="Times New Roman"/>
          <w:sz w:val="28"/>
          <w:szCs w:val="28"/>
        </w:rPr>
        <w:t xml:space="preserve">111,5 тонн </w:t>
      </w:r>
      <w:r w:rsidRPr="00375059">
        <w:rPr>
          <w:rFonts w:ascii="Times New Roman" w:hAnsi="Times New Roman"/>
          <w:sz w:val="28"/>
          <w:szCs w:val="28"/>
          <w:lang w:eastAsia="en-US"/>
        </w:rPr>
        <w:t xml:space="preserve">– </w:t>
      </w:r>
      <w:r w:rsidRPr="00375059">
        <w:rPr>
          <w:rFonts w:ascii="Times New Roman" w:hAnsi="Times New Roman"/>
          <w:sz w:val="28"/>
          <w:szCs w:val="28"/>
        </w:rPr>
        <w:t>осетровые (рост в 1,4раза).</w:t>
      </w:r>
    </w:p>
    <w:p w14:paraId="2CC1C145" w14:textId="77777777" w:rsidR="00481EB4" w:rsidRPr="00375059" w:rsidRDefault="00481EB4" w:rsidP="002827F3">
      <w:pPr>
        <w:widowControl w:val="0"/>
        <w:tabs>
          <w:tab w:val="left" w:pos="1418"/>
          <w:tab w:val="left" w:pos="8647"/>
        </w:tabs>
        <w:spacing w:after="0" w:line="240" w:lineRule="auto"/>
        <w:ind w:firstLine="567"/>
        <w:jc w:val="both"/>
        <w:rPr>
          <w:rFonts w:ascii="Times New Roman" w:hAnsi="Times New Roman"/>
          <w:b/>
          <w:i/>
          <w:sz w:val="28"/>
          <w:szCs w:val="28"/>
        </w:rPr>
      </w:pPr>
    </w:p>
    <w:p w14:paraId="17297F35" w14:textId="77777777" w:rsidR="0087132A" w:rsidRDefault="0087132A" w:rsidP="001463C8">
      <w:pPr>
        <w:widowControl w:val="0"/>
        <w:tabs>
          <w:tab w:val="left" w:pos="1418"/>
          <w:tab w:val="left" w:pos="8647"/>
        </w:tabs>
        <w:spacing w:after="0" w:line="240" w:lineRule="auto"/>
        <w:ind w:firstLine="567"/>
        <w:jc w:val="both"/>
        <w:rPr>
          <w:rFonts w:ascii="Times New Roman" w:hAnsi="Times New Roman"/>
          <w:b/>
          <w:i/>
          <w:sz w:val="28"/>
          <w:szCs w:val="28"/>
        </w:rPr>
      </w:pPr>
    </w:p>
    <w:p w14:paraId="14BCE998" w14:textId="77777777" w:rsidR="0087132A" w:rsidRDefault="0087132A" w:rsidP="001463C8">
      <w:pPr>
        <w:widowControl w:val="0"/>
        <w:tabs>
          <w:tab w:val="left" w:pos="1418"/>
          <w:tab w:val="left" w:pos="8647"/>
        </w:tabs>
        <w:spacing w:after="0" w:line="240" w:lineRule="auto"/>
        <w:ind w:firstLine="567"/>
        <w:jc w:val="both"/>
        <w:rPr>
          <w:rFonts w:ascii="Times New Roman" w:hAnsi="Times New Roman"/>
          <w:b/>
          <w:i/>
          <w:sz w:val="28"/>
          <w:szCs w:val="28"/>
        </w:rPr>
      </w:pPr>
    </w:p>
    <w:p w14:paraId="1EBA2387" w14:textId="2E01C3AF" w:rsidR="002B169F" w:rsidRPr="00375059" w:rsidRDefault="002B169F" w:rsidP="001463C8">
      <w:pPr>
        <w:widowControl w:val="0"/>
        <w:tabs>
          <w:tab w:val="left" w:pos="1418"/>
          <w:tab w:val="left" w:pos="8647"/>
        </w:tabs>
        <w:spacing w:after="0" w:line="240" w:lineRule="auto"/>
        <w:ind w:firstLine="567"/>
        <w:jc w:val="both"/>
        <w:rPr>
          <w:rFonts w:ascii="Times New Roman" w:hAnsi="Times New Roman"/>
          <w:b/>
          <w:i/>
          <w:sz w:val="28"/>
          <w:szCs w:val="28"/>
        </w:rPr>
      </w:pPr>
      <w:r w:rsidRPr="00375059">
        <w:rPr>
          <w:rFonts w:ascii="Times New Roman" w:hAnsi="Times New Roman"/>
          <w:b/>
          <w:i/>
          <w:sz w:val="28"/>
          <w:szCs w:val="28"/>
        </w:rPr>
        <w:t>Государственная поддержка хозяйствующих субъектов АПК</w:t>
      </w:r>
    </w:p>
    <w:p w14:paraId="65F1C583" w14:textId="084CF86A" w:rsidR="002B169F" w:rsidRPr="00375059" w:rsidRDefault="004A7310" w:rsidP="001463C8">
      <w:pPr>
        <w:widowControl w:val="0"/>
        <w:tabs>
          <w:tab w:val="left" w:pos="1418"/>
        </w:tabs>
        <w:spacing w:after="0" w:line="240" w:lineRule="auto"/>
        <w:ind w:firstLine="567"/>
        <w:jc w:val="both"/>
        <w:rPr>
          <w:rFonts w:ascii="Times New Roman" w:hAnsi="Times New Roman"/>
          <w:sz w:val="28"/>
          <w:szCs w:val="28"/>
        </w:rPr>
      </w:pPr>
      <w:r>
        <w:rPr>
          <w:rFonts w:ascii="Times New Roman" w:eastAsia="Calibri" w:hAnsi="Times New Roman"/>
          <w:sz w:val="28"/>
          <w:szCs w:val="28"/>
        </w:rPr>
        <w:t>В 2021 году сохранился широкий перечень мер</w:t>
      </w:r>
      <w:r w:rsidR="002B169F" w:rsidRPr="00375059">
        <w:rPr>
          <w:rFonts w:ascii="Times New Roman" w:eastAsia="Calibri" w:hAnsi="Times New Roman"/>
          <w:sz w:val="28"/>
          <w:szCs w:val="28"/>
        </w:rPr>
        <w:t xml:space="preserve"> г</w:t>
      </w:r>
      <w:r w:rsidR="002B169F" w:rsidRPr="00375059">
        <w:rPr>
          <w:rFonts w:ascii="Times New Roman" w:hAnsi="Times New Roman"/>
          <w:sz w:val="28"/>
          <w:szCs w:val="28"/>
        </w:rPr>
        <w:t>осударственн</w:t>
      </w:r>
      <w:r>
        <w:rPr>
          <w:rFonts w:ascii="Times New Roman" w:hAnsi="Times New Roman"/>
          <w:sz w:val="28"/>
          <w:szCs w:val="28"/>
        </w:rPr>
        <w:t>ой</w:t>
      </w:r>
      <w:r w:rsidR="002B169F" w:rsidRPr="00375059">
        <w:rPr>
          <w:rFonts w:ascii="Times New Roman" w:hAnsi="Times New Roman"/>
          <w:sz w:val="28"/>
          <w:szCs w:val="28"/>
        </w:rPr>
        <w:t xml:space="preserve"> поддержк</w:t>
      </w:r>
      <w:r>
        <w:rPr>
          <w:rFonts w:ascii="Times New Roman" w:hAnsi="Times New Roman"/>
          <w:sz w:val="28"/>
          <w:szCs w:val="28"/>
        </w:rPr>
        <w:t>и</w:t>
      </w:r>
      <w:r w:rsidR="002B169F" w:rsidRPr="00375059">
        <w:rPr>
          <w:rFonts w:ascii="Times New Roman" w:hAnsi="Times New Roman"/>
          <w:sz w:val="28"/>
          <w:szCs w:val="28"/>
        </w:rPr>
        <w:t xml:space="preserve"> отечественных </w:t>
      </w:r>
      <w:r>
        <w:rPr>
          <w:rFonts w:ascii="Times New Roman" w:hAnsi="Times New Roman"/>
          <w:sz w:val="28"/>
          <w:szCs w:val="28"/>
        </w:rPr>
        <w:t xml:space="preserve">сельскохозяйственных </w:t>
      </w:r>
      <w:r w:rsidR="002B169F" w:rsidRPr="00375059">
        <w:rPr>
          <w:rFonts w:ascii="Times New Roman" w:hAnsi="Times New Roman"/>
          <w:sz w:val="28"/>
          <w:szCs w:val="28"/>
        </w:rPr>
        <w:t>производителей</w:t>
      </w:r>
      <w:r>
        <w:rPr>
          <w:rFonts w:ascii="Times New Roman" w:hAnsi="Times New Roman"/>
          <w:sz w:val="28"/>
          <w:szCs w:val="28"/>
        </w:rPr>
        <w:t>, среди которых можно отметить:</w:t>
      </w:r>
    </w:p>
    <w:p w14:paraId="073319C5" w14:textId="13A39DED"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дотировани</w:t>
      </w:r>
      <w:r w:rsidR="004A7310">
        <w:rPr>
          <w:rFonts w:ascii="Times New Roman" w:hAnsi="Times New Roman"/>
          <w:sz w:val="28"/>
          <w:szCs w:val="28"/>
        </w:rPr>
        <w:t>е</w:t>
      </w:r>
      <w:r w:rsidR="002B169F" w:rsidRPr="00375059">
        <w:rPr>
          <w:rFonts w:ascii="Times New Roman" w:hAnsi="Times New Roman"/>
          <w:sz w:val="28"/>
          <w:szCs w:val="28"/>
        </w:rPr>
        <w:t xml:space="preserve"> объемов сдачи молока на промышленную переработку – обратилось 42 хозяйствующих субъекта на общую сумму 12,0 млн руб.;</w:t>
      </w:r>
    </w:p>
    <w:p w14:paraId="4E70529D" w14:textId="7FCAFB11"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сохранени</w:t>
      </w:r>
      <w:r w:rsidR="004A7310">
        <w:rPr>
          <w:rFonts w:ascii="Times New Roman" w:hAnsi="Times New Roman"/>
          <w:sz w:val="28"/>
          <w:szCs w:val="28"/>
        </w:rPr>
        <w:t>е</w:t>
      </w:r>
      <w:r w:rsidR="002B169F" w:rsidRPr="00375059">
        <w:rPr>
          <w:rFonts w:ascii="Times New Roman" w:hAnsi="Times New Roman"/>
          <w:sz w:val="28"/>
          <w:szCs w:val="28"/>
        </w:rPr>
        <w:t xml:space="preserve"> льготных тарифов на услуги газоснабжения и электроэнергетики для производителей и переработчиков животноводческой продукции в сельской местности;</w:t>
      </w:r>
    </w:p>
    <w:p w14:paraId="461E25C7" w14:textId="35990597"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финансировани</w:t>
      </w:r>
      <w:r w:rsidR="004A7310">
        <w:rPr>
          <w:rFonts w:ascii="Times New Roman" w:hAnsi="Times New Roman"/>
          <w:bCs/>
          <w:sz w:val="28"/>
          <w:szCs w:val="28"/>
        </w:rPr>
        <w:t>е</w:t>
      </w:r>
      <w:r w:rsidR="002B169F" w:rsidRPr="00375059">
        <w:rPr>
          <w:rFonts w:ascii="Times New Roman" w:hAnsi="Times New Roman"/>
          <w:bCs/>
          <w:sz w:val="28"/>
          <w:szCs w:val="28"/>
        </w:rPr>
        <w:t xml:space="preserve"> карантинных и противоэпизоотических мероприятий;</w:t>
      </w:r>
    </w:p>
    <w:p w14:paraId="0D9C2DD8" w14:textId="0136BD49"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субсидировани</w:t>
      </w:r>
      <w:r w:rsidR="004A7310">
        <w:rPr>
          <w:rFonts w:ascii="Times New Roman" w:hAnsi="Times New Roman"/>
          <w:bCs/>
          <w:sz w:val="28"/>
          <w:szCs w:val="28"/>
        </w:rPr>
        <w:t>е</w:t>
      </w:r>
      <w:r w:rsidR="002B169F" w:rsidRPr="00375059">
        <w:rPr>
          <w:rFonts w:ascii="Times New Roman" w:hAnsi="Times New Roman"/>
          <w:bCs/>
          <w:sz w:val="28"/>
          <w:szCs w:val="28"/>
        </w:rPr>
        <w:t xml:space="preserve"> части затрат на покупку импортных племенных нетелей крупного рогатого скота;</w:t>
      </w:r>
    </w:p>
    <w:p w14:paraId="3B97762F" w14:textId="6D0EF860"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льготно</w:t>
      </w:r>
      <w:r w:rsidR="004A7310">
        <w:rPr>
          <w:rFonts w:ascii="Times New Roman" w:hAnsi="Times New Roman"/>
          <w:bCs/>
          <w:sz w:val="28"/>
          <w:szCs w:val="28"/>
        </w:rPr>
        <w:t>е</w:t>
      </w:r>
      <w:r w:rsidR="002B169F" w:rsidRPr="00375059">
        <w:rPr>
          <w:rFonts w:ascii="Times New Roman" w:hAnsi="Times New Roman"/>
          <w:bCs/>
          <w:sz w:val="28"/>
          <w:szCs w:val="28"/>
        </w:rPr>
        <w:t xml:space="preserve"> кредитования хозяйствующих субъектов агропромышленного комплекса, включая субъектов малого предпринимательства, из средств Фонда государственного резерва Приднестровской Молдавской Республики, а также путем субсидирования части процентной ставки по кредиту;</w:t>
      </w:r>
    </w:p>
    <w:p w14:paraId="3C9DC430" w14:textId="38BEB4E9"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выделени</w:t>
      </w:r>
      <w:r w:rsidR="004A7310">
        <w:rPr>
          <w:rFonts w:ascii="Times New Roman" w:hAnsi="Times New Roman"/>
          <w:bCs/>
          <w:sz w:val="28"/>
          <w:szCs w:val="28"/>
        </w:rPr>
        <w:t>е</w:t>
      </w:r>
      <w:r w:rsidR="002B169F" w:rsidRPr="00375059">
        <w:rPr>
          <w:rFonts w:ascii="Times New Roman" w:hAnsi="Times New Roman"/>
          <w:bCs/>
          <w:sz w:val="28"/>
          <w:szCs w:val="28"/>
        </w:rPr>
        <w:t xml:space="preserve"> средств на развитие личного подсобного хозяйства физическим лицам из средств Фонда государственного резерва Приднестровской Молдавской Республики;</w:t>
      </w:r>
    </w:p>
    <w:p w14:paraId="0B7C3A7C" w14:textId="352B8600"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сохранени</w:t>
      </w:r>
      <w:r w:rsidR="004A7310">
        <w:rPr>
          <w:rFonts w:ascii="Times New Roman" w:hAnsi="Times New Roman"/>
          <w:bCs/>
          <w:sz w:val="28"/>
          <w:szCs w:val="28"/>
        </w:rPr>
        <w:t>е</w:t>
      </w:r>
      <w:r w:rsidR="002B169F" w:rsidRPr="00375059">
        <w:rPr>
          <w:rFonts w:ascii="Times New Roman" w:hAnsi="Times New Roman"/>
          <w:bCs/>
          <w:sz w:val="28"/>
          <w:szCs w:val="28"/>
        </w:rPr>
        <w:t xml:space="preserve"> действующей системы льготного налогообложения для вновь образованных крестьянских (фермерских) хозяйств и фиксированного сельскохозяйственного</w:t>
      </w:r>
      <w:r w:rsidR="002827F3" w:rsidRPr="00375059">
        <w:rPr>
          <w:rFonts w:ascii="Times New Roman" w:hAnsi="Times New Roman"/>
          <w:bCs/>
          <w:sz w:val="28"/>
          <w:szCs w:val="28"/>
        </w:rPr>
        <w:t xml:space="preserve"> </w:t>
      </w:r>
      <w:r w:rsidR="002B169F" w:rsidRPr="00375059">
        <w:rPr>
          <w:rFonts w:ascii="Times New Roman" w:hAnsi="Times New Roman"/>
          <w:bCs/>
          <w:sz w:val="28"/>
          <w:szCs w:val="28"/>
        </w:rPr>
        <w:t>налога;</w:t>
      </w:r>
    </w:p>
    <w:p w14:paraId="37DC60BE" w14:textId="2E458187"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предоставлени</w:t>
      </w:r>
      <w:r w:rsidR="004A7310">
        <w:rPr>
          <w:rFonts w:ascii="Times New Roman" w:hAnsi="Times New Roman"/>
          <w:bCs/>
          <w:sz w:val="28"/>
          <w:szCs w:val="28"/>
        </w:rPr>
        <w:t>е</w:t>
      </w:r>
      <w:r w:rsidR="002B169F" w:rsidRPr="00375059">
        <w:rPr>
          <w:rFonts w:ascii="Times New Roman" w:hAnsi="Times New Roman"/>
          <w:bCs/>
          <w:sz w:val="28"/>
          <w:szCs w:val="28"/>
        </w:rPr>
        <w:t xml:space="preserve"> хозяйствующим субъектам, имеющим в пользовании либо аренде до 200 га земельных участков сельскохозяйственного назначения, бюджетных кредитов под 1% годовых для осуществления сельскохозяйственного производства;</w:t>
      </w:r>
    </w:p>
    <w:p w14:paraId="1C782D9F" w14:textId="3B86D183"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льгот</w:t>
      </w:r>
      <w:r w:rsidR="004A7310">
        <w:rPr>
          <w:rFonts w:ascii="Times New Roman" w:hAnsi="Times New Roman"/>
          <w:bCs/>
          <w:sz w:val="28"/>
          <w:szCs w:val="28"/>
        </w:rPr>
        <w:t>ы</w:t>
      </w:r>
      <w:r w:rsidR="002B169F" w:rsidRPr="00375059">
        <w:rPr>
          <w:rFonts w:ascii="Times New Roman" w:hAnsi="Times New Roman"/>
          <w:bCs/>
          <w:sz w:val="28"/>
          <w:szCs w:val="28"/>
        </w:rPr>
        <w:t xml:space="preserve"> по налогообложению земель, занятых молодыми садами и виноградниками, а также многолетними насаждениями, требующими раскорчевки.</w:t>
      </w:r>
    </w:p>
    <w:p w14:paraId="497AE302" w14:textId="77777777" w:rsidR="002B169F" w:rsidRPr="00375059" w:rsidRDefault="002B169F" w:rsidP="001463C8">
      <w:pPr>
        <w:widowControl w:val="0"/>
        <w:tabs>
          <w:tab w:val="left" w:pos="1418"/>
          <w:tab w:val="left" w:pos="8647"/>
        </w:tabs>
        <w:spacing w:after="0" w:line="240" w:lineRule="auto"/>
        <w:ind w:firstLine="567"/>
        <w:jc w:val="both"/>
        <w:rPr>
          <w:rFonts w:ascii="Times New Roman" w:eastAsia="Calibri" w:hAnsi="Times New Roman"/>
          <w:color w:val="000000"/>
          <w:sz w:val="28"/>
          <w:szCs w:val="28"/>
        </w:rPr>
      </w:pPr>
      <w:r w:rsidRPr="00375059">
        <w:rPr>
          <w:rFonts w:ascii="Times New Roman" w:hAnsi="Times New Roman"/>
          <w:bCs/>
          <w:sz w:val="28"/>
          <w:szCs w:val="28"/>
        </w:rPr>
        <w:t>С</w:t>
      </w:r>
      <w:r w:rsidRPr="00375059">
        <w:rPr>
          <w:rFonts w:ascii="Times New Roman" w:eastAsia="Calibri" w:hAnsi="Times New Roman"/>
          <w:color w:val="000000"/>
          <w:sz w:val="28"/>
          <w:szCs w:val="28"/>
        </w:rPr>
        <w:t xml:space="preserve">ельскохозяйственным производителям, понесшим существенные финансовые потери (убытки) в результате неблагоприятных погодных </w:t>
      </w:r>
      <w:r w:rsidRPr="00375059">
        <w:rPr>
          <w:rFonts w:ascii="Times New Roman" w:eastAsia="Calibri" w:hAnsi="Times New Roman"/>
          <w:color w:val="000000"/>
          <w:sz w:val="28"/>
          <w:szCs w:val="28"/>
        </w:rPr>
        <w:lastRenderedPageBreak/>
        <w:t>условий 2020 года, на счета землепользователей в размере, пропорциональном площади находящегося в их пользовании земельного участка, были произведены выплаты в совокупности на сумму 80,2 млн руб. РФ в процессе распределения безвозмездной помощи, предоставленной Российской Федерацией.</w:t>
      </w:r>
    </w:p>
    <w:p w14:paraId="0A63B10D" w14:textId="77777777" w:rsidR="002B169F" w:rsidRPr="00375059" w:rsidRDefault="002B169F"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В 2021 году Фондом государственного резерва Приднестровской Молдавской Республики за счет безвозмездных средств Российской Федерации были рассмотрены и удовлетворены заявки субъектов агропромышленного комплекса на сумму 1,8 млн евро, в том числе:</w:t>
      </w:r>
    </w:p>
    <w:p w14:paraId="2D8BF3B9" w14:textId="7BED92A6"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растениеводство и овощеводство – 1,2 млн евро;</w:t>
      </w:r>
    </w:p>
    <w:p w14:paraId="6D11DC4B" w14:textId="6D72010D"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мелиорация – 281,6 тыс. евро;</w:t>
      </w:r>
    </w:p>
    <w:p w14:paraId="613D0C26" w14:textId="1FBE96C2"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863ADB">
        <w:rPr>
          <w:rFonts w:ascii="Times New Roman" w:hAnsi="Times New Roman"/>
          <w:bCs/>
          <w:sz w:val="28"/>
          <w:szCs w:val="28"/>
        </w:rPr>
        <w:t> </w:t>
      </w:r>
      <w:r w:rsidR="002B169F" w:rsidRPr="00375059">
        <w:rPr>
          <w:rFonts w:ascii="Times New Roman" w:hAnsi="Times New Roman"/>
          <w:bCs/>
          <w:sz w:val="28"/>
          <w:szCs w:val="28"/>
        </w:rPr>
        <w:t>хранение и переработка сельскохозяйственной продукции – 174,2 тыс. евро;</w:t>
      </w:r>
    </w:p>
    <w:p w14:paraId="7E080503" w14:textId="6001A5F8"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общественное питание – 115,4 тыс. евро;</w:t>
      </w:r>
    </w:p>
    <w:p w14:paraId="14B543EC" w14:textId="3B602092"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раскорчевка – 28,9 тыс. евро;</w:t>
      </w:r>
    </w:p>
    <w:p w14:paraId="08FB63B8" w14:textId="76AAB3A1" w:rsidR="002B169F" w:rsidRPr="00375059" w:rsidRDefault="007062C1"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w:t>
      </w:r>
      <w:r w:rsidR="002B169F" w:rsidRPr="00375059">
        <w:rPr>
          <w:rFonts w:ascii="Times New Roman" w:hAnsi="Times New Roman"/>
          <w:bCs/>
          <w:sz w:val="28"/>
          <w:szCs w:val="28"/>
        </w:rPr>
        <w:t xml:space="preserve"> производство и переработка продовольственных, промышленных товаров, товаров народного потребления – 26,0 тыс. евро.</w:t>
      </w:r>
    </w:p>
    <w:p w14:paraId="2F2D390D" w14:textId="77777777" w:rsidR="002B169F" w:rsidRPr="00375059" w:rsidRDefault="002B169F"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Кроме того, на развитие личного подсобного хозяйства физическим лицам выделено 2,4 млн руб.</w:t>
      </w:r>
    </w:p>
    <w:p w14:paraId="74F26BD4" w14:textId="77777777" w:rsidR="002B169F" w:rsidRPr="00375059" w:rsidRDefault="002B169F"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Государство продолжает оказывать поддержку сельскохозяйственным предприятиям, которые ввозят в республику племенной скот молочного направления. На эти цели были предусмотрены денежные средства в сумме 7,6 млн руб., включая кредиторскую задолженность за 2020 год в сумме 2,2 млн руб. Выплачены субсидии на приобретение 245 голов нетелей на общую сумму 3,2 млн руб.</w:t>
      </w:r>
    </w:p>
    <w:p w14:paraId="408FA2A5" w14:textId="3B614932" w:rsidR="002B169F" w:rsidRPr="00375059" w:rsidRDefault="002B169F"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 xml:space="preserve">В 2021 году раскорчевано и переведено в пашню 787,2 га, в том числе садов – 602,1 га, виноградников – 165,1 га, ореховых, тутовых насаждений </w:t>
      </w:r>
      <w:r w:rsidR="00150C6C">
        <w:rPr>
          <w:rFonts w:ascii="Times New Roman" w:hAnsi="Times New Roman"/>
          <w:bCs/>
          <w:sz w:val="28"/>
          <w:szCs w:val="28"/>
        </w:rPr>
        <w:t>–</w:t>
      </w:r>
      <w:r w:rsidRPr="00375059">
        <w:rPr>
          <w:rFonts w:ascii="Times New Roman" w:hAnsi="Times New Roman"/>
          <w:bCs/>
          <w:sz w:val="28"/>
          <w:szCs w:val="28"/>
        </w:rPr>
        <w:t xml:space="preserve"> 8</w:t>
      </w:r>
      <w:r w:rsidR="00317949">
        <w:rPr>
          <w:rFonts w:ascii="Times New Roman" w:hAnsi="Times New Roman"/>
          <w:bCs/>
          <w:sz w:val="28"/>
          <w:szCs w:val="28"/>
        </w:rPr>
        <w:t> </w:t>
      </w:r>
      <w:r w:rsidRPr="00375059">
        <w:rPr>
          <w:rFonts w:ascii="Times New Roman" w:hAnsi="Times New Roman"/>
          <w:bCs/>
          <w:sz w:val="28"/>
          <w:szCs w:val="28"/>
        </w:rPr>
        <w:t>га, ягодников – 12 га. Кроме того, раскорчевано 224,4 га прочих древесно-кустарниковых насаждений с последующим переводом в пашню. Наряду с раскорчевкой списанных многолетних насаждений с последующим переводом земель в пашню, была произведена закладка новых садов интенсивного типа. Также заложены виноградники, орехоплодные насаждения и ягодники. Посажено 165,9 га молодых насаждений, в том числе садов – 116,6 га, виноградников – 45,4 га, орехоплодных –2,3 га, ягодников – 1,6 га.</w:t>
      </w:r>
    </w:p>
    <w:p w14:paraId="615F689C" w14:textId="77777777" w:rsidR="002B169F" w:rsidRPr="00375059" w:rsidRDefault="002B169F" w:rsidP="001463C8">
      <w:pPr>
        <w:widowControl w:val="0"/>
        <w:tabs>
          <w:tab w:val="left" w:pos="1418"/>
          <w:tab w:val="left" w:pos="8647"/>
        </w:tabs>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Введено в эксплуатацию 218,6 га насаждений, вступивших в плодоношение, в том числе садов – 170,6 га, виноградников – 0,2 га, ягодников – 47,8 га.</w:t>
      </w:r>
    </w:p>
    <w:p w14:paraId="421B01DB" w14:textId="7B557D12" w:rsidR="002B169F" w:rsidRPr="00375059" w:rsidRDefault="002B169F" w:rsidP="001463C8">
      <w:pPr>
        <w:tabs>
          <w:tab w:val="left" w:pos="1418"/>
        </w:tabs>
        <w:spacing w:after="0"/>
        <w:ind w:firstLine="567"/>
        <w:rPr>
          <w:rFonts w:ascii="Times New Roman" w:hAnsi="Times New Roman"/>
        </w:rPr>
      </w:pPr>
    </w:p>
    <w:p w14:paraId="14BB6A0F" w14:textId="77777777" w:rsidR="002B169F" w:rsidRPr="00375059" w:rsidRDefault="002B169F" w:rsidP="001463C8">
      <w:pPr>
        <w:pStyle w:val="2"/>
        <w:spacing w:before="0" w:line="240" w:lineRule="auto"/>
        <w:ind w:firstLine="567"/>
        <w:rPr>
          <w:rFonts w:ascii="Times New Roman" w:hAnsi="Times New Roman" w:cs="Times New Roman"/>
          <w:b/>
          <w:color w:val="auto"/>
          <w:sz w:val="28"/>
          <w:szCs w:val="28"/>
        </w:rPr>
      </w:pPr>
      <w:bookmarkStart w:id="12" w:name="_Toc82074344"/>
      <w:bookmarkStart w:id="13" w:name="_Toc101441780"/>
      <w:r w:rsidRPr="00375059">
        <w:rPr>
          <w:rFonts w:ascii="Times New Roman" w:hAnsi="Times New Roman" w:cs="Times New Roman"/>
          <w:b/>
          <w:color w:val="auto"/>
          <w:sz w:val="28"/>
        </w:rPr>
        <w:t>Транспорт</w:t>
      </w:r>
      <w:bookmarkEnd w:id="12"/>
      <w:bookmarkEnd w:id="13"/>
    </w:p>
    <w:p w14:paraId="74E06F4D" w14:textId="77777777" w:rsidR="002B169F" w:rsidRPr="00375059" w:rsidRDefault="002B169F" w:rsidP="001463C8">
      <w:pPr>
        <w:widowControl w:val="0"/>
        <w:spacing w:after="0" w:line="240" w:lineRule="auto"/>
        <w:ind w:firstLine="567"/>
        <w:jc w:val="both"/>
        <w:rPr>
          <w:rFonts w:ascii="Times New Roman" w:hAnsi="Times New Roman"/>
          <w:color w:val="222222"/>
          <w:sz w:val="28"/>
          <w:szCs w:val="28"/>
          <w:shd w:val="clear" w:color="auto" w:fill="FFFFFF"/>
        </w:rPr>
      </w:pPr>
      <w:r w:rsidRPr="00375059">
        <w:rPr>
          <w:rFonts w:ascii="Times New Roman" w:hAnsi="Times New Roman"/>
          <w:sz w:val="28"/>
          <w:szCs w:val="28"/>
        </w:rPr>
        <w:t>Транспортная отрасль была в числе наиболее пострадавших секторов экономики по итогам 2020 года. В связи с этим 2021 год стал периодом постепенной адаптации к новым условиям хозяйствования.</w:t>
      </w:r>
      <w:r w:rsidRPr="00375059">
        <w:rPr>
          <w:rFonts w:ascii="Times New Roman" w:hAnsi="Times New Roman"/>
          <w:sz w:val="28"/>
          <w:szCs w:val="28"/>
          <w:shd w:val="clear" w:color="auto" w:fill="FFFFFF"/>
        </w:rPr>
        <w:t xml:space="preserve"> Наиболее яркий положительный тренд характеризовал деятельность предприятий автотранспорта общего пользования, где рост количества перевезенных пассажиров сопровождался и улучшением финансовых результатов</w:t>
      </w:r>
      <w:r w:rsidRPr="00375059">
        <w:rPr>
          <w:rFonts w:ascii="Times New Roman" w:hAnsi="Times New Roman"/>
          <w:color w:val="222222"/>
          <w:sz w:val="28"/>
          <w:szCs w:val="28"/>
          <w:shd w:val="clear" w:color="auto" w:fill="FFFFFF"/>
        </w:rPr>
        <w:t xml:space="preserve">.  </w:t>
      </w:r>
    </w:p>
    <w:p w14:paraId="611AE378" w14:textId="37ACA74F"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lastRenderedPageBreak/>
        <w:t>В сфере грузового транспорта общего пользования увеличение общего объема перевезенных грузов на 2,5% до 3 071,7 тыс. тонн на фоне сокращения средней дальности</w:t>
      </w:r>
      <w:r w:rsidRPr="00375059">
        <w:rPr>
          <w:rFonts w:ascii="Times New Roman" w:hAnsi="Times New Roman"/>
          <w:spacing w:val="3"/>
          <w:sz w:val="28"/>
          <w:szCs w:val="28"/>
        </w:rPr>
        <w:t xml:space="preserve"> перевозки на 11,5% до 9,2 км сформировали показатель </w:t>
      </w:r>
      <w:r w:rsidRPr="00375059">
        <w:rPr>
          <w:rFonts w:ascii="Times New Roman" w:hAnsi="Times New Roman"/>
          <w:sz w:val="28"/>
          <w:szCs w:val="28"/>
        </w:rPr>
        <w:t xml:space="preserve">грузооборота в размере </w:t>
      </w:r>
      <w:r w:rsidRPr="00375059">
        <w:rPr>
          <w:rFonts w:ascii="Times New Roman" w:hAnsi="Times New Roman"/>
          <w:spacing w:val="3"/>
          <w:sz w:val="28"/>
          <w:szCs w:val="28"/>
        </w:rPr>
        <w:t>28 302,9 тыс. т-км (-9,6%)</w:t>
      </w:r>
      <w:r w:rsidRPr="00375059">
        <w:rPr>
          <w:rFonts w:ascii="Times New Roman" w:hAnsi="Times New Roman"/>
          <w:sz w:val="28"/>
          <w:szCs w:val="28"/>
        </w:rPr>
        <w:t xml:space="preserve">. При этом доходы организаций </w:t>
      </w:r>
      <w:r w:rsidRPr="00375059">
        <w:rPr>
          <w:rFonts w:ascii="Times New Roman" w:hAnsi="Times New Roman"/>
          <w:b/>
          <w:sz w:val="28"/>
          <w:szCs w:val="28"/>
        </w:rPr>
        <w:t xml:space="preserve">грузового автомобильного транспорта </w:t>
      </w:r>
      <w:r w:rsidRPr="00375059">
        <w:rPr>
          <w:rFonts w:ascii="Times New Roman" w:hAnsi="Times New Roman"/>
          <w:sz w:val="28"/>
          <w:szCs w:val="28"/>
        </w:rPr>
        <w:t xml:space="preserve">сократились до 68 188,6 тыс. руб., или на 1,7% к уровню 2020 года </w:t>
      </w:r>
      <w:r w:rsidRPr="00375059">
        <w:rPr>
          <w:rFonts w:ascii="Times New Roman" w:hAnsi="Times New Roman"/>
          <w:spacing w:val="3"/>
          <w:sz w:val="28"/>
          <w:szCs w:val="28"/>
        </w:rPr>
        <w:t xml:space="preserve">(табл. </w:t>
      </w:r>
      <w:r w:rsidR="006308DD" w:rsidRPr="00375059">
        <w:rPr>
          <w:rFonts w:ascii="Times New Roman" w:hAnsi="Times New Roman"/>
          <w:spacing w:val="3"/>
          <w:sz w:val="28"/>
          <w:szCs w:val="28"/>
        </w:rPr>
        <w:t>2</w:t>
      </w:r>
      <w:r w:rsidRPr="00375059">
        <w:rPr>
          <w:rFonts w:ascii="Times New Roman" w:hAnsi="Times New Roman"/>
          <w:spacing w:val="3"/>
          <w:sz w:val="28"/>
          <w:szCs w:val="28"/>
        </w:rPr>
        <w:t>)</w:t>
      </w:r>
      <w:r w:rsidRPr="00375059">
        <w:rPr>
          <w:rFonts w:ascii="Times New Roman" w:hAnsi="Times New Roman"/>
          <w:sz w:val="28"/>
          <w:szCs w:val="28"/>
        </w:rPr>
        <w:t>.</w:t>
      </w:r>
    </w:p>
    <w:p w14:paraId="7DE70CE4" w14:textId="71CA937C" w:rsidR="002B169F" w:rsidRPr="00375059" w:rsidRDefault="002B169F" w:rsidP="002B169F">
      <w:pPr>
        <w:widowControl w:val="0"/>
        <w:spacing w:after="0" w:line="240" w:lineRule="auto"/>
        <w:ind w:firstLine="425"/>
        <w:jc w:val="right"/>
        <w:rPr>
          <w:rFonts w:ascii="Times New Roman" w:hAnsi="Times New Roman"/>
          <w:b/>
          <w:i/>
          <w:spacing w:val="3"/>
          <w:sz w:val="28"/>
          <w:szCs w:val="28"/>
        </w:rPr>
      </w:pPr>
      <w:r w:rsidRPr="00375059">
        <w:rPr>
          <w:rFonts w:ascii="Times New Roman" w:hAnsi="Times New Roman"/>
          <w:b/>
          <w:i/>
          <w:spacing w:val="3"/>
          <w:sz w:val="28"/>
          <w:szCs w:val="28"/>
        </w:rPr>
        <w:t xml:space="preserve">Таблица </w:t>
      </w:r>
      <w:r w:rsidR="006308DD" w:rsidRPr="00375059">
        <w:rPr>
          <w:rFonts w:ascii="Times New Roman" w:hAnsi="Times New Roman"/>
          <w:b/>
          <w:i/>
          <w:spacing w:val="3"/>
          <w:sz w:val="28"/>
          <w:szCs w:val="28"/>
        </w:rPr>
        <w:t>2</w:t>
      </w:r>
    </w:p>
    <w:p w14:paraId="23E67067" w14:textId="77777777" w:rsidR="002B169F" w:rsidRPr="00375059" w:rsidRDefault="002B169F" w:rsidP="002B169F">
      <w:pPr>
        <w:widowControl w:val="0"/>
        <w:spacing w:after="0" w:line="240" w:lineRule="auto"/>
        <w:jc w:val="center"/>
        <w:rPr>
          <w:rFonts w:ascii="Times New Roman" w:hAnsi="Times New Roman"/>
          <w:b/>
          <w:sz w:val="28"/>
          <w:szCs w:val="28"/>
        </w:rPr>
      </w:pPr>
      <w:r w:rsidRPr="00375059">
        <w:rPr>
          <w:rFonts w:ascii="Times New Roman" w:hAnsi="Times New Roman"/>
          <w:b/>
          <w:sz w:val="28"/>
          <w:szCs w:val="28"/>
        </w:rPr>
        <w:t>Показатели работы грузового транспорта общего пользования</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050"/>
        <w:gridCol w:w="1353"/>
        <w:gridCol w:w="1353"/>
        <w:gridCol w:w="1353"/>
      </w:tblGrid>
      <w:tr w:rsidR="002B169F" w:rsidRPr="00375059" w14:paraId="2A1B7A71" w14:textId="77777777" w:rsidTr="006C2BEF">
        <w:trPr>
          <w:trHeight w:val="503"/>
          <w:jc w:val="center"/>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F6F0D" w14:textId="6DEA0018" w:rsidR="002B169F" w:rsidRPr="00375059" w:rsidRDefault="002B169F">
            <w:pPr>
              <w:widowControl w:val="0"/>
              <w:spacing w:after="0" w:line="240" w:lineRule="auto"/>
              <w:jc w:val="center"/>
              <w:rPr>
                <w:rFonts w:ascii="Times New Roman" w:hAnsi="Times New Roman"/>
                <w:b/>
                <w:sz w:val="24"/>
                <w:szCs w:val="24"/>
              </w:rPr>
            </w:pPr>
            <w:r w:rsidRPr="00375059">
              <w:rPr>
                <w:rFonts w:ascii="Times New Roman" w:hAnsi="Times New Roman"/>
                <w:b/>
                <w:sz w:val="24"/>
                <w:szCs w:val="24"/>
              </w:rPr>
              <w:t>Показател</w:t>
            </w:r>
            <w:r w:rsidR="00CE10DF">
              <w:rPr>
                <w:rFonts w:ascii="Times New Roman" w:hAnsi="Times New Roman"/>
                <w:b/>
                <w:sz w:val="24"/>
                <w:szCs w:val="24"/>
              </w:rPr>
              <w:t>ь</w:t>
            </w:r>
          </w:p>
        </w:tc>
        <w:tc>
          <w:tcPr>
            <w:tcW w:w="1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03EB69" w14:textId="77777777" w:rsidR="002B169F" w:rsidRPr="00375059" w:rsidRDefault="002B169F">
            <w:pPr>
              <w:widowControl w:val="0"/>
              <w:spacing w:after="0" w:line="240" w:lineRule="auto"/>
              <w:jc w:val="center"/>
              <w:rPr>
                <w:rFonts w:ascii="Times New Roman" w:hAnsi="Times New Roman"/>
                <w:b/>
                <w:sz w:val="24"/>
                <w:szCs w:val="24"/>
              </w:rPr>
            </w:pPr>
            <w:r w:rsidRPr="00375059">
              <w:rPr>
                <w:rFonts w:ascii="Times New Roman" w:hAnsi="Times New Roman"/>
                <w:b/>
                <w:sz w:val="24"/>
                <w:szCs w:val="24"/>
              </w:rPr>
              <w:t>ед. изм.</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6B0300" w14:textId="77777777" w:rsidR="002B169F" w:rsidRPr="00375059" w:rsidRDefault="002B169F">
            <w:pPr>
              <w:widowControl w:val="0"/>
              <w:spacing w:after="0" w:line="240" w:lineRule="auto"/>
              <w:jc w:val="center"/>
              <w:rPr>
                <w:rFonts w:ascii="Times New Roman" w:hAnsi="Times New Roman"/>
                <w:b/>
                <w:sz w:val="24"/>
                <w:szCs w:val="24"/>
              </w:rPr>
            </w:pPr>
            <w:r w:rsidRPr="00375059">
              <w:rPr>
                <w:rFonts w:ascii="Times New Roman" w:hAnsi="Times New Roman"/>
                <w:b/>
                <w:sz w:val="24"/>
                <w:szCs w:val="24"/>
              </w:rPr>
              <w:t>2020 год</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5EC109" w14:textId="77777777" w:rsidR="002B169F" w:rsidRPr="00375059" w:rsidRDefault="002B169F">
            <w:pPr>
              <w:widowControl w:val="0"/>
              <w:spacing w:after="0" w:line="240" w:lineRule="auto"/>
              <w:jc w:val="center"/>
              <w:rPr>
                <w:rFonts w:ascii="Times New Roman" w:hAnsi="Times New Roman"/>
                <w:b/>
                <w:sz w:val="24"/>
                <w:szCs w:val="24"/>
              </w:rPr>
            </w:pPr>
            <w:r w:rsidRPr="00375059">
              <w:rPr>
                <w:rFonts w:ascii="Times New Roman" w:hAnsi="Times New Roman"/>
                <w:b/>
                <w:sz w:val="24"/>
                <w:szCs w:val="24"/>
              </w:rPr>
              <w:t>2021 год</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04C4A" w14:textId="1BE1A761" w:rsidR="002B169F" w:rsidRPr="00375059" w:rsidRDefault="0095049F">
            <w:pPr>
              <w:widowControl w:val="0"/>
              <w:spacing w:after="0" w:line="240" w:lineRule="auto"/>
              <w:ind w:left="-108" w:right="-51"/>
              <w:jc w:val="center"/>
              <w:rPr>
                <w:rFonts w:ascii="Times New Roman" w:hAnsi="Times New Roman"/>
                <w:b/>
                <w:sz w:val="24"/>
                <w:szCs w:val="24"/>
              </w:rPr>
            </w:pPr>
            <w:r w:rsidRPr="00375059">
              <w:rPr>
                <w:rFonts w:ascii="Times New Roman" w:hAnsi="Times New Roman"/>
                <w:b/>
                <w:sz w:val="24"/>
                <w:szCs w:val="24"/>
              </w:rPr>
              <w:t>темп роста к 2020 году, %</w:t>
            </w:r>
          </w:p>
        </w:tc>
      </w:tr>
      <w:tr w:rsidR="002B169F" w:rsidRPr="00375059" w14:paraId="667C40D3" w14:textId="77777777" w:rsidTr="002B169F">
        <w:trPr>
          <w:trHeight w:val="205"/>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14:paraId="7B35066E" w14:textId="77777777" w:rsidR="002B169F" w:rsidRPr="00375059" w:rsidRDefault="002B169F">
            <w:pPr>
              <w:widowControl w:val="0"/>
              <w:spacing w:after="0" w:line="240" w:lineRule="auto"/>
              <w:rPr>
                <w:rFonts w:ascii="Times New Roman" w:hAnsi="Times New Roman"/>
                <w:sz w:val="24"/>
                <w:szCs w:val="24"/>
                <w:vertAlign w:val="superscript"/>
              </w:rPr>
            </w:pPr>
            <w:r w:rsidRPr="00375059">
              <w:rPr>
                <w:rFonts w:ascii="Times New Roman" w:hAnsi="Times New Roman"/>
                <w:sz w:val="24"/>
                <w:szCs w:val="24"/>
              </w:rPr>
              <w:t>Объем перевезенных грузов</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C44B1CE" w14:textId="77777777" w:rsidR="002B169F" w:rsidRPr="00375059" w:rsidRDefault="002B169F">
            <w:pPr>
              <w:widowControl w:val="0"/>
              <w:spacing w:after="0" w:line="240" w:lineRule="auto"/>
              <w:ind w:left="-113" w:right="-113"/>
              <w:jc w:val="center"/>
              <w:rPr>
                <w:rFonts w:ascii="Times New Roman" w:hAnsi="Times New Roman"/>
                <w:sz w:val="24"/>
                <w:szCs w:val="24"/>
              </w:rPr>
            </w:pPr>
            <w:r w:rsidRPr="00375059">
              <w:rPr>
                <w:rFonts w:ascii="Times New Roman" w:hAnsi="Times New Roman"/>
                <w:sz w:val="24"/>
                <w:szCs w:val="24"/>
              </w:rPr>
              <w:t>тыс. т</w:t>
            </w:r>
          </w:p>
        </w:tc>
        <w:tc>
          <w:tcPr>
            <w:tcW w:w="1353" w:type="dxa"/>
            <w:tcBorders>
              <w:top w:val="single" w:sz="4" w:space="0" w:color="auto"/>
              <w:left w:val="single" w:sz="4" w:space="0" w:color="auto"/>
              <w:bottom w:val="single" w:sz="4" w:space="0" w:color="auto"/>
              <w:right w:val="single" w:sz="4" w:space="0" w:color="auto"/>
            </w:tcBorders>
            <w:vAlign w:val="bottom"/>
            <w:hideMark/>
          </w:tcPr>
          <w:p w14:paraId="326611D1"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2 997,3</w:t>
            </w:r>
          </w:p>
        </w:tc>
        <w:tc>
          <w:tcPr>
            <w:tcW w:w="1353" w:type="dxa"/>
            <w:tcBorders>
              <w:top w:val="single" w:sz="4" w:space="0" w:color="auto"/>
              <w:left w:val="single" w:sz="4" w:space="0" w:color="auto"/>
              <w:bottom w:val="single" w:sz="4" w:space="0" w:color="auto"/>
              <w:right w:val="single" w:sz="4" w:space="0" w:color="auto"/>
            </w:tcBorders>
            <w:vAlign w:val="bottom"/>
            <w:hideMark/>
          </w:tcPr>
          <w:p w14:paraId="10C63A92"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3 071,7</w:t>
            </w:r>
          </w:p>
        </w:tc>
        <w:tc>
          <w:tcPr>
            <w:tcW w:w="1353" w:type="dxa"/>
            <w:tcBorders>
              <w:top w:val="single" w:sz="4" w:space="0" w:color="auto"/>
              <w:left w:val="single" w:sz="4" w:space="0" w:color="auto"/>
              <w:bottom w:val="single" w:sz="4" w:space="0" w:color="auto"/>
              <w:right w:val="single" w:sz="4" w:space="0" w:color="auto"/>
            </w:tcBorders>
            <w:vAlign w:val="bottom"/>
            <w:hideMark/>
          </w:tcPr>
          <w:p w14:paraId="1FC1BCFF"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102,5</w:t>
            </w:r>
          </w:p>
        </w:tc>
      </w:tr>
      <w:tr w:rsidR="002B169F" w:rsidRPr="00375059" w14:paraId="1394372B" w14:textId="77777777" w:rsidTr="002B169F">
        <w:trPr>
          <w:trHeight w:val="182"/>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14:paraId="47CFD5B7" w14:textId="77777777" w:rsidR="002B169F" w:rsidRPr="00375059" w:rsidRDefault="002B169F">
            <w:pPr>
              <w:widowControl w:val="0"/>
              <w:spacing w:after="0" w:line="240" w:lineRule="auto"/>
              <w:rPr>
                <w:rFonts w:ascii="Times New Roman" w:hAnsi="Times New Roman"/>
                <w:sz w:val="24"/>
                <w:szCs w:val="24"/>
              </w:rPr>
            </w:pPr>
            <w:r w:rsidRPr="00375059">
              <w:rPr>
                <w:rFonts w:ascii="Times New Roman" w:hAnsi="Times New Roman"/>
                <w:sz w:val="24"/>
                <w:szCs w:val="24"/>
              </w:rPr>
              <w:t>Грузооборот</w:t>
            </w:r>
          </w:p>
        </w:tc>
        <w:tc>
          <w:tcPr>
            <w:tcW w:w="1050" w:type="dxa"/>
            <w:tcBorders>
              <w:top w:val="single" w:sz="4" w:space="0" w:color="auto"/>
              <w:left w:val="single" w:sz="4" w:space="0" w:color="auto"/>
              <w:bottom w:val="single" w:sz="4" w:space="0" w:color="auto"/>
              <w:right w:val="single" w:sz="4" w:space="0" w:color="auto"/>
            </w:tcBorders>
            <w:vAlign w:val="center"/>
            <w:hideMark/>
          </w:tcPr>
          <w:p w14:paraId="0B469903" w14:textId="77777777" w:rsidR="002B169F" w:rsidRPr="00375059" w:rsidRDefault="002B169F">
            <w:pPr>
              <w:widowControl w:val="0"/>
              <w:spacing w:after="0" w:line="240" w:lineRule="auto"/>
              <w:ind w:left="-113" w:right="-113"/>
              <w:jc w:val="center"/>
              <w:rPr>
                <w:rFonts w:ascii="Times New Roman" w:hAnsi="Times New Roman"/>
                <w:sz w:val="24"/>
                <w:szCs w:val="24"/>
              </w:rPr>
            </w:pPr>
            <w:r w:rsidRPr="00375059">
              <w:rPr>
                <w:rFonts w:ascii="Times New Roman" w:hAnsi="Times New Roman"/>
                <w:sz w:val="24"/>
                <w:szCs w:val="24"/>
              </w:rPr>
              <w:t>тыс. т-км</w:t>
            </w:r>
          </w:p>
        </w:tc>
        <w:tc>
          <w:tcPr>
            <w:tcW w:w="1353" w:type="dxa"/>
            <w:tcBorders>
              <w:top w:val="single" w:sz="4" w:space="0" w:color="auto"/>
              <w:left w:val="single" w:sz="4" w:space="0" w:color="auto"/>
              <w:bottom w:val="single" w:sz="4" w:space="0" w:color="auto"/>
              <w:right w:val="single" w:sz="4" w:space="0" w:color="auto"/>
            </w:tcBorders>
            <w:vAlign w:val="bottom"/>
            <w:hideMark/>
          </w:tcPr>
          <w:p w14:paraId="2E68BF2A"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31 313,6</w:t>
            </w:r>
          </w:p>
        </w:tc>
        <w:tc>
          <w:tcPr>
            <w:tcW w:w="1353" w:type="dxa"/>
            <w:tcBorders>
              <w:top w:val="single" w:sz="4" w:space="0" w:color="auto"/>
              <w:left w:val="single" w:sz="4" w:space="0" w:color="auto"/>
              <w:bottom w:val="single" w:sz="4" w:space="0" w:color="auto"/>
              <w:right w:val="single" w:sz="4" w:space="0" w:color="auto"/>
            </w:tcBorders>
            <w:vAlign w:val="bottom"/>
            <w:hideMark/>
          </w:tcPr>
          <w:p w14:paraId="037A7525"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28 302,9</w:t>
            </w:r>
          </w:p>
        </w:tc>
        <w:tc>
          <w:tcPr>
            <w:tcW w:w="1353" w:type="dxa"/>
            <w:tcBorders>
              <w:top w:val="single" w:sz="4" w:space="0" w:color="auto"/>
              <w:left w:val="single" w:sz="4" w:space="0" w:color="auto"/>
              <w:bottom w:val="single" w:sz="4" w:space="0" w:color="auto"/>
              <w:right w:val="single" w:sz="4" w:space="0" w:color="auto"/>
            </w:tcBorders>
            <w:vAlign w:val="bottom"/>
            <w:hideMark/>
          </w:tcPr>
          <w:p w14:paraId="0BECB97A"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90,4</w:t>
            </w:r>
          </w:p>
        </w:tc>
      </w:tr>
      <w:tr w:rsidR="002B169F" w:rsidRPr="00375059" w14:paraId="44D1594C" w14:textId="77777777" w:rsidTr="002B169F">
        <w:trPr>
          <w:trHeight w:val="213"/>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14:paraId="381528CA" w14:textId="77777777" w:rsidR="002B169F" w:rsidRPr="00375059" w:rsidRDefault="002B169F">
            <w:pPr>
              <w:widowControl w:val="0"/>
              <w:spacing w:after="0" w:line="240" w:lineRule="auto"/>
              <w:rPr>
                <w:rFonts w:ascii="Times New Roman" w:hAnsi="Times New Roman"/>
                <w:sz w:val="24"/>
                <w:szCs w:val="24"/>
              </w:rPr>
            </w:pPr>
            <w:r w:rsidRPr="00375059">
              <w:rPr>
                <w:rFonts w:ascii="Times New Roman" w:hAnsi="Times New Roman"/>
                <w:sz w:val="24"/>
                <w:szCs w:val="24"/>
              </w:rPr>
              <w:t>Средняя дальность перевозки 1 т груза</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ECAA1C1" w14:textId="77777777" w:rsidR="002B169F" w:rsidRPr="00375059" w:rsidRDefault="002B169F">
            <w:pPr>
              <w:widowControl w:val="0"/>
              <w:spacing w:after="0" w:line="240" w:lineRule="auto"/>
              <w:ind w:left="-113" w:right="-113"/>
              <w:jc w:val="center"/>
              <w:rPr>
                <w:rFonts w:ascii="Times New Roman" w:hAnsi="Times New Roman"/>
                <w:sz w:val="24"/>
                <w:szCs w:val="24"/>
              </w:rPr>
            </w:pPr>
            <w:r w:rsidRPr="00375059">
              <w:rPr>
                <w:rFonts w:ascii="Times New Roman" w:hAnsi="Times New Roman"/>
                <w:sz w:val="24"/>
                <w:szCs w:val="24"/>
              </w:rPr>
              <w:t>км</w:t>
            </w:r>
          </w:p>
        </w:tc>
        <w:tc>
          <w:tcPr>
            <w:tcW w:w="1353" w:type="dxa"/>
            <w:tcBorders>
              <w:top w:val="single" w:sz="4" w:space="0" w:color="auto"/>
              <w:left w:val="single" w:sz="4" w:space="0" w:color="auto"/>
              <w:bottom w:val="single" w:sz="4" w:space="0" w:color="auto"/>
              <w:right w:val="single" w:sz="4" w:space="0" w:color="auto"/>
            </w:tcBorders>
            <w:vAlign w:val="bottom"/>
            <w:hideMark/>
          </w:tcPr>
          <w:p w14:paraId="5EAC30D1"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10,4</w:t>
            </w:r>
          </w:p>
        </w:tc>
        <w:tc>
          <w:tcPr>
            <w:tcW w:w="1353" w:type="dxa"/>
            <w:tcBorders>
              <w:top w:val="single" w:sz="4" w:space="0" w:color="auto"/>
              <w:left w:val="single" w:sz="4" w:space="0" w:color="auto"/>
              <w:bottom w:val="single" w:sz="4" w:space="0" w:color="auto"/>
              <w:right w:val="single" w:sz="4" w:space="0" w:color="auto"/>
            </w:tcBorders>
            <w:vAlign w:val="bottom"/>
            <w:hideMark/>
          </w:tcPr>
          <w:p w14:paraId="0ED9BB9D"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9,2</w:t>
            </w:r>
          </w:p>
        </w:tc>
        <w:tc>
          <w:tcPr>
            <w:tcW w:w="1353" w:type="dxa"/>
            <w:tcBorders>
              <w:top w:val="single" w:sz="4" w:space="0" w:color="auto"/>
              <w:left w:val="single" w:sz="4" w:space="0" w:color="auto"/>
              <w:bottom w:val="single" w:sz="4" w:space="0" w:color="auto"/>
              <w:right w:val="single" w:sz="4" w:space="0" w:color="auto"/>
            </w:tcBorders>
            <w:vAlign w:val="bottom"/>
            <w:hideMark/>
          </w:tcPr>
          <w:p w14:paraId="51FF28E9"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88,5</w:t>
            </w:r>
          </w:p>
        </w:tc>
      </w:tr>
      <w:tr w:rsidR="002B169F" w:rsidRPr="00375059" w14:paraId="35B09AC5" w14:textId="77777777" w:rsidTr="002B169F">
        <w:trPr>
          <w:trHeight w:val="232"/>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14:paraId="2E5B8C9B" w14:textId="77777777" w:rsidR="002B169F" w:rsidRPr="00375059" w:rsidRDefault="002B169F">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Списочное число грузовых автомобилей (включая пикапы и легковые фургоны) на конец отчетного периода</w:t>
            </w:r>
          </w:p>
        </w:tc>
        <w:tc>
          <w:tcPr>
            <w:tcW w:w="1050" w:type="dxa"/>
            <w:tcBorders>
              <w:top w:val="single" w:sz="4" w:space="0" w:color="auto"/>
              <w:left w:val="single" w:sz="4" w:space="0" w:color="auto"/>
              <w:bottom w:val="single" w:sz="4" w:space="0" w:color="auto"/>
              <w:right w:val="single" w:sz="4" w:space="0" w:color="auto"/>
            </w:tcBorders>
            <w:vAlign w:val="center"/>
            <w:hideMark/>
          </w:tcPr>
          <w:p w14:paraId="092DE18A" w14:textId="77777777" w:rsidR="002B169F" w:rsidRPr="00375059" w:rsidRDefault="002B169F">
            <w:pPr>
              <w:widowControl w:val="0"/>
              <w:spacing w:after="0" w:line="240" w:lineRule="auto"/>
              <w:ind w:left="-113" w:right="-113"/>
              <w:jc w:val="center"/>
              <w:rPr>
                <w:rFonts w:ascii="Times New Roman" w:hAnsi="Times New Roman"/>
                <w:sz w:val="24"/>
                <w:szCs w:val="24"/>
              </w:rPr>
            </w:pPr>
            <w:r w:rsidRPr="00375059">
              <w:rPr>
                <w:rFonts w:ascii="Times New Roman" w:hAnsi="Times New Roman"/>
                <w:sz w:val="24"/>
                <w:szCs w:val="24"/>
              </w:rPr>
              <w:t>ед.</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0322CB2"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1 056</w:t>
            </w:r>
          </w:p>
        </w:tc>
        <w:tc>
          <w:tcPr>
            <w:tcW w:w="1353" w:type="dxa"/>
            <w:tcBorders>
              <w:top w:val="single" w:sz="4" w:space="0" w:color="auto"/>
              <w:left w:val="single" w:sz="4" w:space="0" w:color="auto"/>
              <w:bottom w:val="single" w:sz="4" w:space="0" w:color="auto"/>
              <w:right w:val="single" w:sz="4" w:space="0" w:color="auto"/>
            </w:tcBorders>
            <w:vAlign w:val="center"/>
            <w:hideMark/>
          </w:tcPr>
          <w:p w14:paraId="5FE98007"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1 045</w:t>
            </w:r>
          </w:p>
        </w:tc>
        <w:tc>
          <w:tcPr>
            <w:tcW w:w="1353" w:type="dxa"/>
            <w:tcBorders>
              <w:top w:val="single" w:sz="4" w:space="0" w:color="auto"/>
              <w:left w:val="single" w:sz="4" w:space="0" w:color="auto"/>
              <w:bottom w:val="single" w:sz="4" w:space="0" w:color="auto"/>
              <w:right w:val="single" w:sz="4" w:space="0" w:color="auto"/>
            </w:tcBorders>
            <w:vAlign w:val="center"/>
            <w:hideMark/>
          </w:tcPr>
          <w:p w14:paraId="1BE184CE"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99,0</w:t>
            </w:r>
          </w:p>
        </w:tc>
      </w:tr>
      <w:tr w:rsidR="002B169F" w:rsidRPr="00375059" w14:paraId="1FE2104D" w14:textId="77777777" w:rsidTr="002B169F">
        <w:trPr>
          <w:trHeight w:val="130"/>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14:paraId="532E396D" w14:textId="77777777" w:rsidR="002B169F" w:rsidRPr="00375059" w:rsidRDefault="002B169F">
            <w:pPr>
              <w:widowControl w:val="0"/>
              <w:spacing w:after="0" w:line="240" w:lineRule="auto"/>
              <w:rPr>
                <w:rFonts w:ascii="Times New Roman" w:hAnsi="Times New Roman"/>
                <w:sz w:val="24"/>
                <w:szCs w:val="24"/>
              </w:rPr>
            </w:pPr>
            <w:r w:rsidRPr="00375059">
              <w:rPr>
                <w:rFonts w:ascii="Times New Roman" w:hAnsi="Times New Roman"/>
                <w:sz w:val="24"/>
                <w:szCs w:val="24"/>
              </w:rPr>
              <w:t>Доход от доставки грузов</w:t>
            </w:r>
          </w:p>
        </w:tc>
        <w:tc>
          <w:tcPr>
            <w:tcW w:w="1050" w:type="dxa"/>
            <w:tcBorders>
              <w:top w:val="single" w:sz="4" w:space="0" w:color="auto"/>
              <w:left w:val="single" w:sz="4" w:space="0" w:color="auto"/>
              <w:bottom w:val="single" w:sz="4" w:space="0" w:color="auto"/>
              <w:right w:val="single" w:sz="4" w:space="0" w:color="auto"/>
            </w:tcBorders>
            <w:vAlign w:val="center"/>
            <w:hideMark/>
          </w:tcPr>
          <w:p w14:paraId="2F5DFDD7" w14:textId="77777777" w:rsidR="002B169F" w:rsidRPr="00375059" w:rsidRDefault="002B169F">
            <w:pPr>
              <w:widowControl w:val="0"/>
              <w:spacing w:after="0" w:line="240" w:lineRule="auto"/>
              <w:ind w:left="-113" w:right="-113"/>
              <w:jc w:val="center"/>
              <w:rPr>
                <w:rFonts w:ascii="Times New Roman" w:hAnsi="Times New Roman"/>
                <w:sz w:val="24"/>
                <w:szCs w:val="24"/>
              </w:rPr>
            </w:pPr>
            <w:r w:rsidRPr="00375059">
              <w:rPr>
                <w:rFonts w:ascii="Times New Roman" w:hAnsi="Times New Roman"/>
                <w:sz w:val="24"/>
                <w:szCs w:val="24"/>
              </w:rPr>
              <w:t>тыс. руб.</w:t>
            </w:r>
          </w:p>
        </w:tc>
        <w:tc>
          <w:tcPr>
            <w:tcW w:w="1353" w:type="dxa"/>
            <w:tcBorders>
              <w:top w:val="single" w:sz="4" w:space="0" w:color="auto"/>
              <w:left w:val="single" w:sz="4" w:space="0" w:color="auto"/>
              <w:bottom w:val="single" w:sz="4" w:space="0" w:color="auto"/>
              <w:right w:val="single" w:sz="4" w:space="0" w:color="auto"/>
            </w:tcBorders>
            <w:vAlign w:val="bottom"/>
            <w:hideMark/>
          </w:tcPr>
          <w:p w14:paraId="43DFE285"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69 338,5</w:t>
            </w:r>
          </w:p>
        </w:tc>
        <w:tc>
          <w:tcPr>
            <w:tcW w:w="1353" w:type="dxa"/>
            <w:tcBorders>
              <w:top w:val="single" w:sz="4" w:space="0" w:color="auto"/>
              <w:left w:val="single" w:sz="4" w:space="0" w:color="auto"/>
              <w:bottom w:val="single" w:sz="4" w:space="0" w:color="auto"/>
              <w:right w:val="single" w:sz="4" w:space="0" w:color="auto"/>
            </w:tcBorders>
            <w:vAlign w:val="bottom"/>
            <w:hideMark/>
          </w:tcPr>
          <w:p w14:paraId="7F01D1BE"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68 188,6</w:t>
            </w:r>
          </w:p>
        </w:tc>
        <w:tc>
          <w:tcPr>
            <w:tcW w:w="1353" w:type="dxa"/>
            <w:tcBorders>
              <w:top w:val="single" w:sz="4" w:space="0" w:color="auto"/>
              <w:left w:val="single" w:sz="4" w:space="0" w:color="auto"/>
              <w:bottom w:val="single" w:sz="4" w:space="0" w:color="auto"/>
              <w:right w:val="single" w:sz="4" w:space="0" w:color="auto"/>
            </w:tcBorders>
            <w:vAlign w:val="bottom"/>
            <w:hideMark/>
          </w:tcPr>
          <w:p w14:paraId="03D86688" w14:textId="77777777" w:rsidR="002B169F" w:rsidRPr="00375059" w:rsidRDefault="002B169F">
            <w:pPr>
              <w:spacing w:after="0" w:line="240" w:lineRule="auto"/>
              <w:jc w:val="center"/>
              <w:rPr>
                <w:rFonts w:ascii="Times New Roman" w:hAnsi="Times New Roman"/>
                <w:color w:val="000000"/>
                <w:sz w:val="24"/>
                <w:szCs w:val="24"/>
              </w:rPr>
            </w:pPr>
            <w:r w:rsidRPr="00375059">
              <w:rPr>
                <w:rFonts w:ascii="Times New Roman" w:hAnsi="Times New Roman"/>
                <w:color w:val="000000"/>
                <w:sz w:val="24"/>
                <w:szCs w:val="24"/>
              </w:rPr>
              <w:t>98,3</w:t>
            </w:r>
          </w:p>
        </w:tc>
      </w:tr>
    </w:tbl>
    <w:p w14:paraId="6E8A356F"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Значение показателей складывалось преимущественно под влиянием тенденций, фиксируемых на:</w:t>
      </w:r>
    </w:p>
    <w:p w14:paraId="4730C7BA" w14:textId="7A85F838" w:rsidR="002B169F" w:rsidRPr="00375059" w:rsidRDefault="006C2BE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ОАО «Машинно-технологическая станция» – рост грузооборота на 8,9% и объема перевезенных грузов 14,3%;</w:t>
      </w:r>
    </w:p>
    <w:p w14:paraId="356B13B2" w14:textId="6BF3D2F0" w:rsidR="002B169F" w:rsidRPr="00375059" w:rsidRDefault="006C2BE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ООО «Трасса» - грузооборот сократился на 41,4%, объем перевезенных грузов </w:t>
      </w:r>
      <w:r w:rsidRPr="00375059">
        <w:rPr>
          <w:rFonts w:ascii="Times New Roman" w:hAnsi="Times New Roman"/>
          <w:sz w:val="28"/>
          <w:szCs w:val="28"/>
        </w:rPr>
        <w:t>–</w:t>
      </w:r>
      <w:r w:rsidR="002B169F" w:rsidRPr="00375059">
        <w:rPr>
          <w:rFonts w:ascii="Times New Roman" w:hAnsi="Times New Roman"/>
          <w:sz w:val="28"/>
          <w:szCs w:val="28"/>
        </w:rPr>
        <w:t xml:space="preserve"> на 28,2%;</w:t>
      </w:r>
    </w:p>
    <w:p w14:paraId="67DF676F" w14:textId="3D2ABC6A" w:rsidR="002B169F" w:rsidRPr="00375059" w:rsidRDefault="006C2BE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ООО «</w:t>
      </w:r>
      <w:proofErr w:type="spellStart"/>
      <w:r w:rsidR="002B169F" w:rsidRPr="00375059">
        <w:rPr>
          <w:rFonts w:ascii="Times New Roman" w:hAnsi="Times New Roman"/>
          <w:sz w:val="28"/>
          <w:szCs w:val="28"/>
        </w:rPr>
        <w:t>Тиртранс</w:t>
      </w:r>
      <w:proofErr w:type="spellEnd"/>
      <w:r w:rsidR="002B169F" w:rsidRPr="00375059">
        <w:rPr>
          <w:rFonts w:ascii="Times New Roman" w:hAnsi="Times New Roman"/>
          <w:sz w:val="28"/>
          <w:szCs w:val="28"/>
        </w:rPr>
        <w:t>» – грузооборот увеличился на 31,9%, при этом объем перевезенных грузов сократился на 2,1%;</w:t>
      </w:r>
    </w:p>
    <w:p w14:paraId="008FEA04" w14:textId="5A4F51C7" w:rsidR="002B169F" w:rsidRPr="00375059" w:rsidRDefault="006C2BE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ООО «Ростан плюс» – рост в 3,8 раза и в 2,8 раза соответственно;</w:t>
      </w:r>
    </w:p>
    <w:p w14:paraId="2C114304" w14:textId="20EDE2E1" w:rsidR="002B169F" w:rsidRPr="00375059" w:rsidRDefault="006C2BE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ООО «Авто-Экспорт» </w:t>
      </w:r>
      <w:r w:rsidR="00150C6C" w:rsidRPr="00375059">
        <w:rPr>
          <w:rFonts w:ascii="Times New Roman" w:hAnsi="Times New Roman"/>
          <w:sz w:val="28"/>
          <w:szCs w:val="28"/>
        </w:rPr>
        <w:t>–</w:t>
      </w:r>
      <w:r w:rsidR="002B169F" w:rsidRPr="00375059">
        <w:rPr>
          <w:rFonts w:ascii="Times New Roman" w:hAnsi="Times New Roman"/>
          <w:sz w:val="28"/>
          <w:szCs w:val="28"/>
        </w:rPr>
        <w:t xml:space="preserve"> рост грузооборота в 6,4 раза, объема перевезенных грузов </w:t>
      </w:r>
      <w:r w:rsidRPr="00375059">
        <w:rPr>
          <w:rFonts w:ascii="Times New Roman" w:hAnsi="Times New Roman"/>
          <w:sz w:val="28"/>
          <w:szCs w:val="28"/>
        </w:rPr>
        <w:t>–</w:t>
      </w:r>
      <w:r w:rsidR="002B169F" w:rsidRPr="00375059">
        <w:rPr>
          <w:rFonts w:ascii="Times New Roman" w:hAnsi="Times New Roman"/>
          <w:sz w:val="28"/>
          <w:szCs w:val="28"/>
        </w:rPr>
        <w:t xml:space="preserve"> в 5,6 раза;</w:t>
      </w:r>
    </w:p>
    <w:p w14:paraId="2D44C6B3" w14:textId="74711676" w:rsidR="002B169F" w:rsidRPr="00375059" w:rsidRDefault="006C2BE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ООО «Вит-транс» – грузооборот увеличился на 75,3%, объем перевезенных грузов </w:t>
      </w:r>
      <w:r w:rsidRPr="00375059">
        <w:rPr>
          <w:rFonts w:ascii="Times New Roman" w:hAnsi="Times New Roman"/>
          <w:sz w:val="28"/>
          <w:szCs w:val="28"/>
        </w:rPr>
        <w:t>–</w:t>
      </w:r>
      <w:r w:rsidR="002B169F" w:rsidRPr="00375059">
        <w:rPr>
          <w:rFonts w:ascii="Times New Roman" w:hAnsi="Times New Roman"/>
          <w:sz w:val="28"/>
          <w:szCs w:val="28"/>
        </w:rPr>
        <w:t xml:space="preserve"> на 10,9%;</w:t>
      </w:r>
    </w:p>
    <w:p w14:paraId="428782A1" w14:textId="6717A47E" w:rsidR="002B169F" w:rsidRPr="00375059" w:rsidRDefault="006C2BE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ЗАО «Завод домостроительных конструкций» – грузооборот сократился на 37,9%, объем доставленных грузов – на 3,2%.</w:t>
      </w:r>
    </w:p>
    <w:p w14:paraId="63AB2228" w14:textId="60656E12" w:rsidR="002B169F" w:rsidRDefault="002B169F" w:rsidP="001463C8">
      <w:pPr>
        <w:widowControl w:val="0"/>
        <w:spacing w:after="0" w:line="240" w:lineRule="auto"/>
        <w:ind w:firstLine="567"/>
        <w:jc w:val="both"/>
        <w:rPr>
          <w:rFonts w:ascii="Times New Roman" w:hAnsi="Times New Roman"/>
          <w:spacing w:val="4"/>
          <w:sz w:val="28"/>
          <w:szCs w:val="28"/>
        </w:rPr>
      </w:pPr>
      <w:r w:rsidRPr="00375059">
        <w:rPr>
          <w:rFonts w:ascii="Times New Roman" w:hAnsi="Times New Roman"/>
          <w:spacing w:val="4"/>
          <w:sz w:val="28"/>
          <w:szCs w:val="28"/>
        </w:rPr>
        <w:t xml:space="preserve">Восстанавливающийся спрос на услуги </w:t>
      </w:r>
      <w:r w:rsidRPr="00375059">
        <w:rPr>
          <w:rFonts w:ascii="Times New Roman" w:hAnsi="Times New Roman"/>
          <w:b/>
          <w:i/>
          <w:spacing w:val="4"/>
          <w:sz w:val="28"/>
          <w:szCs w:val="28"/>
        </w:rPr>
        <w:t>автомобильного транспорта общего пользования</w:t>
      </w:r>
      <w:r w:rsidRPr="00375059">
        <w:rPr>
          <w:rFonts w:ascii="Times New Roman" w:hAnsi="Times New Roman"/>
          <w:bCs/>
          <w:iCs/>
          <w:spacing w:val="4"/>
          <w:sz w:val="28"/>
          <w:szCs w:val="28"/>
        </w:rPr>
        <w:t xml:space="preserve">, фиксировавшийся на фоне открытия государственных границ, а также смягчения карантинных мер, позволил нарастить масштабы пассажирских перевозок </w:t>
      </w:r>
      <w:r w:rsidRPr="00375059">
        <w:rPr>
          <w:rFonts w:ascii="Times New Roman" w:hAnsi="Times New Roman"/>
          <w:spacing w:val="3"/>
          <w:sz w:val="28"/>
          <w:szCs w:val="28"/>
        </w:rPr>
        <w:t>до уровня в 15,7</w:t>
      </w:r>
      <w:r w:rsidRPr="00375059">
        <w:rPr>
          <w:rFonts w:ascii="Times New Roman" w:hAnsi="Times New Roman"/>
          <w:spacing w:val="4"/>
          <w:sz w:val="28"/>
          <w:szCs w:val="28"/>
        </w:rPr>
        <w:t> млн чел. и 128,8</w:t>
      </w:r>
      <w:r w:rsidR="006C2BEF" w:rsidRPr="00375059">
        <w:rPr>
          <w:rFonts w:ascii="Times New Roman" w:hAnsi="Times New Roman"/>
          <w:spacing w:val="4"/>
          <w:sz w:val="28"/>
          <w:szCs w:val="28"/>
        </w:rPr>
        <w:t> </w:t>
      </w:r>
      <w:r w:rsidRPr="00375059">
        <w:rPr>
          <w:rFonts w:ascii="Times New Roman" w:hAnsi="Times New Roman"/>
          <w:spacing w:val="4"/>
          <w:sz w:val="28"/>
          <w:szCs w:val="28"/>
        </w:rPr>
        <w:t>млн</w:t>
      </w:r>
      <w:r w:rsidR="006C2BEF" w:rsidRPr="00375059">
        <w:rPr>
          <w:rFonts w:ascii="Times New Roman" w:hAnsi="Times New Roman"/>
          <w:spacing w:val="4"/>
          <w:sz w:val="28"/>
          <w:szCs w:val="28"/>
        </w:rPr>
        <w:t> </w:t>
      </w:r>
      <w:r w:rsidRPr="00375059">
        <w:rPr>
          <w:rFonts w:ascii="Times New Roman" w:hAnsi="Times New Roman"/>
          <w:spacing w:val="4"/>
          <w:sz w:val="28"/>
          <w:szCs w:val="28"/>
        </w:rPr>
        <w:t xml:space="preserve">пасс.-км </w:t>
      </w:r>
      <w:r w:rsidR="00150C6C">
        <w:rPr>
          <w:rFonts w:ascii="Times New Roman" w:hAnsi="Times New Roman"/>
          <w:spacing w:val="4"/>
          <w:sz w:val="28"/>
          <w:szCs w:val="28"/>
        </w:rPr>
        <w:br/>
      </w:r>
      <w:r w:rsidRPr="00375059">
        <w:rPr>
          <w:rFonts w:ascii="Times New Roman" w:hAnsi="Times New Roman"/>
          <w:spacing w:val="4"/>
          <w:sz w:val="28"/>
          <w:szCs w:val="28"/>
        </w:rPr>
        <w:t>(рис. 1</w:t>
      </w:r>
      <w:r w:rsidR="006308DD" w:rsidRPr="00375059">
        <w:rPr>
          <w:rFonts w:ascii="Times New Roman" w:hAnsi="Times New Roman"/>
          <w:spacing w:val="4"/>
          <w:sz w:val="28"/>
          <w:szCs w:val="28"/>
        </w:rPr>
        <w:t>8</w:t>
      </w:r>
      <w:r w:rsidRPr="00375059">
        <w:rPr>
          <w:rFonts w:ascii="Times New Roman" w:hAnsi="Times New Roman"/>
          <w:spacing w:val="4"/>
          <w:sz w:val="28"/>
          <w:szCs w:val="28"/>
        </w:rPr>
        <w:t>).</w:t>
      </w:r>
    </w:p>
    <w:p w14:paraId="6941349E" w14:textId="77777777" w:rsidR="005C483A" w:rsidRDefault="005C483A">
      <w:pPr>
        <w:spacing w:after="160" w:line="259" w:lineRule="auto"/>
        <w:rPr>
          <w:rFonts w:ascii="Times New Roman" w:hAnsi="Times New Roman"/>
          <w:b/>
          <w:i/>
          <w:sz w:val="28"/>
          <w:szCs w:val="28"/>
        </w:rPr>
      </w:pPr>
      <w:r>
        <w:rPr>
          <w:rFonts w:ascii="Times New Roman" w:hAnsi="Times New Roman"/>
          <w:b/>
          <w:i/>
          <w:sz w:val="28"/>
          <w:szCs w:val="28"/>
        </w:rPr>
        <w:br w:type="page"/>
      </w:r>
    </w:p>
    <w:p w14:paraId="06202A26" w14:textId="77777777" w:rsidR="00CE4F65" w:rsidRDefault="00150C6C" w:rsidP="00CE4F65">
      <w:pPr>
        <w:widowControl w:val="0"/>
        <w:spacing w:after="0" w:line="240" w:lineRule="auto"/>
        <w:jc w:val="right"/>
        <w:rPr>
          <w:rFonts w:ascii="Times New Roman" w:hAnsi="Times New Roman"/>
          <w:b/>
          <w:sz w:val="28"/>
          <w:szCs w:val="28"/>
        </w:rPr>
      </w:pPr>
      <w:r w:rsidRPr="00375059">
        <w:rPr>
          <w:rFonts w:ascii="Times New Roman" w:hAnsi="Times New Roman"/>
          <w:b/>
          <w:i/>
          <w:sz w:val="28"/>
          <w:szCs w:val="28"/>
        </w:rPr>
        <w:lastRenderedPageBreak/>
        <w:t>Рисунок 18</w:t>
      </w:r>
      <w:r w:rsidR="00CE4F65" w:rsidRPr="00CE4F65">
        <w:rPr>
          <w:rFonts w:ascii="Times New Roman" w:hAnsi="Times New Roman"/>
          <w:b/>
          <w:sz w:val="28"/>
          <w:szCs w:val="28"/>
        </w:rPr>
        <w:t xml:space="preserve"> </w:t>
      </w:r>
    </w:p>
    <w:p w14:paraId="1F62B4D5" w14:textId="465A0289" w:rsidR="00CE4F65" w:rsidRPr="00E60BE4" w:rsidRDefault="00CE4F65" w:rsidP="00CE4F65">
      <w:pPr>
        <w:widowControl w:val="0"/>
        <w:spacing w:after="0" w:line="240" w:lineRule="auto"/>
        <w:jc w:val="center"/>
        <w:rPr>
          <w:rFonts w:ascii="Times New Roman" w:hAnsi="Times New Roman"/>
          <w:b/>
          <w:sz w:val="28"/>
          <w:szCs w:val="28"/>
        </w:rPr>
      </w:pPr>
      <w:r w:rsidRPr="00E60BE4">
        <w:rPr>
          <w:rFonts w:ascii="Times New Roman" w:hAnsi="Times New Roman"/>
          <w:b/>
          <w:sz w:val="28"/>
          <w:szCs w:val="28"/>
        </w:rPr>
        <w:t xml:space="preserve">Показатели работы пассажирского автотранспорта </w:t>
      </w:r>
    </w:p>
    <w:p w14:paraId="28C01690" w14:textId="77777777" w:rsidR="00CE4F65" w:rsidRPr="00E60BE4" w:rsidRDefault="00CE4F65" w:rsidP="00CE4F65">
      <w:pPr>
        <w:widowControl w:val="0"/>
        <w:spacing w:after="0" w:line="240" w:lineRule="auto"/>
        <w:jc w:val="center"/>
        <w:rPr>
          <w:rFonts w:ascii="Times New Roman" w:hAnsi="Times New Roman"/>
          <w:b/>
          <w:sz w:val="28"/>
          <w:szCs w:val="28"/>
        </w:rPr>
      </w:pPr>
      <w:r w:rsidRPr="00E60BE4">
        <w:rPr>
          <w:rFonts w:ascii="Times New Roman" w:hAnsi="Times New Roman"/>
          <w:b/>
          <w:sz w:val="28"/>
          <w:szCs w:val="28"/>
        </w:rPr>
        <w:t>общего пользования</w:t>
      </w:r>
    </w:p>
    <w:p w14:paraId="0F951E45" w14:textId="1B88C6D9" w:rsidR="00150C6C" w:rsidRPr="00375059" w:rsidRDefault="00150C6C" w:rsidP="00150C6C">
      <w:pPr>
        <w:widowControl w:val="0"/>
        <w:spacing w:after="0" w:line="240" w:lineRule="auto"/>
        <w:ind w:firstLine="426"/>
        <w:contextualSpacing/>
        <w:jc w:val="right"/>
        <w:rPr>
          <w:rFonts w:ascii="Times New Roman" w:hAnsi="Times New Roman"/>
          <w:b/>
          <w:i/>
          <w:sz w:val="28"/>
          <w:szCs w:val="28"/>
        </w:rPr>
      </w:pPr>
    </w:p>
    <w:p w14:paraId="6759841F" w14:textId="27039D97" w:rsidR="00150C6C" w:rsidRPr="00375059" w:rsidRDefault="00150C6C" w:rsidP="00F55CBE">
      <w:pPr>
        <w:widowControl w:val="0"/>
        <w:spacing w:after="0" w:line="240" w:lineRule="auto"/>
        <w:jc w:val="both"/>
        <w:rPr>
          <w:rFonts w:ascii="Times New Roman" w:hAnsi="Times New Roman"/>
          <w:spacing w:val="4"/>
          <w:sz w:val="28"/>
          <w:szCs w:val="28"/>
        </w:rPr>
      </w:pPr>
      <w:r w:rsidRPr="00375059">
        <w:rPr>
          <w:rFonts w:ascii="Times New Roman" w:hAnsi="Times New Roman"/>
          <w:noProof/>
        </w:rPr>
        <w:drawing>
          <wp:inline distT="0" distB="0" distL="0" distR="0" wp14:anchorId="50C169D8" wp14:editId="56E1CB33">
            <wp:extent cx="5940425" cy="1778312"/>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7014" cy="1780284"/>
                    </a:xfrm>
                    <a:prstGeom prst="rect">
                      <a:avLst/>
                    </a:prstGeom>
                  </pic:spPr>
                </pic:pic>
              </a:graphicData>
            </a:graphic>
          </wp:inline>
        </w:drawing>
      </w:r>
    </w:p>
    <w:p w14:paraId="374A3B96" w14:textId="53000DFA" w:rsidR="002B169F" w:rsidRPr="00375059" w:rsidRDefault="002B169F" w:rsidP="001463C8">
      <w:pPr>
        <w:widowControl w:val="0"/>
        <w:spacing w:after="0" w:line="240" w:lineRule="auto"/>
        <w:ind w:firstLine="567"/>
        <w:jc w:val="both"/>
        <w:rPr>
          <w:rFonts w:ascii="Times New Roman" w:hAnsi="Times New Roman"/>
          <w:spacing w:val="2"/>
          <w:sz w:val="28"/>
          <w:szCs w:val="28"/>
        </w:rPr>
      </w:pPr>
      <w:r w:rsidRPr="00375059">
        <w:rPr>
          <w:rFonts w:ascii="Times New Roman" w:hAnsi="Times New Roman"/>
          <w:spacing w:val="4"/>
          <w:sz w:val="28"/>
          <w:szCs w:val="28"/>
        </w:rPr>
        <w:t xml:space="preserve">Соответственно, доходы транспортных организаций по </w:t>
      </w:r>
      <w:r w:rsidRPr="00375059">
        <w:rPr>
          <w:rFonts w:ascii="Times New Roman" w:hAnsi="Times New Roman"/>
          <w:spacing w:val="3"/>
          <w:sz w:val="28"/>
          <w:szCs w:val="28"/>
        </w:rPr>
        <w:t xml:space="preserve">итогам </w:t>
      </w:r>
      <w:r w:rsidRPr="00375059">
        <w:rPr>
          <w:rFonts w:ascii="Times New Roman" w:hAnsi="Times New Roman"/>
          <w:spacing w:val="4"/>
          <w:sz w:val="28"/>
          <w:szCs w:val="28"/>
        </w:rPr>
        <w:t>2021 </w:t>
      </w:r>
      <w:r w:rsidRPr="00375059">
        <w:rPr>
          <w:rFonts w:ascii="Times New Roman" w:hAnsi="Times New Roman"/>
          <w:spacing w:val="3"/>
          <w:sz w:val="28"/>
          <w:szCs w:val="28"/>
        </w:rPr>
        <w:t xml:space="preserve">года </w:t>
      </w:r>
      <w:r w:rsidRPr="00375059">
        <w:rPr>
          <w:rFonts w:ascii="Times New Roman" w:hAnsi="Times New Roman"/>
          <w:spacing w:val="2"/>
          <w:sz w:val="28"/>
          <w:szCs w:val="28"/>
        </w:rPr>
        <w:t>увеличились на 26,3%, сложившись в сумме 98,0</w:t>
      </w:r>
      <w:r w:rsidRPr="00375059">
        <w:rPr>
          <w:rFonts w:ascii="Times New Roman" w:hAnsi="Times New Roman"/>
          <w:spacing w:val="3"/>
          <w:sz w:val="28"/>
          <w:szCs w:val="28"/>
        </w:rPr>
        <w:t xml:space="preserve"> млн руб</w:t>
      </w:r>
      <w:r w:rsidRPr="00375059">
        <w:rPr>
          <w:rFonts w:ascii="Times New Roman" w:hAnsi="Times New Roman"/>
          <w:spacing w:val="2"/>
          <w:sz w:val="28"/>
          <w:szCs w:val="28"/>
        </w:rPr>
        <w:t xml:space="preserve">. (табл. </w:t>
      </w:r>
      <w:r w:rsidR="00723785">
        <w:rPr>
          <w:rFonts w:ascii="Times New Roman" w:hAnsi="Times New Roman"/>
          <w:spacing w:val="2"/>
          <w:sz w:val="28"/>
          <w:szCs w:val="28"/>
        </w:rPr>
        <w:t> </w:t>
      </w:r>
      <w:r w:rsidR="006308DD" w:rsidRPr="00375059">
        <w:rPr>
          <w:rFonts w:ascii="Times New Roman" w:hAnsi="Times New Roman"/>
          <w:spacing w:val="2"/>
          <w:sz w:val="28"/>
          <w:szCs w:val="28"/>
        </w:rPr>
        <w:t>3</w:t>
      </w:r>
      <w:r w:rsidRPr="00375059">
        <w:rPr>
          <w:rFonts w:ascii="Times New Roman" w:hAnsi="Times New Roman"/>
          <w:spacing w:val="2"/>
          <w:sz w:val="28"/>
          <w:szCs w:val="28"/>
        </w:rPr>
        <w:t>).</w:t>
      </w:r>
    </w:p>
    <w:p w14:paraId="35DCC847" w14:textId="66B7025F" w:rsidR="002B169F" w:rsidRPr="00375059" w:rsidRDefault="002B169F" w:rsidP="002B169F">
      <w:pPr>
        <w:widowControl w:val="0"/>
        <w:spacing w:after="0" w:line="240" w:lineRule="auto"/>
        <w:ind w:firstLine="709"/>
        <w:jc w:val="right"/>
        <w:rPr>
          <w:rFonts w:ascii="Times New Roman" w:hAnsi="Times New Roman"/>
          <w:b/>
          <w:i/>
          <w:spacing w:val="2"/>
          <w:sz w:val="28"/>
          <w:szCs w:val="28"/>
        </w:rPr>
      </w:pPr>
      <w:r w:rsidRPr="00375059">
        <w:rPr>
          <w:rFonts w:ascii="Times New Roman" w:hAnsi="Times New Roman"/>
          <w:b/>
          <w:i/>
          <w:spacing w:val="2"/>
          <w:sz w:val="28"/>
          <w:szCs w:val="28"/>
        </w:rPr>
        <w:t xml:space="preserve">Таблица </w:t>
      </w:r>
      <w:r w:rsidR="006308DD" w:rsidRPr="00375059">
        <w:rPr>
          <w:rFonts w:ascii="Times New Roman" w:hAnsi="Times New Roman"/>
          <w:b/>
          <w:i/>
          <w:spacing w:val="2"/>
          <w:sz w:val="28"/>
          <w:szCs w:val="28"/>
        </w:rPr>
        <w:t>3</w:t>
      </w:r>
    </w:p>
    <w:p w14:paraId="71FC1D03" w14:textId="77777777" w:rsidR="002B169F" w:rsidRPr="00375059" w:rsidRDefault="002B169F" w:rsidP="002B169F">
      <w:pPr>
        <w:widowControl w:val="0"/>
        <w:spacing w:after="0" w:line="240" w:lineRule="auto"/>
        <w:jc w:val="center"/>
        <w:rPr>
          <w:rFonts w:ascii="Times New Roman" w:hAnsi="Times New Roman"/>
          <w:b/>
          <w:sz w:val="28"/>
          <w:szCs w:val="28"/>
        </w:rPr>
      </w:pPr>
      <w:r w:rsidRPr="00375059">
        <w:rPr>
          <w:rFonts w:ascii="Times New Roman" w:hAnsi="Times New Roman"/>
          <w:b/>
          <w:sz w:val="28"/>
          <w:szCs w:val="28"/>
        </w:rPr>
        <w:t xml:space="preserve">Показатели работы пассажирского автотранспорта </w:t>
      </w:r>
    </w:p>
    <w:p w14:paraId="30D321B8" w14:textId="01F46559" w:rsidR="002B169F" w:rsidRPr="00375059" w:rsidRDefault="002B169F" w:rsidP="002B169F">
      <w:pPr>
        <w:widowControl w:val="0"/>
        <w:spacing w:after="0" w:line="240" w:lineRule="auto"/>
        <w:jc w:val="center"/>
        <w:rPr>
          <w:rFonts w:ascii="Times New Roman" w:hAnsi="Times New Roman"/>
          <w:b/>
          <w:szCs w:val="28"/>
        </w:rPr>
      </w:pPr>
      <w:r w:rsidRPr="00375059">
        <w:rPr>
          <w:rFonts w:ascii="Times New Roman" w:hAnsi="Times New Roman"/>
          <w:b/>
          <w:sz w:val="28"/>
          <w:szCs w:val="28"/>
        </w:rPr>
        <w:t>общего 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1237"/>
        <w:gridCol w:w="1512"/>
        <w:gridCol w:w="1376"/>
        <w:gridCol w:w="1374"/>
      </w:tblGrid>
      <w:tr w:rsidR="002B169F" w:rsidRPr="00375059" w14:paraId="6270E79E" w14:textId="77777777" w:rsidTr="005C483A">
        <w:trPr>
          <w:trHeight w:val="509"/>
        </w:trPr>
        <w:tc>
          <w:tcPr>
            <w:tcW w:w="20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C16065" w14:textId="729BC8D8" w:rsidR="002B169F" w:rsidRPr="00375059" w:rsidRDefault="002B169F">
            <w:pPr>
              <w:widowControl w:val="0"/>
              <w:spacing w:after="0" w:line="240" w:lineRule="auto"/>
              <w:jc w:val="center"/>
              <w:rPr>
                <w:rFonts w:ascii="Times New Roman" w:hAnsi="Times New Roman"/>
                <w:b/>
                <w:sz w:val="24"/>
              </w:rPr>
            </w:pPr>
            <w:r w:rsidRPr="00375059">
              <w:rPr>
                <w:rFonts w:ascii="Times New Roman" w:hAnsi="Times New Roman"/>
                <w:b/>
                <w:sz w:val="24"/>
              </w:rPr>
              <w:t>Показател</w:t>
            </w:r>
            <w:r w:rsidR="00CE10DF">
              <w:rPr>
                <w:rFonts w:ascii="Times New Roman" w:hAnsi="Times New Roman"/>
                <w:b/>
                <w:sz w:val="24"/>
              </w:rPr>
              <w:t>ь</w:t>
            </w:r>
          </w:p>
        </w:tc>
        <w:tc>
          <w:tcPr>
            <w:tcW w:w="6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9BC048" w14:textId="77777777" w:rsidR="002B169F" w:rsidRPr="00375059" w:rsidRDefault="002B169F">
            <w:pPr>
              <w:widowControl w:val="0"/>
              <w:spacing w:after="0" w:line="240" w:lineRule="auto"/>
              <w:ind w:left="-113" w:right="-113"/>
              <w:jc w:val="center"/>
              <w:rPr>
                <w:rFonts w:ascii="Times New Roman" w:hAnsi="Times New Roman"/>
                <w:b/>
                <w:sz w:val="24"/>
              </w:rPr>
            </w:pPr>
            <w:r w:rsidRPr="00375059">
              <w:rPr>
                <w:rFonts w:ascii="Times New Roman" w:hAnsi="Times New Roman"/>
                <w:b/>
                <w:sz w:val="24"/>
              </w:rPr>
              <w:t>ед. изм.</w:t>
            </w:r>
          </w:p>
        </w:tc>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2C6FD6" w14:textId="77777777" w:rsidR="002B169F" w:rsidRPr="00375059" w:rsidRDefault="002B169F">
            <w:pPr>
              <w:widowControl w:val="0"/>
              <w:spacing w:after="0" w:line="240" w:lineRule="auto"/>
              <w:ind w:left="-113" w:right="-113"/>
              <w:jc w:val="center"/>
              <w:rPr>
                <w:rFonts w:ascii="Times New Roman" w:hAnsi="Times New Roman"/>
                <w:b/>
                <w:sz w:val="24"/>
              </w:rPr>
            </w:pPr>
            <w:r w:rsidRPr="00375059">
              <w:rPr>
                <w:rFonts w:ascii="Times New Roman" w:hAnsi="Times New Roman"/>
                <w:b/>
                <w:sz w:val="24"/>
              </w:rPr>
              <w:t>2020 год</w:t>
            </w:r>
          </w:p>
        </w:tc>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CB2AE1" w14:textId="77777777" w:rsidR="002B169F" w:rsidRPr="00375059" w:rsidRDefault="002B169F">
            <w:pPr>
              <w:widowControl w:val="0"/>
              <w:spacing w:after="0" w:line="240" w:lineRule="auto"/>
              <w:ind w:left="-113" w:right="-113"/>
              <w:jc w:val="center"/>
              <w:rPr>
                <w:rFonts w:ascii="Times New Roman" w:hAnsi="Times New Roman"/>
                <w:b/>
                <w:sz w:val="24"/>
              </w:rPr>
            </w:pPr>
            <w:r w:rsidRPr="00375059">
              <w:rPr>
                <w:rFonts w:ascii="Times New Roman" w:hAnsi="Times New Roman"/>
                <w:b/>
                <w:sz w:val="24"/>
              </w:rPr>
              <w:t>2021 год</w:t>
            </w:r>
          </w:p>
        </w:tc>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38ADD0" w14:textId="0E51A221" w:rsidR="002B169F" w:rsidRPr="00375059" w:rsidRDefault="006C2BEF">
            <w:pPr>
              <w:widowControl w:val="0"/>
              <w:spacing w:after="0" w:line="240" w:lineRule="auto"/>
              <w:ind w:left="-113" w:right="-113"/>
              <w:jc w:val="center"/>
              <w:rPr>
                <w:rFonts w:ascii="Times New Roman" w:hAnsi="Times New Roman"/>
                <w:b/>
                <w:i/>
                <w:sz w:val="24"/>
              </w:rPr>
            </w:pPr>
            <w:r w:rsidRPr="00375059">
              <w:rPr>
                <w:rFonts w:ascii="Times New Roman" w:hAnsi="Times New Roman"/>
                <w:b/>
                <w:sz w:val="24"/>
                <w:szCs w:val="24"/>
              </w:rPr>
              <w:t>темп роста к 2020 году, %</w:t>
            </w:r>
          </w:p>
        </w:tc>
      </w:tr>
      <w:tr w:rsidR="002B169F" w:rsidRPr="00375059" w14:paraId="4007C34D" w14:textId="77777777" w:rsidTr="005C483A">
        <w:trPr>
          <w:trHeight w:val="237"/>
        </w:trPr>
        <w:tc>
          <w:tcPr>
            <w:tcW w:w="2058" w:type="pct"/>
            <w:tcBorders>
              <w:top w:val="single" w:sz="4" w:space="0" w:color="auto"/>
              <w:left w:val="single" w:sz="4" w:space="0" w:color="auto"/>
              <w:bottom w:val="single" w:sz="4" w:space="0" w:color="auto"/>
              <w:right w:val="single" w:sz="4" w:space="0" w:color="auto"/>
            </w:tcBorders>
            <w:vAlign w:val="center"/>
            <w:hideMark/>
          </w:tcPr>
          <w:p w14:paraId="2072772F" w14:textId="77777777" w:rsidR="002B169F" w:rsidRPr="00375059" w:rsidRDefault="002B169F">
            <w:pPr>
              <w:widowControl w:val="0"/>
              <w:spacing w:after="0" w:line="240" w:lineRule="auto"/>
              <w:rPr>
                <w:rFonts w:ascii="Times New Roman" w:hAnsi="Times New Roman"/>
                <w:sz w:val="24"/>
                <w:vertAlign w:val="superscript"/>
              </w:rPr>
            </w:pPr>
            <w:r w:rsidRPr="00375059">
              <w:rPr>
                <w:rFonts w:ascii="Times New Roman" w:hAnsi="Times New Roman"/>
                <w:sz w:val="24"/>
              </w:rPr>
              <w:t>Перевезено пассажиров</w:t>
            </w:r>
          </w:p>
        </w:tc>
        <w:tc>
          <w:tcPr>
            <w:tcW w:w="662" w:type="pct"/>
            <w:tcBorders>
              <w:top w:val="single" w:sz="4" w:space="0" w:color="auto"/>
              <w:left w:val="single" w:sz="4" w:space="0" w:color="auto"/>
              <w:bottom w:val="single" w:sz="4" w:space="0" w:color="auto"/>
              <w:right w:val="single" w:sz="4" w:space="0" w:color="auto"/>
            </w:tcBorders>
            <w:vAlign w:val="center"/>
            <w:hideMark/>
          </w:tcPr>
          <w:p w14:paraId="6253174B" w14:textId="77777777" w:rsidR="002B169F" w:rsidRPr="00375059" w:rsidRDefault="002B169F">
            <w:pPr>
              <w:widowControl w:val="0"/>
              <w:spacing w:after="0" w:line="240" w:lineRule="auto"/>
              <w:jc w:val="center"/>
              <w:rPr>
                <w:rFonts w:ascii="Times New Roman" w:hAnsi="Times New Roman"/>
                <w:sz w:val="24"/>
              </w:rPr>
            </w:pPr>
            <w:r w:rsidRPr="00375059">
              <w:rPr>
                <w:rFonts w:ascii="Times New Roman" w:hAnsi="Times New Roman"/>
                <w:sz w:val="24"/>
              </w:rPr>
              <w:t>тыс. чел.</w:t>
            </w:r>
          </w:p>
        </w:tc>
        <w:tc>
          <w:tcPr>
            <w:tcW w:w="809" w:type="pct"/>
            <w:tcBorders>
              <w:top w:val="single" w:sz="4" w:space="0" w:color="auto"/>
              <w:left w:val="single" w:sz="4" w:space="0" w:color="auto"/>
              <w:bottom w:val="single" w:sz="4" w:space="0" w:color="auto"/>
              <w:right w:val="single" w:sz="4" w:space="0" w:color="auto"/>
            </w:tcBorders>
            <w:vAlign w:val="center"/>
            <w:hideMark/>
          </w:tcPr>
          <w:p w14:paraId="28B1948E" w14:textId="77777777" w:rsidR="002B169F" w:rsidRPr="00375059" w:rsidRDefault="002B169F">
            <w:pPr>
              <w:spacing w:after="0" w:line="240" w:lineRule="auto"/>
              <w:jc w:val="center"/>
              <w:rPr>
                <w:rFonts w:ascii="Times New Roman" w:hAnsi="Times New Roman"/>
                <w:color w:val="000000"/>
                <w:sz w:val="24"/>
              </w:rPr>
            </w:pPr>
            <w:r w:rsidRPr="00375059">
              <w:rPr>
                <w:rFonts w:ascii="Times New Roman" w:hAnsi="Times New Roman"/>
                <w:color w:val="000000"/>
                <w:sz w:val="24"/>
              </w:rPr>
              <w:t>13 504,6</w:t>
            </w:r>
          </w:p>
        </w:tc>
        <w:tc>
          <w:tcPr>
            <w:tcW w:w="736" w:type="pct"/>
            <w:tcBorders>
              <w:top w:val="single" w:sz="4" w:space="0" w:color="auto"/>
              <w:left w:val="single" w:sz="4" w:space="0" w:color="auto"/>
              <w:bottom w:val="single" w:sz="4" w:space="0" w:color="auto"/>
              <w:right w:val="single" w:sz="4" w:space="0" w:color="auto"/>
            </w:tcBorders>
            <w:vAlign w:val="center"/>
            <w:hideMark/>
          </w:tcPr>
          <w:p w14:paraId="3F9CCC2D" w14:textId="77777777" w:rsidR="002B169F" w:rsidRPr="00375059" w:rsidRDefault="002B169F">
            <w:pPr>
              <w:spacing w:after="0" w:line="240" w:lineRule="auto"/>
              <w:jc w:val="center"/>
              <w:rPr>
                <w:rFonts w:ascii="Times New Roman" w:hAnsi="Times New Roman"/>
                <w:color w:val="000000"/>
                <w:sz w:val="24"/>
              </w:rPr>
            </w:pPr>
            <w:r w:rsidRPr="00375059">
              <w:rPr>
                <w:rFonts w:ascii="Times New Roman" w:hAnsi="Times New Roman"/>
                <w:color w:val="000000"/>
                <w:sz w:val="24"/>
              </w:rPr>
              <w:t>15 655,1</w:t>
            </w:r>
          </w:p>
        </w:tc>
        <w:tc>
          <w:tcPr>
            <w:tcW w:w="736" w:type="pct"/>
            <w:tcBorders>
              <w:top w:val="single" w:sz="4" w:space="0" w:color="auto"/>
              <w:left w:val="single" w:sz="4" w:space="0" w:color="auto"/>
              <w:bottom w:val="single" w:sz="4" w:space="0" w:color="auto"/>
              <w:right w:val="single" w:sz="4" w:space="0" w:color="auto"/>
            </w:tcBorders>
            <w:vAlign w:val="center"/>
            <w:hideMark/>
          </w:tcPr>
          <w:p w14:paraId="7D51A3D9" w14:textId="77777777" w:rsidR="002B169F" w:rsidRPr="00DC36B1" w:rsidRDefault="002B169F">
            <w:pPr>
              <w:spacing w:after="0" w:line="240" w:lineRule="auto"/>
              <w:jc w:val="center"/>
              <w:rPr>
                <w:rFonts w:ascii="Times New Roman" w:hAnsi="Times New Roman"/>
                <w:color w:val="000000"/>
                <w:sz w:val="24"/>
                <w:szCs w:val="24"/>
              </w:rPr>
            </w:pPr>
            <w:r w:rsidRPr="00DC36B1">
              <w:rPr>
                <w:rFonts w:ascii="Times New Roman" w:hAnsi="Times New Roman"/>
                <w:sz w:val="24"/>
              </w:rPr>
              <w:t>115,9</w:t>
            </w:r>
          </w:p>
        </w:tc>
      </w:tr>
      <w:tr w:rsidR="002B169F" w:rsidRPr="00375059" w14:paraId="6409E6AF" w14:textId="77777777" w:rsidTr="005C483A">
        <w:trPr>
          <w:trHeight w:val="166"/>
        </w:trPr>
        <w:tc>
          <w:tcPr>
            <w:tcW w:w="2058" w:type="pct"/>
            <w:tcBorders>
              <w:top w:val="single" w:sz="4" w:space="0" w:color="auto"/>
              <w:left w:val="single" w:sz="4" w:space="0" w:color="auto"/>
              <w:bottom w:val="single" w:sz="4" w:space="0" w:color="auto"/>
              <w:right w:val="single" w:sz="4" w:space="0" w:color="auto"/>
            </w:tcBorders>
            <w:vAlign w:val="center"/>
            <w:hideMark/>
          </w:tcPr>
          <w:p w14:paraId="04DC4A67" w14:textId="77777777" w:rsidR="002B169F" w:rsidRPr="00375059" w:rsidRDefault="002B169F">
            <w:pPr>
              <w:widowControl w:val="0"/>
              <w:spacing w:after="0" w:line="240" w:lineRule="auto"/>
              <w:rPr>
                <w:rFonts w:ascii="Times New Roman" w:hAnsi="Times New Roman"/>
                <w:sz w:val="24"/>
              </w:rPr>
            </w:pPr>
            <w:r w:rsidRPr="00375059">
              <w:rPr>
                <w:rFonts w:ascii="Times New Roman" w:hAnsi="Times New Roman"/>
                <w:sz w:val="24"/>
              </w:rPr>
              <w:t>Пассажирооборот</w:t>
            </w:r>
          </w:p>
        </w:tc>
        <w:tc>
          <w:tcPr>
            <w:tcW w:w="662" w:type="pct"/>
            <w:tcBorders>
              <w:top w:val="single" w:sz="4" w:space="0" w:color="auto"/>
              <w:left w:val="single" w:sz="4" w:space="0" w:color="auto"/>
              <w:bottom w:val="single" w:sz="4" w:space="0" w:color="auto"/>
              <w:right w:val="single" w:sz="4" w:space="0" w:color="auto"/>
            </w:tcBorders>
            <w:vAlign w:val="center"/>
            <w:hideMark/>
          </w:tcPr>
          <w:p w14:paraId="121EF456" w14:textId="77777777" w:rsidR="002B169F" w:rsidRPr="00375059" w:rsidRDefault="002B169F">
            <w:pPr>
              <w:widowControl w:val="0"/>
              <w:spacing w:after="0" w:line="240" w:lineRule="auto"/>
              <w:ind w:left="-170" w:right="-170"/>
              <w:jc w:val="center"/>
              <w:rPr>
                <w:rFonts w:ascii="Times New Roman" w:hAnsi="Times New Roman"/>
                <w:sz w:val="24"/>
              </w:rPr>
            </w:pPr>
            <w:r w:rsidRPr="00375059">
              <w:rPr>
                <w:rFonts w:ascii="Times New Roman" w:hAnsi="Times New Roman"/>
                <w:sz w:val="24"/>
              </w:rPr>
              <w:t xml:space="preserve">тыс. </w:t>
            </w:r>
          </w:p>
          <w:p w14:paraId="48905372" w14:textId="77777777" w:rsidR="002B169F" w:rsidRPr="00375059" w:rsidRDefault="002B169F">
            <w:pPr>
              <w:widowControl w:val="0"/>
              <w:spacing w:after="0" w:line="240" w:lineRule="auto"/>
              <w:ind w:left="-170" w:right="-170"/>
              <w:jc w:val="center"/>
              <w:rPr>
                <w:rFonts w:ascii="Times New Roman" w:hAnsi="Times New Roman"/>
                <w:sz w:val="24"/>
              </w:rPr>
            </w:pPr>
            <w:r w:rsidRPr="00375059">
              <w:rPr>
                <w:rFonts w:ascii="Times New Roman" w:hAnsi="Times New Roman"/>
                <w:sz w:val="24"/>
              </w:rPr>
              <w:t>пасс.-км</w:t>
            </w:r>
          </w:p>
        </w:tc>
        <w:tc>
          <w:tcPr>
            <w:tcW w:w="809" w:type="pct"/>
            <w:tcBorders>
              <w:top w:val="single" w:sz="4" w:space="0" w:color="auto"/>
              <w:left w:val="single" w:sz="4" w:space="0" w:color="auto"/>
              <w:bottom w:val="single" w:sz="4" w:space="0" w:color="auto"/>
              <w:right w:val="single" w:sz="4" w:space="0" w:color="auto"/>
            </w:tcBorders>
            <w:vAlign w:val="center"/>
            <w:hideMark/>
          </w:tcPr>
          <w:p w14:paraId="63DE0BD6" w14:textId="77777777" w:rsidR="002B169F" w:rsidRPr="00375059" w:rsidRDefault="002B169F">
            <w:pPr>
              <w:spacing w:after="0" w:line="240" w:lineRule="auto"/>
              <w:jc w:val="center"/>
              <w:rPr>
                <w:rFonts w:ascii="Times New Roman" w:hAnsi="Times New Roman"/>
                <w:color w:val="000000"/>
                <w:sz w:val="24"/>
              </w:rPr>
            </w:pPr>
            <w:r w:rsidRPr="00375059">
              <w:rPr>
                <w:rFonts w:ascii="Times New Roman" w:hAnsi="Times New Roman"/>
                <w:color w:val="000000"/>
                <w:sz w:val="24"/>
              </w:rPr>
              <w:t>102 026,2</w:t>
            </w:r>
          </w:p>
        </w:tc>
        <w:tc>
          <w:tcPr>
            <w:tcW w:w="736" w:type="pct"/>
            <w:tcBorders>
              <w:top w:val="single" w:sz="4" w:space="0" w:color="auto"/>
              <w:left w:val="single" w:sz="4" w:space="0" w:color="auto"/>
              <w:bottom w:val="single" w:sz="4" w:space="0" w:color="auto"/>
              <w:right w:val="single" w:sz="4" w:space="0" w:color="auto"/>
            </w:tcBorders>
            <w:vAlign w:val="center"/>
            <w:hideMark/>
          </w:tcPr>
          <w:p w14:paraId="5878FF43" w14:textId="77777777" w:rsidR="002B169F" w:rsidRPr="00375059" w:rsidRDefault="002B169F">
            <w:pPr>
              <w:spacing w:after="0" w:line="240" w:lineRule="auto"/>
              <w:jc w:val="center"/>
              <w:rPr>
                <w:rFonts w:ascii="Times New Roman" w:hAnsi="Times New Roman"/>
                <w:color w:val="000000"/>
                <w:sz w:val="24"/>
              </w:rPr>
            </w:pPr>
            <w:r w:rsidRPr="00375059">
              <w:rPr>
                <w:rFonts w:ascii="Times New Roman" w:hAnsi="Times New Roman"/>
                <w:color w:val="000000"/>
                <w:sz w:val="24"/>
              </w:rPr>
              <w:t>128 766,4</w:t>
            </w:r>
          </w:p>
        </w:tc>
        <w:tc>
          <w:tcPr>
            <w:tcW w:w="736" w:type="pct"/>
            <w:tcBorders>
              <w:top w:val="single" w:sz="4" w:space="0" w:color="auto"/>
              <w:left w:val="single" w:sz="4" w:space="0" w:color="auto"/>
              <w:bottom w:val="single" w:sz="4" w:space="0" w:color="auto"/>
              <w:right w:val="single" w:sz="4" w:space="0" w:color="auto"/>
            </w:tcBorders>
            <w:vAlign w:val="center"/>
            <w:hideMark/>
          </w:tcPr>
          <w:p w14:paraId="34E5841C" w14:textId="77777777" w:rsidR="002B169F" w:rsidRPr="00DC36B1" w:rsidRDefault="002B169F">
            <w:pPr>
              <w:spacing w:after="0" w:line="240" w:lineRule="auto"/>
              <w:jc w:val="center"/>
              <w:rPr>
                <w:rFonts w:ascii="Times New Roman" w:hAnsi="Times New Roman"/>
                <w:color w:val="000000"/>
                <w:sz w:val="24"/>
                <w:szCs w:val="24"/>
              </w:rPr>
            </w:pPr>
            <w:r w:rsidRPr="00DC36B1">
              <w:rPr>
                <w:rFonts w:ascii="Times New Roman" w:hAnsi="Times New Roman"/>
                <w:sz w:val="24"/>
              </w:rPr>
              <w:t>126,2</w:t>
            </w:r>
          </w:p>
        </w:tc>
      </w:tr>
      <w:tr w:rsidR="002B169F" w:rsidRPr="00375059" w14:paraId="78451488" w14:textId="77777777" w:rsidTr="005C483A">
        <w:trPr>
          <w:trHeight w:val="429"/>
        </w:trPr>
        <w:tc>
          <w:tcPr>
            <w:tcW w:w="2058" w:type="pct"/>
            <w:tcBorders>
              <w:top w:val="single" w:sz="4" w:space="0" w:color="auto"/>
              <w:left w:val="single" w:sz="4" w:space="0" w:color="auto"/>
              <w:bottom w:val="single" w:sz="4" w:space="0" w:color="auto"/>
              <w:right w:val="single" w:sz="4" w:space="0" w:color="auto"/>
            </w:tcBorders>
            <w:vAlign w:val="center"/>
            <w:hideMark/>
          </w:tcPr>
          <w:p w14:paraId="6AE3B079" w14:textId="77777777" w:rsidR="002B169F" w:rsidRPr="00375059" w:rsidRDefault="002B169F">
            <w:pPr>
              <w:widowControl w:val="0"/>
              <w:spacing w:after="0" w:line="240" w:lineRule="auto"/>
              <w:rPr>
                <w:rFonts w:ascii="Times New Roman" w:hAnsi="Times New Roman"/>
                <w:sz w:val="24"/>
                <w:vertAlign w:val="superscript"/>
              </w:rPr>
            </w:pPr>
            <w:r w:rsidRPr="00375059">
              <w:rPr>
                <w:rFonts w:ascii="Times New Roman" w:hAnsi="Times New Roman"/>
                <w:sz w:val="24"/>
              </w:rPr>
              <w:t>Средняя дальность поездки одного пассажира</w:t>
            </w:r>
          </w:p>
        </w:tc>
        <w:tc>
          <w:tcPr>
            <w:tcW w:w="662" w:type="pct"/>
            <w:tcBorders>
              <w:top w:val="single" w:sz="4" w:space="0" w:color="auto"/>
              <w:left w:val="single" w:sz="4" w:space="0" w:color="auto"/>
              <w:bottom w:val="single" w:sz="4" w:space="0" w:color="auto"/>
              <w:right w:val="single" w:sz="4" w:space="0" w:color="auto"/>
            </w:tcBorders>
            <w:vAlign w:val="center"/>
            <w:hideMark/>
          </w:tcPr>
          <w:p w14:paraId="3BF5F730" w14:textId="77777777" w:rsidR="002B169F" w:rsidRPr="00375059" w:rsidRDefault="002B169F">
            <w:pPr>
              <w:widowControl w:val="0"/>
              <w:spacing w:after="0" w:line="240" w:lineRule="auto"/>
              <w:jc w:val="center"/>
              <w:rPr>
                <w:rFonts w:ascii="Times New Roman" w:hAnsi="Times New Roman"/>
                <w:sz w:val="24"/>
              </w:rPr>
            </w:pPr>
            <w:r w:rsidRPr="00375059">
              <w:rPr>
                <w:rFonts w:ascii="Times New Roman" w:hAnsi="Times New Roman"/>
                <w:sz w:val="24"/>
              </w:rPr>
              <w:t>км</w:t>
            </w:r>
          </w:p>
        </w:tc>
        <w:tc>
          <w:tcPr>
            <w:tcW w:w="809" w:type="pct"/>
            <w:tcBorders>
              <w:top w:val="single" w:sz="4" w:space="0" w:color="auto"/>
              <w:left w:val="single" w:sz="4" w:space="0" w:color="auto"/>
              <w:bottom w:val="single" w:sz="4" w:space="0" w:color="auto"/>
              <w:right w:val="single" w:sz="4" w:space="0" w:color="auto"/>
            </w:tcBorders>
            <w:vAlign w:val="center"/>
            <w:hideMark/>
          </w:tcPr>
          <w:p w14:paraId="6618AF32" w14:textId="77777777" w:rsidR="002B169F" w:rsidRPr="00375059" w:rsidRDefault="002B169F">
            <w:pPr>
              <w:spacing w:after="0" w:line="240" w:lineRule="auto"/>
              <w:jc w:val="center"/>
              <w:rPr>
                <w:rFonts w:ascii="Times New Roman" w:hAnsi="Times New Roman"/>
                <w:color w:val="000000"/>
                <w:sz w:val="24"/>
              </w:rPr>
            </w:pPr>
            <w:r w:rsidRPr="00375059">
              <w:rPr>
                <w:rFonts w:ascii="Times New Roman" w:hAnsi="Times New Roman"/>
                <w:color w:val="000000"/>
                <w:sz w:val="24"/>
              </w:rPr>
              <w:t>7,6</w:t>
            </w:r>
          </w:p>
        </w:tc>
        <w:tc>
          <w:tcPr>
            <w:tcW w:w="736" w:type="pct"/>
            <w:tcBorders>
              <w:top w:val="single" w:sz="4" w:space="0" w:color="auto"/>
              <w:left w:val="single" w:sz="4" w:space="0" w:color="auto"/>
              <w:bottom w:val="single" w:sz="4" w:space="0" w:color="auto"/>
              <w:right w:val="single" w:sz="4" w:space="0" w:color="auto"/>
            </w:tcBorders>
            <w:vAlign w:val="center"/>
            <w:hideMark/>
          </w:tcPr>
          <w:p w14:paraId="5C060B4C" w14:textId="77777777" w:rsidR="002B169F" w:rsidRPr="00375059" w:rsidRDefault="002B169F">
            <w:pPr>
              <w:spacing w:after="0" w:line="240" w:lineRule="auto"/>
              <w:jc w:val="center"/>
              <w:rPr>
                <w:rFonts w:ascii="Times New Roman" w:hAnsi="Times New Roman"/>
                <w:color w:val="000000"/>
                <w:sz w:val="24"/>
              </w:rPr>
            </w:pPr>
            <w:r w:rsidRPr="00375059">
              <w:rPr>
                <w:rFonts w:ascii="Times New Roman" w:hAnsi="Times New Roman"/>
                <w:color w:val="000000"/>
                <w:sz w:val="24"/>
              </w:rPr>
              <w:t>8,2</w:t>
            </w:r>
          </w:p>
        </w:tc>
        <w:tc>
          <w:tcPr>
            <w:tcW w:w="736" w:type="pct"/>
            <w:tcBorders>
              <w:top w:val="single" w:sz="4" w:space="0" w:color="auto"/>
              <w:left w:val="single" w:sz="4" w:space="0" w:color="auto"/>
              <w:bottom w:val="single" w:sz="4" w:space="0" w:color="auto"/>
              <w:right w:val="single" w:sz="4" w:space="0" w:color="auto"/>
            </w:tcBorders>
            <w:vAlign w:val="center"/>
            <w:hideMark/>
          </w:tcPr>
          <w:p w14:paraId="6EEC3F4B" w14:textId="77777777" w:rsidR="002B169F" w:rsidRPr="00DC36B1" w:rsidRDefault="002B169F">
            <w:pPr>
              <w:spacing w:after="0" w:line="240" w:lineRule="auto"/>
              <w:jc w:val="center"/>
              <w:rPr>
                <w:rFonts w:ascii="Times New Roman" w:hAnsi="Times New Roman"/>
                <w:color w:val="000000"/>
                <w:sz w:val="24"/>
                <w:szCs w:val="24"/>
              </w:rPr>
            </w:pPr>
            <w:r w:rsidRPr="00DC36B1">
              <w:rPr>
                <w:rFonts w:ascii="Times New Roman" w:hAnsi="Times New Roman"/>
                <w:sz w:val="24"/>
              </w:rPr>
              <w:t>107,9</w:t>
            </w:r>
          </w:p>
        </w:tc>
      </w:tr>
      <w:tr w:rsidR="002B169F" w:rsidRPr="00375059" w14:paraId="296D224A" w14:textId="77777777" w:rsidTr="005C483A">
        <w:trPr>
          <w:trHeight w:val="465"/>
        </w:trPr>
        <w:tc>
          <w:tcPr>
            <w:tcW w:w="2058" w:type="pct"/>
            <w:tcBorders>
              <w:top w:val="single" w:sz="4" w:space="0" w:color="auto"/>
              <w:left w:val="single" w:sz="4" w:space="0" w:color="auto"/>
              <w:bottom w:val="single" w:sz="4" w:space="0" w:color="auto"/>
              <w:right w:val="single" w:sz="4" w:space="0" w:color="auto"/>
            </w:tcBorders>
            <w:vAlign w:val="center"/>
            <w:hideMark/>
          </w:tcPr>
          <w:p w14:paraId="0D31A204" w14:textId="77777777" w:rsidR="002B169F" w:rsidRPr="00375059" w:rsidRDefault="002B169F">
            <w:pPr>
              <w:spacing w:after="0" w:line="240" w:lineRule="auto"/>
              <w:rPr>
                <w:rFonts w:ascii="Times New Roman" w:hAnsi="Times New Roman"/>
                <w:color w:val="000000"/>
                <w:sz w:val="24"/>
              </w:rPr>
            </w:pPr>
            <w:r w:rsidRPr="00375059">
              <w:rPr>
                <w:rFonts w:ascii="Times New Roman" w:hAnsi="Times New Roman"/>
                <w:color w:val="000000"/>
                <w:sz w:val="24"/>
              </w:rPr>
              <w:t>Списочное число пассажирских автобусов (включая маршрутные такси) на конец отчетного периода</w:t>
            </w:r>
          </w:p>
        </w:tc>
        <w:tc>
          <w:tcPr>
            <w:tcW w:w="662" w:type="pct"/>
            <w:tcBorders>
              <w:top w:val="single" w:sz="4" w:space="0" w:color="auto"/>
              <w:left w:val="single" w:sz="4" w:space="0" w:color="auto"/>
              <w:bottom w:val="single" w:sz="4" w:space="0" w:color="auto"/>
              <w:right w:val="single" w:sz="4" w:space="0" w:color="auto"/>
            </w:tcBorders>
            <w:vAlign w:val="center"/>
            <w:hideMark/>
          </w:tcPr>
          <w:p w14:paraId="442129A0" w14:textId="77777777" w:rsidR="002B169F" w:rsidRPr="00375059" w:rsidRDefault="002B169F">
            <w:pPr>
              <w:widowControl w:val="0"/>
              <w:spacing w:after="0" w:line="240" w:lineRule="auto"/>
              <w:jc w:val="center"/>
              <w:rPr>
                <w:rFonts w:ascii="Times New Roman" w:hAnsi="Times New Roman"/>
                <w:sz w:val="24"/>
              </w:rPr>
            </w:pPr>
            <w:r w:rsidRPr="00375059">
              <w:rPr>
                <w:rFonts w:ascii="Times New Roman" w:hAnsi="Times New Roman"/>
                <w:sz w:val="24"/>
              </w:rPr>
              <w:t>ед.</w:t>
            </w:r>
          </w:p>
        </w:tc>
        <w:tc>
          <w:tcPr>
            <w:tcW w:w="809" w:type="pct"/>
            <w:tcBorders>
              <w:top w:val="single" w:sz="4" w:space="0" w:color="auto"/>
              <w:left w:val="single" w:sz="4" w:space="0" w:color="auto"/>
              <w:bottom w:val="single" w:sz="4" w:space="0" w:color="auto"/>
              <w:right w:val="single" w:sz="4" w:space="0" w:color="auto"/>
            </w:tcBorders>
            <w:vAlign w:val="center"/>
            <w:hideMark/>
          </w:tcPr>
          <w:p w14:paraId="4746C57A" w14:textId="77777777" w:rsidR="002B169F" w:rsidRPr="00375059" w:rsidRDefault="002B169F">
            <w:pPr>
              <w:spacing w:after="0" w:line="240" w:lineRule="auto"/>
              <w:jc w:val="center"/>
              <w:rPr>
                <w:rFonts w:ascii="Times New Roman" w:hAnsi="Times New Roman"/>
                <w:color w:val="000000"/>
                <w:sz w:val="24"/>
              </w:rPr>
            </w:pPr>
            <w:r w:rsidRPr="00375059">
              <w:rPr>
                <w:rFonts w:ascii="Times New Roman" w:hAnsi="Times New Roman"/>
                <w:color w:val="000000"/>
                <w:sz w:val="24"/>
              </w:rPr>
              <w:t>554</w:t>
            </w:r>
          </w:p>
        </w:tc>
        <w:tc>
          <w:tcPr>
            <w:tcW w:w="736" w:type="pct"/>
            <w:tcBorders>
              <w:top w:val="single" w:sz="4" w:space="0" w:color="auto"/>
              <w:left w:val="single" w:sz="4" w:space="0" w:color="auto"/>
              <w:bottom w:val="single" w:sz="4" w:space="0" w:color="auto"/>
              <w:right w:val="single" w:sz="4" w:space="0" w:color="auto"/>
            </w:tcBorders>
            <w:vAlign w:val="center"/>
            <w:hideMark/>
          </w:tcPr>
          <w:p w14:paraId="0112B7CF" w14:textId="77777777" w:rsidR="002B169F" w:rsidRPr="00375059" w:rsidRDefault="002B169F">
            <w:pPr>
              <w:spacing w:after="0" w:line="240" w:lineRule="auto"/>
              <w:jc w:val="center"/>
              <w:rPr>
                <w:rFonts w:ascii="Times New Roman" w:hAnsi="Times New Roman"/>
                <w:color w:val="000000"/>
                <w:sz w:val="24"/>
              </w:rPr>
            </w:pPr>
            <w:r w:rsidRPr="00375059">
              <w:rPr>
                <w:rFonts w:ascii="Times New Roman" w:hAnsi="Times New Roman"/>
                <w:color w:val="000000"/>
                <w:sz w:val="24"/>
              </w:rPr>
              <w:t>531</w:t>
            </w:r>
          </w:p>
        </w:tc>
        <w:tc>
          <w:tcPr>
            <w:tcW w:w="736" w:type="pct"/>
            <w:tcBorders>
              <w:top w:val="single" w:sz="4" w:space="0" w:color="auto"/>
              <w:left w:val="single" w:sz="4" w:space="0" w:color="auto"/>
              <w:bottom w:val="single" w:sz="4" w:space="0" w:color="auto"/>
              <w:right w:val="single" w:sz="4" w:space="0" w:color="auto"/>
            </w:tcBorders>
            <w:vAlign w:val="center"/>
            <w:hideMark/>
          </w:tcPr>
          <w:p w14:paraId="4622358C" w14:textId="77777777" w:rsidR="002B169F" w:rsidRPr="00DC36B1" w:rsidRDefault="002B169F">
            <w:pPr>
              <w:spacing w:after="0" w:line="240" w:lineRule="auto"/>
              <w:jc w:val="center"/>
              <w:rPr>
                <w:rFonts w:ascii="Times New Roman" w:hAnsi="Times New Roman"/>
                <w:color w:val="000000"/>
                <w:sz w:val="24"/>
                <w:szCs w:val="24"/>
              </w:rPr>
            </w:pPr>
            <w:r w:rsidRPr="00DC36B1">
              <w:rPr>
                <w:rFonts w:ascii="Times New Roman" w:hAnsi="Times New Roman"/>
                <w:sz w:val="24"/>
              </w:rPr>
              <w:t>95,8</w:t>
            </w:r>
          </w:p>
        </w:tc>
      </w:tr>
      <w:tr w:rsidR="002B169F" w:rsidRPr="00375059" w14:paraId="3C1D1741" w14:textId="77777777" w:rsidTr="005C483A">
        <w:tc>
          <w:tcPr>
            <w:tcW w:w="2058" w:type="pct"/>
            <w:tcBorders>
              <w:top w:val="single" w:sz="4" w:space="0" w:color="auto"/>
              <w:left w:val="single" w:sz="4" w:space="0" w:color="auto"/>
              <w:bottom w:val="single" w:sz="4" w:space="0" w:color="auto"/>
              <w:right w:val="single" w:sz="4" w:space="0" w:color="auto"/>
            </w:tcBorders>
            <w:vAlign w:val="center"/>
            <w:hideMark/>
          </w:tcPr>
          <w:p w14:paraId="5AC93B6F" w14:textId="77777777" w:rsidR="002B169F" w:rsidRPr="00375059" w:rsidRDefault="002B169F">
            <w:pPr>
              <w:widowControl w:val="0"/>
              <w:spacing w:after="0" w:line="240" w:lineRule="auto"/>
              <w:rPr>
                <w:rFonts w:ascii="Times New Roman" w:hAnsi="Times New Roman"/>
                <w:sz w:val="24"/>
                <w:vertAlign w:val="superscript"/>
              </w:rPr>
            </w:pPr>
            <w:r w:rsidRPr="00375059">
              <w:rPr>
                <w:rFonts w:ascii="Times New Roman" w:hAnsi="Times New Roman"/>
                <w:sz w:val="24"/>
              </w:rPr>
              <w:t xml:space="preserve">Доходы от перевозки пассажиров </w:t>
            </w:r>
          </w:p>
        </w:tc>
        <w:tc>
          <w:tcPr>
            <w:tcW w:w="662" w:type="pct"/>
            <w:tcBorders>
              <w:top w:val="single" w:sz="4" w:space="0" w:color="auto"/>
              <w:left w:val="single" w:sz="4" w:space="0" w:color="auto"/>
              <w:bottom w:val="single" w:sz="4" w:space="0" w:color="auto"/>
              <w:right w:val="single" w:sz="4" w:space="0" w:color="auto"/>
            </w:tcBorders>
            <w:vAlign w:val="center"/>
            <w:hideMark/>
          </w:tcPr>
          <w:p w14:paraId="74FA0742" w14:textId="77777777" w:rsidR="002B169F" w:rsidRPr="00375059" w:rsidRDefault="002B169F">
            <w:pPr>
              <w:widowControl w:val="0"/>
              <w:spacing w:after="0" w:line="240" w:lineRule="auto"/>
              <w:jc w:val="center"/>
              <w:rPr>
                <w:rFonts w:ascii="Times New Roman" w:hAnsi="Times New Roman"/>
                <w:sz w:val="24"/>
              </w:rPr>
            </w:pPr>
            <w:r w:rsidRPr="00375059">
              <w:rPr>
                <w:rFonts w:ascii="Times New Roman" w:hAnsi="Times New Roman"/>
                <w:sz w:val="24"/>
              </w:rPr>
              <w:t>тыс. руб.</w:t>
            </w:r>
          </w:p>
        </w:tc>
        <w:tc>
          <w:tcPr>
            <w:tcW w:w="809" w:type="pct"/>
            <w:tcBorders>
              <w:top w:val="single" w:sz="4" w:space="0" w:color="auto"/>
              <w:left w:val="single" w:sz="4" w:space="0" w:color="auto"/>
              <w:bottom w:val="single" w:sz="4" w:space="0" w:color="auto"/>
              <w:right w:val="single" w:sz="4" w:space="0" w:color="auto"/>
            </w:tcBorders>
            <w:vAlign w:val="center"/>
            <w:hideMark/>
          </w:tcPr>
          <w:p w14:paraId="36F56B6F" w14:textId="77777777" w:rsidR="002B169F" w:rsidRPr="00375059" w:rsidRDefault="002B169F">
            <w:pPr>
              <w:spacing w:after="0" w:line="240" w:lineRule="auto"/>
              <w:jc w:val="center"/>
              <w:rPr>
                <w:rFonts w:ascii="Times New Roman" w:hAnsi="Times New Roman"/>
                <w:color w:val="000000"/>
                <w:sz w:val="24"/>
              </w:rPr>
            </w:pPr>
            <w:r w:rsidRPr="00375059">
              <w:rPr>
                <w:rFonts w:ascii="Times New Roman" w:hAnsi="Times New Roman"/>
                <w:color w:val="000000"/>
                <w:sz w:val="24"/>
              </w:rPr>
              <w:t>77 532,7</w:t>
            </w:r>
          </w:p>
        </w:tc>
        <w:tc>
          <w:tcPr>
            <w:tcW w:w="736" w:type="pct"/>
            <w:tcBorders>
              <w:top w:val="single" w:sz="4" w:space="0" w:color="auto"/>
              <w:left w:val="single" w:sz="4" w:space="0" w:color="auto"/>
              <w:bottom w:val="single" w:sz="4" w:space="0" w:color="auto"/>
              <w:right w:val="single" w:sz="4" w:space="0" w:color="auto"/>
            </w:tcBorders>
            <w:vAlign w:val="center"/>
            <w:hideMark/>
          </w:tcPr>
          <w:p w14:paraId="00274FEE" w14:textId="77777777" w:rsidR="002B169F" w:rsidRPr="00375059" w:rsidRDefault="002B169F">
            <w:pPr>
              <w:spacing w:after="0" w:line="240" w:lineRule="auto"/>
              <w:jc w:val="center"/>
              <w:rPr>
                <w:rFonts w:ascii="Times New Roman" w:hAnsi="Times New Roman"/>
                <w:color w:val="000000"/>
                <w:sz w:val="24"/>
              </w:rPr>
            </w:pPr>
            <w:r w:rsidRPr="00375059">
              <w:rPr>
                <w:rFonts w:ascii="Times New Roman" w:hAnsi="Times New Roman"/>
                <w:color w:val="000000"/>
                <w:sz w:val="24"/>
              </w:rPr>
              <w:t>97 961,2</w:t>
            </w:r>
          </w:p>
        </w:tc>
        <w:tc>
          <w:tcPr>
            <w:tcW w:w="736" w:type="pct"/>
            <w:tcBorders>
              <w:top w:val="single" w:sz="4" w:space="0" w:color="auto"/>
              <w:left w:val="single" w:sz="4" w:space="0" w:color="auto"/>
              <w:bottom w:val="single" w:sz="4" w:space="0" w:color="auto"/>
              <w:right w:val="single" w:sz="4" w:space="0" w:color="auto"/>
            </w:tcBorders>
            <w:vAlign w:val="center"/>
            <w:hideMark/>
          </w:tcPr>
          <w:p w14:paraId="7F31FF53" w14:textId="77777777" w:rsidR="002B169F" w:rsidRPr="00DC36B1" w:rsidRDefault="002B169F">
            <w:pPr>
              <w:spacing w:after="0" w:line="240" w:lineRule="auto"/>
              <w:jc w:val="center"/>
              <w:rPr>
                <w:rFonts w:ascii="Times New Roman" w:hAnsi="Times New Roman"/>
                <w:color w:val="000000"/>
                <w:sz w:val="24"/>
                <w:szCs w:val="24"/>
              </w:rPr>
            </w:pPr>
            <w:r w:rsidRPr="00DC36B1">
              <w:rPr>
                <w:rFonts w:ascii="Times New Roman" w:hAnsi="Times New Roman"/>
                <w:sz w:val="24"/>
              </w:rPr>
              <w:t>126,3</w:t>
            </w:r>
          </w:p>
        </w:tc>
      </w:tr>
    </w:tbl>
    <w:p w14:paraId="4311E377" w14:textId="77777777" w:rsidR="002B169F" w:rsidRPr="00375059" w:rsidRDefault="002B169F" w:rsidP="002B169F">
      <w:pPr>
        <w:widowControl w:val="0"/>
        <w:spacing w:after="0" w:line="240" w:lineRule="auto"/>
        <w:ind w:firstLine="426"/>
        <w:contextualSpacing/>
        <w:jc w:val="right"/>
        <w:rPr>
          <w:rFonts w:ascii="Times New Roman" w:hAnsi="Times New Roman"/>
          <w:b/>
          <w:i/>
          <w:sz w:val="10"/>
          <w:szCs w:val="10"/>
        </w:rPr>
      </w:pPr>
    </w:p>
    <w:bookmarkStart w:id="14" w:name="_Hlk82433723"/>
    <w:bookmarkStart w:id="15" w:name="_Hlk82433734"/>
    <w:p w14:paraId="555FA99A" w14:textId="3F397AFD"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noProof/>
        </w:rPr>
        <mc:AlternateContent>
          <mc:Choice Requires="wpg">
            <w:drawing>
              <wp:anchor distT="0" distB="0" distL="114300" distR="114300" simplePos="0" relativeHeight="251696128" behindDoc="0" locked="0" layoutInCell="1" allowOverlap="1" wp14:anchorId="4B4466F9" wp14:editId="4B26EFF8">
                <wp:simplePos x="0" y="0"/>
                <wp:positionH relativeFrom="column">
                  <wp:posOffset>-2540000</wp:posOffset>
                </wp:positionH>
                <wp:positionV relativeFrom="paragraph">
                  <wp:posOffset>2258695</wp:posOffset>
                </wp:positionV>
                <wp:extent cx="1426845" cy="376555"/>
                <wp:effectExtent l="0" t="0" r="78105" b="23495"/>
                <wp:wrapNone/>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845" cy="376555"/>
                          <a:chOff x="3476" y="14104"/>
                          <a:chExt cx="2247" cy="591"/>
                        </a:xfrm>
                      </wpg:grpSpPr>
                      <wps:wsp>
                        <wps:cNvPr id="167" name="AutoShape 328"/>
                        <wps:cNvCnPr>
                          <a:cxnSpLocks noChangeShapeType="1"/>
                        </wps:cNvCnPr>
                        <wps:spPr bwMode="auto">
                          <a:xfrm>
                            <a:off x="5699" y="14104"/>
                            <a:ext cx="24" cy="205"/>
                          </a:xfrm>
                          <a:prstGeom prst="straightConnector1">
                            <a:avLst/>
                          </a:prstGeom>
                          <a:noFill/>
                          <a:ln w="9525">
                            <a:solidFill>
                              <a:schemeClr val="dk1">
                                <a:lumMod val="95000"/>
                                <a:lumOff val="0"/>
                              </a:schemeClr>
                            </a:solidFill>
                            <a:round/>
                            <a:headEnd/>
                            <a:tailEnd type="stealth" w="med" len="med"/>
                          </a:ln>
                        </wps:spPr>
                        <wps:bodyPr/>
                      </wps:wsp>
                      <wps:wsp>
                        <wps:cNvPr id="168" name="Line 329"/>
                        <wps:cNvCnPr>
                          <a:cxnSpLocks noChangeShapeType="1"/>
                        </wps:cNvCnPr>
                        <wps:spPr bwMode="auto">
                          <a:xfrm flipV="1">
                            <a:off x="3486" y="14104"/>
                            <a:ext cx="0" cy="591"/>
                          </a:xfrm>
                          <a:prstGeom prst="line">
                            <a:avLst/>
                          </a:prstGeom>
                          <a:noFill/>
                          <a:ln w="9525">
                            <a:solidFill>
                              <a:schemeClr val="dk1">
                                <a:lumMod val="95000"/>
                                <a:lumOff val="0"/>
                              </a:schemeClr>
                            </a:solidFill>
                            <a:round/>
                            <a:headEnd/>
                            <a:tailEnd/>
                          </a:ln>
                        </wps:spPr>
                        <wps:bodyPr/>
                      </wps:wsp>
                      <wps:wsp>
                        <wps:cNvPr id="169" name="Line 330"/>
                        <wps:cNvCnPr>
                          <a:cxnSpLocks noChangeShapeType="1"/>
                        </wps:cNvCnPr>
                        <wps:spPr bwMode="auto">
                          <a:xfrm rot="16200000" flipV="1">
                            <a:off x="4598" y="12984"/>
                            <a:ext cx="0" cy="2244"/>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22EE3A7" id="Группа 166" o:spid="_x0000_s1026" style="position:absolute;margin-left:-200pt;margin-top:177.85pt;width:112.35pt;height:29.65pt;z-index:251696128" coordorigin="3476,14104" coordsize="224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yf9gIAAJIJAAAOAAAAZHJzL2Uyb0RvYy54bWzkVktu2zAQ3RfoHQjuG30sOZYQOyiczyZt&#10;AyTtnpGoD0KRBElb9q5Aj9CL5Aa9QnKjDknZSZwWBdIPWhQCCHKGHM28eTPkweGqY2hJlW4Fn+Jo&#10;L8SI8kKULa+n+P3lyasJRtoQXhImOJ3iNdX4cPbyxUEvcxqLRrCSKgRGuM57OcWNMTIPAl00tCN6&#10;T0jKQVkJ1REDS1UHpSI9WO9YEIfhOOiFKqUSBdUapEdeiWfOflXRwryrKk0NYlMMvhk3Kjde2TGY&#10;HZC8VkQ2bTG4QZ7hRUdaDj/dmjoihqCFap+Y6tpCCS0qs1eILhBV1RbUxQDRROFONKdKLKSLpc77&#10;Wm5hAmh3cHq22eLt8lyhtoTcjccYcdJBkm4/3328+3T7Bb4bZOWAUi/rHDafKnkhz5UPFaZnorjW&#10;oA529XZd+83oqn8jSrBLFkY4lFaV6qwJiB+tXDLW22TQlUEFCKMkHk+SFKMCdKP9cZqmPltFAym1&#10;x0bJPrgM2iiJwmSjPB7Ox3Gy7w+nWWSVAcn9f52vg282MGCevgdX/xy4Fw2R1OVMW7y24IIvHtzX&#10;AILbhEbxxCPrds65h7VY8QFWxMW8IbymbvvlWgKEPhLrMxj3R+xCQ05+CHM6zrJdvDZox4nHKg4d&#10;ylusSC6VNqdUdMhOplgbRdq6MXPBOVSXUJHLKFmeaeNB3hywCebipGUM5CRnHPVTnKVx6g5owdrS&#10;Kq3OlTudM4WWBAq1vPZG2aID4nhZlobhUK4gtgxwW50IvN1acHl+ZByKiJfOhYaS8niYG9IymCPj&#10;YNWGEmYabF3saIkRo9DO7MzHxLijuAfac+ZKlOtzZdUDg/4YlaCleiqdtZwCi7LfzyJUsVZ+sPR7&#10;ULajZPKk/jZ8gl5r63a39J7QiUEI/zSB/kJ+QJE/5MfI1cijlkHyX9xlkBLQG6IxXMm2TL9JlyTN&#10;gLm2XcfZZGjXO3SBnu0U328//xVf3EUFF7/racMjxb4sHq5d/7l/Ss2+AgAA//8DAFBLAwQUAAYA&#10;CAAAACEAoEEpe+MAAAANAQAADwAAAGRycy9kb3ducmV2LnhtbEyPQUvDQBSE74L/YXmCt3R3TddK&#10;zKaUop6KYCuIt9fkNQnN7obsNkn/vetJj8MMM9/k69l0bKTBt85qkAsBjGzpqtbWGj4Pr8kTMB/Q&#10;Vtg5Sxqu5GFd3N7kmFVush807kPNYon1GWpoQugzzn3ZkEG/cD3Z6J3cYDBEOdS8GnCK5abjD0I8&#10;coOtjQsN9rRtqDzvL0bD24TTJpUv4+582l6/D+r9aydJ6/u7efMMLNAc/sLwix/RoYhMR3exlWed&#10;hmQpRDwTNKRKrYDFSCJXKgV21LCUSgAvcv7/RfEDAAD//wMAUEsBAi0AFAAGAAgAAAAhALaDOJL+&#10;AAAA4QEAABMAAAAAAAAAAAAAAAAAAAAAAFtDb250ZW50X1R5cGVzXS54bWxQSwECLQAUAAYACAAA&#10;ACEAOP0h/9YAAACUAQAACwAAAAAAAAAAAAAAAAAvAQAAX3JlbHMvLnJlbHNQSwECLQAUAAYACAAA&#10;ACEAjCC8n/YCAACSCQAADgAAAAAAAAAAAAAAAAAuAgAAZHJzL2Uyb0RvYy54bWxQSwECLQAUAAYA&#10;CAAAACEAoEEpe+MAAAANAQAADwAAAAAAAAAAAAAAAABQBQAAZHJzL2Rvd25yZXYueG1sUEsFBgAA&#10;AAAEAAQA8wAAAGAGAAAAAA==&#10;">
                <v:shape id="AutoShape 328" o:spid="_x0000_s1027" type="#_x0000_t32" style="position:absolute;left:5699;top:14104;width:24;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djwwAAANwAAAAPAAAAZHJzL2Rvd25yZXYueG1sRE9Ni8Iw&#10;EL0L/ocwC15EUxVcqUZRUVhPy6rg7m1oxrZsMilNrPXfbxYEb/N4n7NYtdaIhmpfOlYwGiYgiDOn&#10;S84VnE/7wQyED8gajWNS8CAPq2W3s8BUuzt/UXMMuYgh7FNUUIRQpVL6rCCLfugq4shdXW0xRFjn&#10;Utd4j+HWyHGSTKXFkmNDgRVtC8p+jzer4PBZrr8nk+TSGOM2j59TNdr1D0r13tr1HESgNrzET/eH&#10;jvOn7/D/TLxALv8AAAD//wMAUEsBAi0AFAAGAAgAAAAhANvh9svuAAAAhQEAABMAAAAAAAAAAAAA&#10;AAAAAAAAAFtDb250ZW50X1R5cGVzXS54bWxQSwECLQAUAAYACAAAACEAWvQsW78AAAAVAQAACwAA&#10;AAAAAAAAAAAAAAAfAQAAX3JlbHMvLnJlbHNQSwECLQAUAAYACAAAACEAlw0HY8MAAADcAAAADwAA&#10;AAAAAAAAAAAAAAAHAgAAZHJzL2Rvd25yZXYueG1sUEsFBgAAAAADAAMAtwAAAPcCAAAAAA==&#10;" strokecolor="black [3040]">
                  <v:stroke endarrow="classic"/>
                </v:shape>
                <v:line id="Line 329" o:spid="_x0000_s1028" style="position:absolute;flip:y;visibility:visible;mso-wrap-style:square" from="3486,14104" to="3486,1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D8xQAAANwAAAAPAAAAZHJzL2Rvd25yZXYueG1sRI9Pa8JA&#10;EMXvQr/DMgVvumkPKqmbUIRCqShq20NvQ3byh2ZnQ3Y18ds7B8HbDO/Ne79Z56Nr1YX60Hg28DJP&#10;QBEX3jZcGfj5/pitQIWIbLH1TAauFCDPniZrTK0f+EiXU6yUhHBI0UAdY5dqHYqaHIa574hFK33v&#10;MMraV9r2OEi4a/Vrkiy0w4alocaONjUV/6ezM1CGc7f5+7WxXH7tjrtyW+1xOBgzfR7f30BFGuPD&#10;fL/+tIK/EFp5RibQ2Q0AAP//AwBQSwECLQAUAAYACAAAACEA2+H2y+4AAACFAQAAEwAAAAAAAAAA&#10;AAAAAAAAAAAAW0NvbnRlbnRfVHlwZXNdLnhtbFBLAQItABQABgAIAAAAIQBa9CxbvwAAABUBAAAL&#10;AAAAAAAAAAAAAAAAAB8BAABfcmVscy8ucmVsc1BLAQItABQABgAIAAAAIQBwPXD8xQAAANwAAAAP&#10;AAAAAAAAAAAAAAAAAAcCAABkcnMvZG93bnJldi54bWxQSwUGAAAAAAMAAwC3AAAA+QIAAAAA&#10;" strokecolor="black [3040]"/>
                <v:line id="Line 330" o:spid="_x0000_s1029" style="position:absolute;rotation:90;flip:y;visibility:visible;mso-wrap-style:square" from="4598,12984" to="4598,1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l/wQAAANwAAAAPAAAAZHJzL2Rvd25yZXYueG1sRE9Li8Iw&#10;EL4L+x/CCF5kTVdB3GqUpYuip8XXfWjGpthMShO1+uuNsOBtPr7nzBatrcSVGl86VvA1SEAQ506X&#10;XCg47JefExA+IGusHJOCO3lYzD86M0y1u/GWrrtQiBjCPkUFJoQ6ldLnhiz6gauJI3dyjcUQYVNI&#10;3eAthttKDpNkLC2WHBsM1pQZys+7i1XQHkaZPmabod9mj2O5+rO/pr9Sqtdtf6YgArXhLf53r3Wc&#10;P/6G1zPxAjl/AgAA//8DAFBLAQItABQABgAIAAAAIQDb4fbL7gAAAIUBAAATAAAAAAAAAAAAAAAA&#10;AAAAAABbQ29udGVudF9UeXBlc10ueG1sUEsBAi0AFAAGAAgAAAAhAFr0LFu/AAAAFQEAAAsAAAAA&#10;AAAAAAAAAAAAHwEAAF9yZWxzLy5yZWxzUEsBAi0AFAAGAAgAAAAhAA+luX/BAAAA3AAAAA8AAAAA&#10;AAAAAAAAAAAABwIAAGRycy9kb3ducmV2LnhtbFBLBQYAAAAAAwADALcAAAD1AgAAAAA=&#10;" strokecolor="black [3040]"/>
              </v:group>
            </w:pict>
          </mc:Fallback>
        </mc:AlternateContent>
      </w:r>
      <w:bookmarkEnd w:id="14"/>
      <w:bookmarkEnd w:id="15"/>
      <w:r w:rsidRPr="00375059">
        <w:rPr>
          <w:rFonts w:ascii="Times New Roman" w:hAnsi="Times New Roman"/>
          <w:sz w:val="28"/>
          <w:szCs w:val="28"/>
        </w:rPr>
        <w:t>Значительный удельный вес в сформированных показателях приходится на:</w:t>
      </w:r>
    </w:p>
    <w:p w14:paraId="51FA551B" w14:textId="347EDC79" w:rsidR="002B169F" w:rsidRPr="00375059" w:rsidRDefault="00F55CBE" w:rsidP="001463C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w:t>
      </w:r>
      <w:r w:rsidR="002B169F" w:rsidRPr="00375059">
        <w:rPr>
          <w:rFonts w:ascii="Times New Roman" w:hAnsi="Times New Roman"/>
          <w:sz w:val="28"/>
          <w:szCs w:val="28"/>
        </w:rPr>
        <w:t xml:space="preserve"> МУП «</w:t>
      </w:r>
      <w:proofErr w:type="spellStart"/>
      <w:r w:rsidR="002B169F" w:rsidRPr="00375059">
        <w:rPr>
          <w:rFonts w:ascii="Times New Roman" w:hAnsi="Times New Roman"/>
          <w:sz w:val="28"/>
          <w:szCs w:val="28"/>
        </w:rPr>
        <w:t>Автомотосервис</w:t>
      </w:r>
      <w:proofErr w:type="spellEnd"/>
      <w:r w:rsidR="002B169F" w:rsidRPr="00375059">
        <w:rPr>
          <w:rFonts w:ascii="Times New Roman" w:hAnsi="Times New Roman"/>
          <w:sz w:val="28"/>
          <w:szCs w:val="28"/>
        </w:rPr>
        <w:t xml:space="preserve"> и торговля г. Бендеры» – рост на 25,0% пассажирооборота и числа перевезенных пассажиров;</w:t>
      </w:r>
    </w:p>
    <w:p w14:paraId="0B9FD6B0" w14:textId="0AC757FE" w:rsidR="002B169F" w:rsidRPr="00375059" w:rsidRDefault="00F55CBE" w:rsidP="001463C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2B169F" w:rsidRPr="00375059">
        <w:rPr>
          <w:rFonts w:ascii="Times New Roman" w:hAnsi="Times New Roman"/>
          <w:sz w:val="28"/>
          <w:szCs w:val="28"/>
        </w:rPr>
        <w:t>ОАО «</w:t>
      </w:r>
      <w:proofErr w:type="spellStart"/>
      <w:r w:rsidR="002B169F" w:rsidRPr="00375059">
        <w:rPr>
          <w:rFonts w:ascii="Times New Roman" w:hAnsi="Times New Roman"/>
          <w:sz w:val="28"/>
          <w:szCs w:val="28"/>
        </w:rPr>
        <w:t>Рыбницкая</w:t>
      </w:r>
      <w:proofErr w:type="spellEnd"/>
      <w:r w:rsidR="002B169F" w:rsidRPr="00375059">
        <w:rPr>
          <w:rFonts w:ascii="Times New Roman" w:hAnsi="Times New Roman"/>
          <w:sz w:val="28"/>
          <w:szCs w:val="28"/>
        </w:rPr>
        <w:t xml:space="preserve"> автоколонна № 2831» – рост на 19,3% и на 9,5% соответственно;</w:t>
      </w:r>
    </w:p>
    <w:p w14:paraId="0DFBC44E" w14:textId="0F7BC6BD" w:rsidR="002B169F" w:rsidRPr="00375059" w:rsidRDefault="00F55CBE" w:rsidP="001463C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w:t>
      </w:r>
      <w:r w:rsidR="002B169F" w:rsidRPr="00375059">
        <w:rPr>
          <w:rFonts w:ascii="Times New Roman" w:hAnsi="Times New Roman"/>
          <w:sz w:val="28"/>
          <w:szCs w:val="28"/>
        </w:rPr>
        <w:t xml:space="preserve"> ООО «Король» – пассажирооборот и число перевезенных пассажиров увеличились на 7,2% и 13,8% соответственно;</w:t>
      </w:r>
    </w:p>
    <w:p w14:paraId="0EA697D1" w14:textId="6DC19999" w:rsidR="002B169F" w:rsidRPr="00375059" w:rsidRDefault="00F55CBE" w:rsidP="001463C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w:t>
      </w:r>
      <w:r w:rsidR="002B169F" w:rsidRPr="00375059">
        <w:rPr>
          <w:rFonts w:ascii="Times New Roman" w:hAnsi="Times New Roman"/>
          <w:sz w:val="28"/>
          <w:szCs w:val="28"/>
        </w:rPr>
        <w:t xml:space="preserve"> ООО «</w:t>
      </w:r>
      <w:proofErr w:type="spellStart"/>
      <w:r w:rsidR="002B169F" w:rsidRPr="00375059">
        <w:rPr>
          <w:rFonts w:ascii="Times New Roman" w:hAnsi="Times New Roman"/>
          <w:sz w:val="28"/>
          <w:szCs w:val="28"/>
        </w:rPr>
        <w:t>Пассажирсервис</w:t>
      </w:r>
      <w:proofErr w:type="spellEnd"/>
      <w:r w:rsidR="002B169F" w:rsidRPr="00375059">
        <w:rPr>
          <w:rFonts w:ascii="Times New Roman" w:hAnsi="Times New Roman"/>
          <w:sz w:val="28"/>
          <w:szCs w:val="28"/>
        </w:rPr>
        <w:t xml:space="preserve">» – показатели </w:t>
      </w:r>
      <w:r w:rsidR="00150C6C">
        <w:rPr>
          <w:rFonts w:ascii="Times New Roman" w:hAnsi="Times New Roman"/>
          <w:sz w:val="28"/>
          <w:szCs w:val="28"/>
        </w:rPr>
        <w:t>возросли</w:t>
      </w:r>
      <w:r w:rsidR="002B169F" w:rsidRPr="00375059">
        <w:rPr>
          <w:rFonts w:ascii="Times New Roman" w:hAnsi="Times New Roman"/>
          <w:sz w:val="28"/>
          <w:szCs w:val="28"/>
        </w:rPr>
        <w:t xml:space="preserve"> на 11,9%;</w:t>
      </w:r>
    </w:p>
    <w:p w14:paraId="281AD83C" w14:textId="5FD2A4FB" w:rsidR="002B169F" w:rsidRPr="00375059" w:rsidRDefault="00F55CBE" w:rsidP="001463C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w:t>
      </w:r>
      <w:r w:rsidR="002B169F" w:rsidRPr="00375059">
        <w:rPr>
          <w:rFonts w:ascii="Times New Roman" w:hAnsi="Times New Roman"/>
          <w:sz w:val="28"/>
          <w:szCs w:val="28"/>
        </w:rPr>
        <w:t xml:space="preserve"> ООО «Экспресс-т»- пассажирооборот увеличился на 39,4%, число перевезенных пассажиров - на 36,4%;</w:t>
      </w:r>
    </w:p>
    <w:p w14:paraId="28E64F30" w14:textId="01681667" w:rsidR="002B169F" w:rsidRPr="00375059" w:rsidRDefault="00F55CBE" w:rsidP="001463C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w:t>
      </w:r>
      <w:r w:rsidR="002B169F" w:rsidRPr="00375059">
        <w:rPr>
          <w:rFonts w:ascii="Times New Roman" w:hAnsi="Times New Roman"/>
          <w:sz w:val="28"/>
          <w:szCs w:val="28"/>
        </w:rPr>
        <w:t xml:space="preserve"> ООО «Спрос» – рост пассажирооборота составил 1,9 раза, пассажиров перевезено на 33,2% больше;</w:t>
      </w:r>
    </w:p>
    <w:p w14:paraId="2678B2AA" w14:textId="15D45336" w:rsidR="002B169F" w:rsidRPr="00375059" w:rsidRDefault="00F55CBE" w:rsidP="001463C8">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w:t>
      </w:r>
      <w:r w:rsidR="002B169F" w:rsidRPr="00375059">
        <w:rPr>
          <w:rFonts w:ascii="Times New Roman" w:hAnsi="Times New Roman"/>
          <w:sz w:val="28"/>
          <w:szCs w:val="28"/>
        </w:rPr>
        <w:t xml:space="preserve"> ООО «Ви-Авто» – рост в 1,8 раз и 1,9 раз соответственно.</w:t>
      </w:r>
    </w:p>
    <w:p w14:paraId="7F6AEF82"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 2021 году число перевезенных пассажиров льготных категорий составило 251,0 тыс.</w:t>
      </w:r>
      <w:r w:rsidRPr="00375059">
        <w:rPr>
          <w:rFonts w:ascii="Times New Roman" w:hAnsi="Times New Roman"/>
          <w:spacing w:val="6"/>
          <w:sz w:val="28"/>
          <w:szCs w:val="28"/>
        </w:rPr>
        <w:t xml:space="preserve"> чел., а общая сумма предоставленных льгот достигла </w:t>
      </w:r>
      <w:r w:rsidRPr="00375059">
        <w:rPr>
          <w:rFonts w:ascii="Times New Roman" w:hAnsi="Times New Roman"/>
          <w:spacing w:val="6"/>
          <w:sz w:val="28"/>
          <w:szCs w:val="28"/>
        </w:rPr>
        <w:lastRenderedPageBreak/>
        <w:t>2 707,4 тыс. руб.</w:t>
      </w:r>
    </w:p>
    <w:p w14:paraId="44734091" w14:textId="15D0961F" w:rsidR="002B169F" w:rsidRPr="00AB2550" w:rsidRDefault="002B169F" w:rsidP="001463C8">
      <w:pPr>
        <w:widowControl w:val="0"/>
        <w:spacing w:after="0" w:line="240" w:lineRule="auto"/>
        <w:ind w:firstLine="567"/>
        <w:jc w:val="both"/>
        <w:rPr>
          <w:rFonts w:ascii="Times New Roman" w:hAnsi="Times New Roman"/>
          <w:spacing w:val="2"/>
          <w:sz w:val="28"/>
          <w:szCs w:val="28"/>
        </w:rPr>
      </w:pPr>
      <w:r w:rsidRPr="00375059">
        <w:rPr>
          <w:rFonts w:ascii="Times New Roman" w:hAnsi="Times New Roman"/>
          <w:sz w:val="28"/>
          <w:szCs w:val="28"/>
        </w:rPr>
        <w:t xml:space="preserve">В отчетном периоде </w:t>
      </w:r>
      <w:r w:rsidRPr="00375059">
        <w:rPr>
          <w:rFonts w:ascii="Times New Roman" w:hAnsi="Times New Roman"/>
          <w:b/>
          <w:sz w:val="28"/>
          <w:szCs w:val="28"/>
        </w:rPr>
        <w:t xml:space="preserve">электрическим транспортом, </w:t>
      </w:r>
      <w:r w:rsidRPr="00375059">
        <w:rPr>
          <w:rFonts w:ascii="Times New Roman" w:hAnsi="Times New Roman"/>
          <w:sz w:val="28"/>
          <w:szCs w:val="28"/>
        </w:rPr>
        <w:t>действующим в двух городах республики (Тирасполь, Бендеры), в условиях смягчившихся санитарных ограничений было перевезено 9,9 млн чел. (+22,1% к уровню 2020</w:t>
      </w:r>
      <w:r w:rsidR="00726C96">
        <w:rPr>
          <w:rFonts w:ascii="Times New Roman" w:hAnsi="Times New Roman"/>
          <w:sz w:val="28"/>
          <w:szCs w:val="28"/>
        </w:rPr>
        <w:t> </w:t>
      </w:r>
      <w:r w:rsidRPr="00375059">
        <w:rPr>
          <w:rFonts w:ascii="Times New Roman" w:hAnsi="Times New Roman"/>
          <w:sz w:val="28"/>
          <w:szCs w:val="28"/>
        </w:rPr>
        <w:t xml:space="preserve">года), </w:t>
      </w:r>
      <w:r w:rsidRPr="00375059">
        <w:rPr>
          <w:rFonts w:ascii="Times New Roman" w:hAnsi="Times New Roman"/>
          <w:spacing w:val="2"/>
          <w:sz w:val="28"/>
          <w:szCs w:val="28"/>
        </w:rPr>
        <w:t>рост пассажирооборота оценен на уровне +21,1% (до 98,1</w:t>
      </w:r>
      <w:r w:rsidR="00726C96">
        <w:rPr>
          <w:rFonts w:ascii="Times New Roman" w:hAnsi="Times New Roman"/>
          <w:spacing w:val="2"/>
          <w:sz w:val="28"/>
          <w:szCs w:val="28"/>
        </w:rPr>
        <w:t> </w:t>
      </w:r>
      <w:r w:rsidRPr="00375059">
        <w:rPr>
          <w:rFonts w:ascii="Times New Roman" w:hAnsi="Times New Roman"/>
          <w:spacing w:val="2"/>
          <w:sz w:val="28"/>
          <w:szCs w:val="28"/>
        </w:rPr>
        <w:t>млн</w:t>
      </w:r>
      <w:r w:rsidR="00726C96">
        <w:rPr>
          <w:rFonts w:ascii="Times New Roman" w:hAnsi="Times New Roman"/>
          <w:spacing w:val="2"/>
          <w:sz w:val="28"/>
          <w:szCs w:val="28"/>
        </w:rPr>
        <w:t> </w:t>
      </w:r>
      <w:r w:rsidRPr="00375059">
        <w:rPr>
          <w:rFonts w:ascii="Times New Roman" w:hAnsi="Times New Roman"/>
          <w:spacing w:val="2"/>
          <w:sz w:val="28"/>
          <w:szCs w:val="28"/>
        </w:rPr>
        <w:t xml:space="preserve">пасс.-км). Доходы троллейбусных парков </w:t>
      </w:r>
      <w:r w:rsidRPr="00375059">
        <w:rPr>
          <w:rFonts w:ascii="Times New Roman" w:hAnsi="Times New Roman"/>
          <w:sz w:val="28"/>
          <w:szCs w:val="28"/>
        </w:rPr>
        <w:t xml:space="preserve">от перевозки пассажиров и багажа, </w:t>
      </w:r>
      <w:r w:rsidRPr="00375059">
        <w:rPr>
          <w:rFonts w:ascii="Times New Roman" w:hAnsi="Times New Roman"/>
          <w:spacing w:val="2"/>
          <w:sz w:val="28"/>
          <w:szCs w:val="28"/>
        </w:rPr>
        <w:t xml:space="preserve">включая </w:t>
      </w:r>
      <w:r w:rsidRPr="00AB2550">
        <w:rPr>
          <w:rFonts w:ascii="Times New Roman" w:hAnsi="Times New Roman"/>
          <w:spacing w:val="2"/>
          <w:sz w:val="28"/>
          <w:szCs w:val="28"/>
        </w:rPr>
        <w:t>трансферты на покрытие потерь от предоставления льгот (в том числе бесплатный проезд пенсионеров), увеличились на 24,5% до 39,6 млн руб. Выручка от продажи билетов выросла на 26,6% и составила 7,3 млн руб.</w:t>
      </w:r>
    </w:p>
    <w:p w14:paraId="1480DBB6" w14:textId="77777777" w:rsidR="002B169F" w:rsidRPr="00AB2550" w:rsidRDefault="002B169F" w:rsidP="001463C8">
      <w:pPr>
        <w:widowControl w:val="0"/>
        <w:spacing w:after="0" w:line="240" w:lineRule="auto"/>
        <w:ind w:firstLine="567"/>
        <w:jc w:val="both"/>
        <w:rPr>
          <w:rFonts w:ascii="Times New Roman" w:hAnsi="Times New Roman"/>
          <w:sz w:val="28"/>
          <w:szCs w:val="28"/>
          <w:shd w:val="clear" w:color="auto" w:fill="FFFFFF"/>
        </w:rPr>
      </w:pPr>
      <w:r w:rsidRPr="00AB2550">
        <w:rPr>
          <w:rFonts w:ascii="Times New Roman" w:hAnsi="Times New Roman"/>
          <w:spacing w:val="1"/>
          <w:sz w:val="28"/>
          <w:szCs w:val="28"/>
        </w:rPr>
        <w:t xml:space="preserve">Восстановление экономической активности сформировало увеличение спроса на услуги транспортных компаний и, как следствие, грузовых </w:t>
      </w:r>
      <w:r w:rsidRPr="00AB2550">
        <w:rPr>
          <w:rFonts w:ascii="Times New Roman" w:hAnsi="Times New Roman"/>
          <w:b/>
          <w:sz w:val="28"/>
          <w:szCs w:val="28"/>
          <w:shd w:val="clear" w:color="auto" w:fill="FFFFFF"/>
        </w:rPr>
        <w:t xml:space="preserve">железнодорожных </w:t>
      </w:r>
      <w:r w:rsidRPr="00AB2550">
        <w:rPr>
          <w:rFonts w:ascii="Times New Roman" w:hAnsi="Times New Roman"/>
          <w:b/>
          <w:spacing w:val="1"/>
          <w:sz w:val="28"/>
          <w:szCs w:val="28"/>
        </w:rPr>
        <w:t>перевозок</w:t>
      </w:r>
      <w:r w:rsidRPr="00AB2550">
        <w:rPr>
          <w:rFonts w:ascii="Times New Roman" w:hAnsi="Times New Roman"/>
          <w:spacing w:val="1"/>
          <w:sz w:val="28"/>
          <w:szCs w:val="28"/>
        </w:rPr>
        <w:t xml:space="preserve"> по маршрутам прямого и местного сообщения (+11,0%), а также транзита (+21,9%), что обеспечило совокупный объем доставки грузов по итогам 2021 года на отметке 1 440,8 тыс. тонн (+16,2%), что однако ниже </w:t>
      </w:r>
      <w:proofErr w:type="spellStart"/>
      <w:r w:rsidRPr="00AB2550">
        <w:rPr>
          <w:rFonts w:ascii="Times New Roman" w:hAnsi="Times New Roman"/>
          <w:spacing w:val="1"/>
          <w:sz w:val="28"/>
          <w:szCs w:val="28"/>
        </w:rPr>
        <w:t>допандемийного</w:t>
      </w:r>
      <w:proofErr w:type="spellEnd"/>
      <w:r w:rsidRPr="00AB2550">
        <w:rPr>
          <w:rFonts w:ascii="Times New Roman" w:hAnsi="Times New Roman"/>
          <w:spacing w:val="1"/>
          <w:sz w:val="28"/>
          <w:szCs w:val="28"/>
        </w:rPr>
        <w:t xml:space="preserve"> уровня 2019 года на 40,3%.</w:t>
      </w:r>
    </w:p>
    <w:p w14:paraId="2E799136" w14:textId="77777777" w:rsidR="002B169F" w:rsidRPr="00AB2550" w:rsidRDefault="002B169F" w:rsidP="001463C8">
      <w:pPr>
        <w:widowControl w:val="0"/>
        <w:tabs>
          <w:tab w:val="left" w:pos="1080"/>
          <w:tab w:val="left" w:pos="1260"/>
        </w:tabs>
        <w:spacing w:after="0" w:line="240" w:lineRule="auto"/>
        <w:ind w:firstLine="567"/>
        <w:jc w:val="both"/>
        <w:rPr>
          <w:rFonts w:ascii="Times New Roman" w:hAnsi="Times New Roman"/>
          <w:sz w:val="28"/>
          <w:szCs w:val="28"/>
          <w:shd w:val="clear" w:color="auto" w:fill="FFFFFF"/>
        </w:rPr>
      </w:pPr>
      <w:r w:rsidRPr="00AB2550">
        <w:rPr>
          <w:rFonts w:ascii="Times New Roman" w:hAnsi="Times New Roman"/>
          <w:sz w:val="28"/>
          <w:szCs w:val="28"/>
          <w:shd w:val="clear" w:color="auto" w:fill="FFFFFF"/>
        </w:rPr>
        <w:t>Доходы от реализации железнодорожных проездных билетов по итогам 2021 года составили 147,5 тыс. руб.</w:t>
      </w:r>
    </w:p>
    <w:p w14:paraId="08C49206" w14:textId="77777777" w:rsidR="002B169F" w:rsidRPr="00AB2550" w:rsidRDefault="002B169F" w:rsidP="001463C8">
      <w:pPr>
        <w:widowControl w:val="0"/>
        <w:tabs>
          <w:tab w:val="left" w:pos="1080"/>
          <w:tab w:val="left" w:pos="1260"/>
        </w:tabs>
        <w:spacing w:after="0" w:line="240" w:lineRule="auto"/>
        <w:ind w:firstLine="567"/>
        <w:jc w:val="both"/>
        <w:rPr>
          <w:rFonts w:ascii="Times New Roman" w:hAnsi="Times New Roman"/>
          <w:spacing w:val="1"/>
          <w:sz w:val="28"/>
          <w:szCs w:val="28"/>
        </w:rPr>
      </w:pPr>
      <w:r w:rsidRPr="00AB2550">
        <w:rPr>
          <w:rFonts w:ascii="Times New Roman" w:hAnsi="Times New Roman"/>
          <w:sz w:val="28"/>
          <w:szCs w:val="28"/>
          <w:shd w:val="clear" w:color="auto" w:fill="FFFFFF"/>
        </w:rPr>
        <w:t xml:space="preserve">Таким образом, возобновление с 28 августа 2021 года курсирования </w:t>
      </w:r>
      <w:r w:rsidRPr="00AB2550">
        <w:rPr>
          <w:rFonts w:ascii="Times New Roman" w:hAnsi="Times New Roman"/>
          <w:bCs/>
          <w:iCs/>
          <w:sz w:val="28"/>
          <w:szCs w:val="28"/>
          <w:shd w:val="clear" w:color="auto" w:fill="FFFFFF"/>
        </w:rPr>
        <w:t>пассажирских поездов по направлению Одесса-Кишинев-Одесса,</w:t>
      </w:r>
      <w:r w:rsidRPr="00AB2550">
        <w:rPr>
          <w:rFonts w:ascii="Times New Roman" w:hAnsi="Times New Roman"/>
          <w:sz w:val="28"/>
          <w:szCs w:val="28"/>
          <w:shd w:val="clear" w:color="auto" w:fill="FFFFFF"/>
        </w:rPr>
        <w:t xml:space="preserve"> приостановленных во время введения противоэпидемических запретов, в совокупности с ростом грузоперевозок, опосредовало </w:t>
      </w:r>
      <w:r w:rsidRPr="00AB2550">
        <w:rPr>
          <w:rFonts w:ascii="Times New Roman" w:hAnsi="Times New Roman"/>
          <w:spacing w:val="1"/>
          <w:sz w:val="28"/>
          <w:szCs w:val="28"/>
        </w:rPr>
        <w:t xml:space="preserve">увеличение </w:t>
      </w:r>
      <w:r w:rsidRPr="00AB2550">
        <w:rPr>
          <w:rFonts w:ascii="Times New Roman" w:hAnsi="Times New Roman"/>
          <w:sz w:val="28"/>
          <w:szCs w:val="28"/>
          <w:shd w:val="clear" w:color="auto" w:fill="FFFFFF"/>
        </w:rPr>
        <w:t>о</w:t>
      </w:r>
      <w:r w:rsidRPr="00AB2550">
        <w:rPr>
          <w:rFonts w:ascii="Times New Roman" w:hAnsi="Times New Roman"/>
          <w:spacing w:val="1"/>
          <w:sz w:val="28"/>
          <w:szCs w:val="28"/>
        </w:rPr>
        <w:t>бщего объема услуг ГУКП «Приднестровская железная дорога» по итогам рассматриваемого периода на 5,3%. Возросшая величина выручки, в совокупности с принятием управленческих решений, направленных на привлечение дополнительных доходов и снижение затрат, обеспечили минимизацию суммарной величины убытка на уровне 1 514,8 тыс. руб. (против 12 795,1 тыс. руб. по итогам 2020 года).</w:t>
      </w:r>
    </w:p>
    <w:p w14:paraId="782295A4" w14:textId="77777777" w:rsidR="002B169F" w:rsidRPr="00AB2550" w:rsidRDefault="002B169F" w:rsidP="001463C8">
      <w:pPr>
        <w:widowControl w:val="0"/>
        <w:spacing w:after="0" w:line="240" w:lineRule="auto"/>
        <w:ind w:firstLine="567"/>
        <w:jc w:val="both"/>
        <w:rPr>
          <w:rFonts w:ascii="Times New Roman" w:hAnsi="Times New Roman"/>
          <w:spacing w:val="1"/>
          <w:sz w:val="28"/>
          <w:szCs w:val="28"/>
        </w:rPr>
      </w:pPr>
      <w:r w:rsidRPr="00AB2550">
        <w:rPr>
          <w:rFonts w:ascii="Times New Roman" w:hAnsi="Times New Roman"/>
          <w:b/>
          <w:bCs/>
          <w:sz w:val="28"/>
          <w:szCs w:val="28"/>
        </w:rPr>
        <w:t>Внутренний водный (речной) транспорт</w:t>
      </w:r>
      <w:r w:rsidRPr="00AB2550">
        <w:rPr>
          <w:rFonts w:ascii="Times New Roman" w:hAnsi="Times New Roman"/>
          <w:sz w:val="28"/>
          <w:szCs w:val="28"/>
        </w:rPr>
        <w:t xml:space="preserve"> республики представлен </w:t>
      </w:r>
      <w:proofErr w:type="spellStart"/>
      <w:r w:rsidRPr="00AB2550">
        <w:rPr>
          <w:rFonts w:ascii="Times New Roman" w:hAnsi="Times New Roman"/>
          <w:sz w:val="28"/>
          <w:szCs w:val="28"/>
        </w:rPr>
        <w:t>Рыбницким</w:t>
      </w:r>
      <w:proofErr w:type="spellEnd"/>
      <w:r w:rsidRPr="00AB2550">
        <w:rPr>
          <w:rFonts w:ascii="Times New Roman" w:hAnsi="Times New Roman"/>
          <w:sz w:val="28"/>
          <w:szCs w:val="28"/>
        </w:rPr>
        <w:t xml:space="preserve"> и Бендерским речными портами.</w:t>
      </w:r>
    </w:p>
    <w:p w14:paraId="61D3ADE3"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AB2550">
        <w:rPr>
          <w:rFonts w:ascii="Times New Roman" w:hAnsi="Times New Roman"/>
          <w:sz w:val="28"/>
          <w:szCs w:val="28"/>
        </w:rPr>
        <w:t>Расширение рынка сбыта обеспечило увеличение реализации песчано-гравийной смеси (ПГС) в натуральном выражении на 27,4%, что обусловило рост доходов ОАО «</w:t>
      </w:r>
      <w:proofErr w:type="spellStart"/>
      <w:r w:rsidRPr="00AB2550">
        <w:rPr>
          <w:rFonts w:ascii="Times New Roman" w:hAnsi="Times New Roman"/>
          <w:sz w:val="28"/>
          <w:szCs w:val="28"/>
        </w:rPr>
        <w:t>Рыбницкий</w:t>
      </w:r>
      <w:proofErr w:type="spellEnd"/>
      <w:r w:rsidRPr="00AB2550">
        <w:rPr>
          <w:rFonts w:ascii="Times New Roman" w:hAnsi="Times New Roman"/>
          <w:sz w:val="28"/>
          <w:szCs w:val="28"/>
        </w:rPr>
        <w:t xml:space="preserve"> речной порт» от ее продажи и дноуглубительных работ до 3 409,2 тыс. руб. (+15,1%). Совокупные доходы порта, в условиях увеличения доходов от предоставления услуг теплохода «Москва-3» в 3,6 раза на фоне роста отдыхающих, составили 3 </w:t>
      </w:r>
      <w:r w:rsidRPr="00375059">
        <w:rPr>
          <w:rFonts w:ascii="Times New Roman" w:hAnsi="Times New Roman"/>
          <w:sz w:val="28"/>
          <w:szCs w:val="28"/>
        </w:rPr>
        <w:t>776,7 тыс. руб., что на фоне повышения административных (в 1,4 раза) и коммерческих (в 1,7 раза) расходов, обеспечило формирование положительного финансового результата после уплаты налогов в размере 599,7 тыс. руб. (167,7 тыс. руб. в 2020 году).</w:t>
      </w:r>
    </w:p>
    <w:p w14:paraId="10C2BA4E" w14:textId="77777777" w:rsidR="002B169F" w:rsidRPr="00375059" w:rsidRDefault="002B169F" w:rsidP="001463C8">
      <w:pPr>
        <w:widowControl w:val="0"/>
        <w:spacing w:after="0" w:line="240" w:lineRule="auto"/>
        <w:ind w:firstLine="567"/>
        <w:jc w:val="both"/>
        <w:rPr>
          <w:rFonts w:ascii="Times New Roman" w:hAnsi="Times New Roman"/>
          <w:spacing w:val="1"/>
          <w:sz w:val="28"/>
          <w:szCs w:val="28"/>
        </w:rPr>
      </w:pPr>
      <w:r w:rsidRPr="00375059">
        <w:rPr>
          <w:rFonts w:ascii="Times New Roman" w:hAnsi="Times New Roman"/>
          <w:sz w:val="28"/>
          <w:szCs w:val="28"/>
        </w:rPr>
        <w:t xml:space="preserve">На ОАО «Бендерский речной порт» объемы дноуглубительных работ возросли в 1,5 раза. Принимая во внимание положительную ценовую динамику, доходы от реализации ПГС выросли в 1,7 раза, сформировав 56,7% поступлений от операционной деятельности. Доходы от сдачи в аренду плавсредств увеличились в отчетном году в 5,0 раз. Таким образом, </w:t>
      </w:r>
      <w:r w:rsidRPr="00375059">
        <w:rPr>
          <w:rFonts w:ascii="Times New Roman" w:hAnsi="Times New Roman"/>
          <w:sz w:val="28"/>
          <w:szCs w:val="28"/>
        </w:rPr>
        <w:lastRenderedPageBreak/>
        <w:t>совокупная прибыль порта повысилась в 2,8 раза. После уплаты налогов экономическим агентом был сформирован положительный финансовый результат в размере 1,8 млн руб. (613,3 тыс. руб. по итогам 2020 года).</w:t>
      </w:r>
    </w:p>
    <w:p w14:paraId="1971F7D6" w14:textId="17A43658" w:rsidR="002B169F" w:rsidRPr="00375059" w:rsidRDefault="002B169F" w:rsidP="001463C8">
      <w:pPr>
        <w:widowControl w:val="0"/>
        <w:spacing w:after="0" w:line="240" w:lineRule="auto"/>
        <w:ind w:firstLine="567"/>
        <w:jc w:val="both"/>
        <w:rPr>
          <w:rFonts w:ascii="Times New Roman" w:hAnsi="Times New Roman"/>
          <w:spacing w:val="6"/>
          <w:sz w:val="28"/>
          <w:szCs w:val="28"/>
        </w:rPr>
      </w:pPr>
      <w:r w:rsidRPr="00375059">
        <w:rPr>
          <w:rFonts w:ascii="Times New Roman" w:hAnsi="Times New Roman"/>
          <w:b/>
          <w:i/>
          <w:spacing w:val="6"/>
          <w:sz w:val="28"/>
          <w:szCs w:val="28"/>
        </w:rPr>
        <w:t>Государственная политика в области координации и развития транспорта</w:t>
      </w:r>
      <w:r w:rsidRPr="00375059">
        <w:rPr>
          <w:rFonts w:ascii="Times New Roman" w:hAnsi="Times New Roman"/>
          <w:spacing w:val="6"/>
          <w:sz w:val="28"/>
          <w:szCs w:val="28"/>
        </w:rPr>
        <w:t xml:space="preserve"> включала в себя:</w:t>
      </w:r>
    </w:p>
    <w:p w14:paraId="443D9ABE" w14:textId="77777777" w:rsidR="002B169F" w:rsidRPr="00375059" w:rsidRDefault="002B169F" w:rsidP="001463C8">
      <w:pPr>
        <w:pStyle w:val="a3"/>
        <w:widowControl w:val="0"/>
        <w:numPr>
          <w:ilvl w:val="0"/>
          <w:numId w:val="8"/>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контроль за соблюдением карантинных требований;</w:t>
      </w:r>
    </w:p>
    <w:p w14:paraId="0A66483D" w14:textId="77777777" w:rsidR="002B169F" w:rsidRPr="00375059" w:rsidRDefault="002B169F" w:rsidP="001463C8">
      <w:pPr>
        <w:pStyle w:val="a3"/>
        <w:widowControl w:val="0"/>
        <w:numPr>
          <w:ilvl w:val="0"/>
          <w:numId w:val="8"/>
        </w:numPr>
        <w:spacing w:after="0" w:line="240" w:lineRule="auto"/>
        <w:ind w:left="0" w:firstLine="567"/>
        <w:jc w:val="both"/>
        <w:rPr>
          <w:rFonts w:ascii="Times New Roman" w:hAnsi="Times New Roman"/>
          <w:sz w:val="28"/>
          <w:szCs w:val="28"/>
        </w:rPr>
      </w:pPr>
      <w:r w:rsidRPr="00375059">
        <w:rPr>
          <w:rFonts w:ascii="Times New Roman" w:hAnsi="Times New Roman"/>
          <w:bCs/>
          <w:sz w:val="28"/>
          <w:szCs w:val="28"/>
        </w:rPr>
        <w:t>государственную поддержку транспортных предприятий, в том числе посредством переноса сроков уплаты налога с владельцев транспортных средств в период действия чрезвычайного положения и (или) ограничительных мероприятий (карантина)</w:t>
      </w:r>
      <w:r w:rsidRPr="00375059">
        <w:rPr>
          <w:rFonts w:ascii="Times New Roman" w:hAnsi="Times New Roman"/>
          <w:sz w:val="28"/>
          <w:szCs w:val="28"/>
        </w:rPr>
        <w:t>;</w:t>
      </w:r>
    </w:p>
    <w:p w14:paraId="10EDFE24" w14:textId="77777777" w:rsidR="002B169F" w:rsidRPr="00375059" w:rsidRDefault="002B169F" w:rsidP="001463C8">
      <w:pPr>
        <w:pStyle w:val="a3"/>
        <w:widowControl w:val="0"/>
        <w:numPr>
          <w:ilvl w:val="0"/>
          <w:numId w:val="8"/>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обеспечение сохранности дорожного полотна автомобильных дорог общего пользования, а также безопасности дорожного движения при проезде транспортных средств полной массой более 18 тонн;</w:t>
      </w:r>
    </w:p>
    <w:p w14:paraId="153B647A" w14:textId="77777777" w:rsidR="002B169F" w:rsidRPr="00375059" w:rsidRDefault="002B169F" w:rsidP="001463C8">
      <w:pPr>
        <w:pStyle w:val="a3"/>
        <w:widowControl w:val="0"/>
        <w:numPr>
          <w:ilvl w:val="0"/>
          <w:numId w:val="8"/>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выявление осуществления юридическими и физическими лицами, в том числе индивидуальными предпринимателями, перевозок пассажиров и багажа автомобильным транспортом с нарушением нормативных правовых актов;</w:t>
      </w:r>
    </w:p>
    <w:p w14:paraId="228A550B" w14:textId="77777777" w:rsidR="002B169F" w:rsidRPr="00375059" w:rsidRDefault="002B169F" w:rsidP="001463C8">
      <w:pPr>
        <w:pStyle w:val="a3"/>
        <w:widowControl w:val="0"/>
        <w:numPr>
          <w:ilvl w:val="0"/>
          <w:numId w:val="8"/>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принятие механизма признания регулярных маршрутов (рейсов) социально-значимыми, а также финансирование субсидий по ним за счет средств республиканского бюджета (386,4 тыс. руб.);</w:t>
      </w:r>
    </w:p>
    <w:p w14:paraId="2FED4DBB" w14:textId="77777777" w:rsidR="002B169F" w:rsidRPr="00375059" w:rsidRDefault="002B169F" w:rsidP="001463C8">
      <w:pPr>
        <w:pStyle w:val="a3"/>
        <w:widowControl w:val="0"/>
        <w:numPr>
          <w:ilvl w:val="0"/>
          <w:numId w:val="8"/>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повышение транспортной дисциплины перевозчиков</w:t>
      </w:r>
      <w:r w:rsidRPr="00375059">
        <w:rPr>
          <w:rFonts w:ascii="Times New Roman" w:hAnsi="Times New Roman"/>
          <w:bCs/>
          <w:sz w:val="28"/>
          <w:szCs w:val="28"/>
        </w:rPr>
        <w:t>;</w:t>
      </w:r>
    </w:p>
    <w:p w14:paraId="3DCBC465" w14:textId="77777777" w:rsidR="002B169F" w:rsidRPr="00375059" w:rsidRDefault="002B169F" w:rsidP="001463C8">
      <w:pPr>
        <w:pStyle w:val="a3"/>
        <w:widowControl w:val="0"/>
        <w:numPr>
          <w:ilvl w:val="0"/>
          <w:numId w:val="8"/>
        </w:numPr>
        <w:spacing w:after="0" w:line="240" w:lineRule="auto"/>
        <w:ind w:left="0" w:firstLine="567"/>
        <w:jc w:val="both"/>
        <w:rPr>
          <w:rFonts w:ascii="Times New Roman" w:hAnsi="Times New Roman"/>
          <w:sz w:val="28"/>
          <w:szCs w:val="28"/>
        </w:rPr>
      </w:pPr>
      <w:r w:rsidRPr="00375059">
        <w:rPr>
          <w:rFonts w:ascii="Times New Roman" w:hAnsi="Times New Roman"/>
          <w:bCs/>
          <w:sz w:val="28"/>
          <w:szCs w:val="28"/>
        </w:rPr>
        <w:t>утверждение условий внесения изменений в конструкцию автобуса для перевозки пассажиров и багажа и признания транспортом общего пользования</w:t>
      </w:r>
      <w:r w:rsidRPr="00375059">
        <w:rPr>
          <w:rFonts w:ascii="Times New Roman" w:hAnsi="Times New Roman"/>
          <w:sz w:val="28"/>
          <w:szCs w:val="28"/>
        </w:rPr>
        <w:t>;</w:t>
      </w:r>
    </w:p>
    <w:p w14:paraId="4D3A18C7" w14:textId="77777777" w:rsidR="002B169F" w:rsidRPr="00375059" w:rsidRDefault="002B169F" w:rsidP="001463C8">
      <w:pPr>
        <w:pStyle w:val="a3"/>
        <w:widowControl w:val="0"/>
        <w:numPr>
          <w:ilvl w:val="0"/>
          <w:numId w:val="8"/>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создание условий для обеспечения безопасности перевозок пассажиров и багажа автомобильным транспортом;</w:t>
      </w:r>
    </w:p>
    <w:p w14:paraId="48D56C13" w14:textId="77777777" w:rsidR="002B169F" w:rsidRPr="00375059" w:rsidRDefault="002B169F" w:rsidP="001463C8">
      <w:pPr>
        <w:pStyle w:val="a3"/>
        <w:widowControl w:val="0"/>
        <w:numPr>
          <w:ilvl w:val="0"/>
          <w:numId w:val="8"/>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обеспечение городов и районов республики школьными автобусами;</w:t>
      </w:r>
    </w:p>
    <w:p w14:paraId="3E9FF051" w14:textId="08CAB433" w:rsidR="002B169F" w:rsidRPr="00375059" w:rsidRDefault="002B169F" w:rsidP="001463C8">
      <w:pPr>
        <w:pStyle w:val="a3"/>
        <w:widowControl w:val="0"/>
        <w:numPr>
          <w:ilvl w:val="0"/>
          <w:numId w:val="8"/>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обеспечение рационального использования средств республиканского бюджета (контроль корректности предоставления транспортными организациями сумм потерь от перевозки льготных категорий граждан, представляемых к возмещению). По итогам 2021 года перевозчикам было профинансировано 2,6 млн руб. потерь от перевозки льготных категорий граждан.</w:t>
      </w:r>
    </w:p>
    <w:p w14:paraId="636FC7B1" w14:textId="7B1172A4" w:rsidR="006308DD" w:rsidRPr="00375059" w:rsidRDefault="006308DD" w:rsidP="001463C8">
      <w:pPr>
        <w:pStyle w:val="a3"/>
        <w:widowControl w:val="0"/>
        <w:spacing w:after="0" w:line="240" w:lineRule="auto"/>
        <w:ind w:left="567" w:firstLine="567"/>
        <w:jc w:val="both"/>
        <w:rPr>
          <w:rFonts w:ascii="Times New Roman" w:hAnsi="Times New Roman"/>
          <w:sz w:val="28"/>
          <w:szCs w:val="28"/>
        </w:rPr>
      </w:pPr>
    </w:p>
    <w:p w14:paraId="3C96EE00" w14:textId="77777777" w:rsidR="002B169F" w:rsidRPr="00375059" w:rsidRDefault="002B169F" w:rsidP="001463C8">
      <w:pPr>
        <w:pStyle w:val="2"/>
        <w:spacing w:before="0" w:line="240" w:lineRule="auto"/>
        <w:ind w:firstLine="567"/>
        <w:rPr>
          <w:rFonts w:ascii="Times New Roman" w:hAnsi="Times New Roman" w:cs="Times New Roman"/>
          <w:b/>
          <w:color w:val="auto"/>
          <w:sz w:val="28"/>
        </w:rPr>
      </w:pPr>
      <w:bookmarkStart w:id="16" w:name="_Toc82074345"/>
      <w:bookmarkStart w:id="17" w:name="_Toc101441781"/>
      <w:r w:rsidRPr="00375059">
        <w:rPr>
          <w:rFonts w:ascii="Times New Roman" w:hAnsi="Times New Roman" w:cs="Times New Roman"/>
          <w:b/>
          <w:color w:val="auto"/>
          <w:sz w:val="28"/>
        </w:rPr>
        <w:t>Связь</w:t>
      </w:r>
      <w:bookmarkEnd w:id="16"/>
      <w:bookmarkEnd w:id="17"/>
    </w:p>
    <w:p w14:paraId="053546AA" w14:textId="77777777" w:rsidR="002B169F" w:rsidRPr="00375059" w:rsidRDefault="002B169F" w:rsidP="001463C8">
      <w:pPr>
        <w:spacing w:after="0" w:line="240" w:lineRule="auto"/>
        <w:ind w:firstLine="567"/>
        <w:jc w:val="both"/>
        <w:rPr>
          <w:rFonts w:ascii="Times New Roman" w:hAnsi="Times New Roman"/>
          <w:b/>
          <w:i/>
          <w:sz w:val="28"/>
          <w:szCs w:val="28"/>
        </w:rPr>
      </w:pPr>
      <w:r w:rsidRPr="00375059">
        <w:rPr>
          <w:rFonts w:ascii="Times New Roman" w:hAnsi="Times New Roman"/>
          <w:b/>
          <w:i/>
          <w:sz w:val="28"/>
          <w:szCs w:val="28"/>
        </w:rPr>
        <w:t>Информационные технологии</w:t>
      </w:r>
    </w:p>
    <w:p w14:paraId="67E49CA8"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2021 году проводилась работа по созданию новых государственных информационных систем и сопровождению уже имеющихся, предназначенных для обеспечения взаимодействия органов власти и управления при государственной регистрации и постановке на учет юридических лиц и индивидуальных предпринимателей.</w:t>
      </w:r>
    </w:p>
    <w:p w14:paraId="485ABC03" w14:textId="278AC905" w:rsidR="002B169F" w:rsidRPr="00375059" w:rsidRDefault="002B169F" w:rsidP="001463C8">
      <w:pPr>
        <w:tabs>
          <w:tab w:val="left" w:pos="709"/>
          <w:tab w:val="left" w:pos="851"/>
        </w:tabs>
        <w:spacing w:after="0" w:line="240" w:lineRule="auto"/>
        <w:ind w:firstLine="567"/>
        <w:jc w:val="both"/>
        <w:rPr>
          <w:rFonts w:ascii="Times New Roman" w:eastAsiaTheme="minorHAnsi" w:hAnsi="Times New Roman"/>
          <w:sz w:val="28"/>
          <w:szCs w:val="28"/>
          <w:lang w:eastAsia="en-US"/>
        </w:rPr>
      </w:pPr>
      <w:r w:rsidRPr="00375059">
        <w:rPr>
          <w:rFonts w:ascii="Times New Roman" w:hAnsi="Times New Roman"/>
          <w:sz w:val="28"/>
          <w:szCs w:val="28"/>
        </w:rPr>
        <w:t xml:space="preserve">В рамках реализации курса по повышению доступности государственных услуг в электронной форме продолжилось развитие государственной информационной системы «Портал государственных услуг Приднестровской Молдавской Республики» (далее – Портал). На конец отчетного периода на </w:t>
      </w:r>
      <w:r w:rsidRPr="00375059">
        <w:rPr>
          <w:rFonts w:ascii="Times New Roman" w:hAnsi="Times New Roman"/>
          <w:sz w:val="28"/>
          <w:szCs w:val="28"/>
        </w:rPr>
        <w:lastRenderedPageBreak/>
        <w:t>Портале размещена информация о 508 услугах, из которых 83</w:t>
      </w:r>
      <w:r w:rsidR="002D6C2B" w:rsidRPr="00375059">
        <w:rPr>
          <w:rFonts w:ascii="Times New Roman" w:hAnsi="Times New Roman"/>
          <w:sz w:val="28"/>
          <w:szCs w:val="28"/>
        </w:rPr>
        <w:t> </w:t>
      </w:r>
      <w:r w:rsidRPr="00375059">
        <w:rPr>
          <w:rFonts w:ascii="Times New Roman" w:hAnsi="Times New Roman"/>
          <w:sz w:val="28"/>
          <w:szCs w:val="28"/>
        </w:rPr>
        <w:t>государственные услуги доступны для заказа в электронной форме. Всего в 2021 году на Портале было зарегистрировано 6 992 пользователя, или 47,8% от их общего числа по итогам года (14 623 чел.).</w:t>
      </w:r>
    </w:p>
    <w:p w14:paraId="5BEB96E8" w14:textId="77777777" w:rsidR="002B169F" w:rsidRPr="00375059" w:rsidRDefault="002B169F"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За прошедший год к системе «Реестр документов разрешительного характера» были подключены веб-сервисы баз данных 6 государственных ведомств. В рамках функционирования государственной информационной системы «Единый реестр государственных услуг» проводились работы по доработке элементов для заполнения информации о государственных услугах.</w:t>
      </w:r>
    </w:p>
    <w:p w14:paraId="7809179F" w14:textId="77777777" w:rsidR="002B169F" w:rsidRPr="00375059" w:rsidRDefault="002B169F"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Кроме того, в 2021 году была осуществлена процедура аккредитации удостоверяющего центра Приднестровского республиканского банка.</w:t>
      </w:r>
    </w:p>
    <w:p w14:paraId="0FDC2AB2" w14:textId="77777777" w:rsidR="002B169F" w:rsidRPr="00375059" w:rsidRDefault="002B169F"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В 2021 году начала функционировать государственная информационная система «Регистрация юридических лиц «Одно окно» и «Регистрация индивидуальных предпринимателей «Одно окно», благодаря которой было обработано порядка 11 тыс.  заявок в совокупности.</w:t>
      </w:r>
    </w:p>
    <w:p w14:paraId="0C5EB2ED" w14:textId="6B045D67" w:rsidR="002B169F" w:rsidRPr="00375059" w:rsidRDefault="002B169F"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За счет дополнительного подключения 45 субъектов к государственной информационной системе «Межведомственный электронный документооборот» (далее – ГИС «МЭД) за 2021 год общий документооборот вырос на 27,4% до 174,8 тыс. документов. Общее количество участников ГИС</w:t>
      </w:r>
      <w:r w:rsidR="002D6C2B" w:rsidRPr="00375059">
        <w:rPr>
          <w:rFonts w:ascii="Times New Roman" w:hAnsi="Times New Roman"/>
          <w:sz w:val="28"/>
          <w:szCs w:val="28"/>
        </w:rPr>
        <w:t> </w:t>
      </w:r>
      <w:r w:rsidRPr="00375059">
        <w:rPr>
          <w:rFonts w:ascii="Times New Roman" w:hAnsi="Times New Roman"/>
          <w:sz w:val="28"/>
          <w:szCs w:val="28"/>
        </w:rPr>
        <w:t>«МЭД» на конец отчетного периода составило 87 субъектов.</w:t>
      </w:r>
    </w:p>
    <w:p w14:paraId="11E5E185" w14:textId="77777777" w:rsidR="006308DD" w:rsidRPr="00375059" w:rsidRDefault="006308DD" w:rsidP="001463C8">
      <w:pPr>
        <w:widowControl w:val="0"/>
        <w:spacing w:after="0" w:line="240" w:lineRule="auto"/>
        <w:ind w:firstLine="567"/>
        <w:jc w:val="both"/>
        <w:rPr>
          <w:rFonts w:ascii="Times New Roman" w:hAnsi="Times New Roman"/>
          <w:b/>
          <w:bCs/>
          <w:i/>
          <w:iCs/>
          <w:sz w:val="28"/>
          <w:szCs w:val="28"/>
        </w:rPr>
      </w:pPr>
    </w:p>
    <w:p w14:paraId="2802F3C8" w14:textId="642C487D" w:rsidR="002B169F" w:rsidRPr="00375059" w:rsidRDefault="002B169F" w:rsidP="001463C8">
      <w:pPr>
        <w:widowControl w:val="0"/>
        <w:spacing w:after="0" w:line="240" w:lineRule="auto"/>
        <w:ind w:firstLine="567"/>
        <w:jc w:val="both"/>
        <w:rPr>
          <w:rFonts w:ascii="Times New Roman" w:hAnsi="Times New Roman"/>
          <w:b/>
          <w:bCs/>
          <w:i/>
          <w:iCs/>
          <w:sz w:val="28"/>
          <w:szCs w:val="28"/>
        </w:rPr>
      </w:pPr>
      <w:r w:rsidRPr="00375059">
        <w:rPr>
          <w:rFonts w:ascii="Times New Roman" w:hAnsi="Times New Roman"/>
          <w:b/>
          <w:bCs/>
          <w:i/>
          <w:iCs/>
          <w:sz w:val="28"/>
          <w:szCs w:val="28"/>
        </w:rPr>
        <w:t>Электросвязь</w:t>
      </w:r>
    </w:p>
    <w:p w14:paraId="144F16A7"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По итогам 2021 года совокупный доход организаций сферы связи по основным направлениям деятельности сложился в размере 822,0 млн руб., превысив параметр предыдущего года на 6,1%.</w:t>
      </w:r>
    </w:p>
    <w:p w14:paraId="3924B3B9" w14:textId="4C31BE4D" w:rsidR="002B169F" w:rsidRPr="00375059" w:rsidRDefault="002B169F" w:rsidP="001463C8">
      <w:pPr>
        <w:widowControl w:val="0"/>
        <w:autoSpaceDE w:val="0"/>
        <w:autoSpaceDN w:val="0"/>
        <w:adjustRightInd w:val="0"/>
        <w:spacing w:after="0" w:line="240" w:lineRule="auto"/>
        <w:ind w:firstLine="567"/>
        <w:jc w:val="both"/>
        <w:rPr>
          <w:rFonts w:ascii="Times New Roman" w:hAnsi="Times New Roman"/>
          <w:sz w:val="28"/>
          <w:szCs w:val="28"/>
        </w:rPr>
      </w:pPr>
      <w:r w:rsidRPr="00375059">
        <w:rPr>
          <w:rFonts w:ascii="Times New Roman" w:hAnsi="Times New Roman"/>
          <w:sz w:val="28"/>
          <w:szCs w:val="28"/>
        </w:rPr>
        <w:t>Практически все доходы (99,3%) были получены от оказания услуг электросвязи – 816,0 млн руб. (+6,0%). Основными источниками поступлений выступили доходы от оказания услуг по передаче данных и предоставлению доступа к сети Интернет (37,2% выручки) и услуг мобильной сотовой связи (30,1%) (рис. 1</w:t>
      </w:r>
      <w:r w:rsidR="002D6C2B" w:rsidRPr="00375059">
        <w:rPr>
          <w:rFonts w:ascii="Times New Roman" w:hAnsi="Times New Roman"/>
          <w:sz w:val="28"/>
          <w:szCs w:val="28"/>
        </w:rPr>
        <w:t>9</w:t>
      </w:r>
      <w:r w:rsidRPr="00375059">
        <w:rPr>
          <w:rFonts w:ascii="Times New Roman" w:hAnsi="Times New Roman"/>
          <w:sz w:val="28"/>
          <w:szCs w:val="28"/>
        </w:rPr>
        <w:t xml:space="preserve">). </w:t>
      </w:r>
    </w:p>
    <w:p w14:paraId="500F9CBE" w14:textId="6B36E843" w:rsidR="002B169F" w:rsidRPr="00375059" w:rsidRDefault="002B169F" w:rsidP="002B169F">
      <w:pPr>
        <w:widowControl w:val="0"/>
        <w:autoSpaceDE w:val="0"/>
        <w:autoSpaceDN w:val="0"/>
        <w:adjustRightInd w:val="0"/>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Рисунок 1</w:t>
      </w:r>
      <w:r w:rsidR="002D6C2B" w:rsidRPr="00375059">
        <w:rPr>
          <w:rFonts w:ascii="Times New Roman" w:hAnsi="Times New Roman"/>
          <w:b/>
          <w:i/>
          <w:sz w:val="28"/>
          <w:szCs w:val="28"/>
        </w:rPr>
        <w:t>9</w:t>
      </w:r>
    </w:p>
    <w:p w14:paraId="01FD0B61" w14:textId="77777777" w:rsidR="002B169F" w:rsidRPr="00375059" w:rsidRDefault="002B169F" w:rsidP="002B169F">
      <w:pPr>
        <w:widowControl w:val="0"/>
        <w:autoSpaceDE w:val="0"/>
        <w:autoSpaceDN w:val="0"/>
        <w:adjustRightInd w:val="0"/>
        <w:spacing w:after="0" w:line="240" w:lineRule="auto"/>
        <w:jc w:val="center"/>
        <w:rPr>
          <w:rFonts w:ascii="Times New Roman" w:hAnsi="Times New Roman"/>
          <w:b/>
          <w:bCs/>
          <w:sz w:val="28"/>
          <w:szCs w:val="28"/>
        </w:rPr>
      </w:pPr>
      <w:r w:rsidRPr="00375059">
        <w:rPr>
          <w:rFonts w:ascii="Times New Roman" w:hAnsi="Times New Roman"/>
          <w:b/>
          <w:bCs/>
          <w:sz w:val="28"/>
          <w:szCs w:val="28"/>
        </w:rPr>
        <w:t xml:space="preserve">Динамика доходов от предоставления основных услуг электросвязи, </w:t>
      </w:r>
    </w:p>
    <w:p w14:paraId="63AA405C" w14:textId="77777777" w:rsidR="002B169F" w:rsidRPr="00375059" w:rsidRDefault="002B169F" w:rsidP="002B169F">
      <w:pPr>
        <w:widowControl w:val="0"/>
        <w:autoSpaceDE w:val="0"/>
        <w:autoSpaceDN w:val="0"/>
        <w:adjustRightInd w:val="0"/>
        <w:spacing w:after="0" w:line="240" w:lineRule="auto"/>
        <w:jc w:val="center"/>
        <w:rPr>
          <w:rFonts w:ascii="Times New Roman" w:hAnsi="Times New Roman"/>
          <w:b/>
          <w:sz w:val="28"/>
          <w:szCs w:val="28"/>
        </w:rPr>
      </w:pPr>
      <w:r w:rsidRPr="00375059">
        <w:rPr>
          <w:rFonts w:ascii="Times New Roman" w:hAnsi="Times New Roman"/>
          <w:b/>
          <w:bCs/>
          <w:sz w:val="28"/>
          <w:szCs w:val="28"/>
        </w:rPr>
        <w:t>млн руб</w:t>
      </w:r>
      <w:r w:rsidRPr="00375059">
        <w:rPr>
          <w:rFonts w:ascii="Times New Roman" w:hAnsi="Times New Roman"/>
          <w:b/>
          <w:sz w:val="28"/>
          <w:szCs w:val="28"/>
        </w:rPr>
        <w:t>.</w:t>
      </w:r>
    </w:p>
    <w:p w14:paraId="1573E524" w14:textId="77777777" w:rsidR="002B169F" w:rsidRPr="00375059" w:rsidRDefault="002B169F" w:rsidP="002B169F">
      <w:pPr>
        <w:widowControl w:val="0"/>
        <w:autoSpaceDE w:val="0"/>
        <w:autoSpaceDN w:val="0"/>
        <w:adjustRightInd w:val="0"/>
        <w:spacing w:after="0" w:line="240" w:lineRule="auto"/>
        <w:jc w:val="right"/>
        <w:rPr>
          <w:rFonts w:ascii="Times New Roman" w:hAnsi="Times New Roman"/>
          <w:b/>
          <w:i/>
          <w:sz w:val="28"/>
          <w:szCs w:val="28"/>
        </w:rPr>
      </w:pPr>
    </w:p>
    <w:p w14:paraId="1A2A46C9" w14:textId="678918AA" w:rsidR="002B169F" w:rsidRPr="00375059" w:rsidRDefault="002D6C2B" w:rsidP="002B169F">
      <w:pPr>
        <w:tabs>
          <w:tab w:val="left" w:pos="709"/>
          <w:tab w:val="left" w:pos="851"/>
        </w:tabs>
        <w:spacing w:after="0" w:line="240" w:lineRule="auto"/>
        <w:jc w:val="center"/>
        <w:rPr>
          <w:rFonts w:ascii="Times New Roman" w:eastAsiaTheme="minorHAnsi" w:hAnsi="Times New Roman"/>
          <w:sz w:val="28"/>
          <w:szCs w:val="28"/>
          <w:lang w:eastAsia="en-US"/>
        </w:rPr>
      </w:pPr>
      <w:r w:rsidRPr="00375059">
        <w:rPr>
          <w:rFonts w:ascii="Times New Roman" w:eastAsiaTheme="minorHAnsi" w:hAnsi="Times New Roman"/>
          <w:noProof/>
          <w:lang w:eastAsia="en-US"/>
        </w:rPr>
        <mc:AlternateContent>
          <mc:Choice Requires="wps">
            <w:drawing>
              <wp:anchor distT="0" distB="0" distL="114299" distR="114299" simplePos="0" relativeHeight="251708416" behindDoc="0" locked="0" layoutInCell="1" allowOverlap="1" wp14:anchorId="749DDAF5" wp14:editId="38F19A51">
                <wp:simplePos x="0" y="0"/>
                <wp:positionH relativeFrom="column">
                  <wp:posOffset>5292421</wp:posOffset>
                </wp:positionH>
                <wp:positionV relativeFrom="paragraph">
                  <wp:posOffset>951790</wp:posOffset>
                </wp:positionV>
                <wp:extent cx="0" cy="231216"/>
                <wp:effectExtent l="0" t="0" r="38100" b="3556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2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39759F5" id="Прямая соединительная линия 69"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16.75pt,74.95pt" to="416.7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Ip7QEAAPYDAAAOAAAAZHJzL2Uyb0RvYy54bWysU02O0zAU3iNxB8t7mqZIFURNZzEj2Iyg&#10;YuAAHsdurPGfbNOkO2CN1CNwBRYgjTTAGZIb8eykGQYQQoiNZb/3fe/ne8+rk1ZJtGPOC6NLnM/m&#10;GDFNTSX0tsSvXj558AgjH4iuiDSalXjPPD5Z37+3amzBFqY2smIOQRDti8aWuA7BFlnmac0U8TNj&#10;mQYnN06RAE+3zSpHGoiuZLaYz5dZY1xlnaHMe7CeDU68TvE5ZzQ859yzgGSJobaQTpfOy3hm6xUp&#10;to7YWtCxDPIPVSgiNCSdQp2RQNBrJ34JpQR1xhseZtSozHAuKEs9QDf5/KduLmpiWeoFxPF2ksn/&#10;v7D02W7jkKhKvHyMkSYKZtR96N/0h+5L97E/oP5t96373H3qrruv3XX/Du43/Xu4R2d3M5oPCOig&#10;ZWN9ASFP9cZFNWirL+y5oVcefNkdZ3x4O8Ba7lSEgxyoTbPZT7NhbUB0MFKwLh7mi3wZU2WkOPKs&#10;8+EpMwrFS4ml0FE1UpDduQ8D9AgZyxgypxrCXrIIlvoF46AE5MoTO+0gO5UO7QhsT3WVj2kTMlK4&#10;kHIizf9MGrGRxtJe/i1xQqeMRoeJqIQ27ndZQ3sslQ/4Y9dDr7HtS1PtN+44FViuJOj4EeL2/vhO&#10;9Nvvuv4OAAD//wMAUEsDBBQABgAIAAAAIQAN2xcg3gAAAAsBAAAPAAAAZHJzL2Rvd25yZXYueG1s&#10;TI/BTsMwEETvSPyDtUjcqEMDUZrGqapKCHFBNIW7G7tJir2ObCcNf88iDnDcmafZmXIzW8Mm7UPv&#10;UMD9IgGmsXGqx1bA++HpLgcWokQljUMt4EsH2FTXV6UslLvgXk91bBmFYCikgC7GoeA8NJ22Mizc&#10;oJG8k/NWRjp9y5WXFwq3hi+TJONW9kgfOjnoXaebz3q0AsyLnz7aXbsN4/M+q89vp+XrYRLi9mbe&#10;roFFPcc/GH7qU3WoqNPRjagCMwLyNH0klIyH1QoYEb/KkZQ8S4FXJf+/ofoGAAD//wMAUEsBAi0A&#10;FAAGAAgAAAAhALaDOJL+AAAA4QEAABMAAAAAAAAAAAAAAAAAAAAAAFtDb250ZW50X1R5cGVzXS54&#10;bWxQSwECLQAUAAYACAAAACEAOP0h/9YAAACUAQAACwAAAAAAAAAAAAAAAAAvAQAAX3JlbHMvLnJl&#10;bHNQSwECLQAUAAYACAAAACEAIA2SKe0BAAD2AwAADgAAAAAAAAAAAAAAAAAuAgAAZHJzL2Uyb0Rv&#10;Yy54bWxQSwECLQAUAAYACAAAACEADdsXIN4AAAALAQAADwAAAAAAAAAAAAAAAABHBAAAZHJzL2Rv&#10;d25yZXYueG1sUEsFBgAAAAAEAAQA8wAAAFIFAAAAAA==&#10;" strokecolor="black [3200]" strokeweight=".5pt">
                <v:stroke joinstyle="miter"/>
                <o:lock v:ext="edit" shapetype="f"/>
              </v:line>
            </w:pict>
          </mc:Fallback>
        </mc:AlternateContent>
      </w:r>
      <w:r w:rsidR="002B169F" w:rsidRPr="00375059">
        <w:rPr>
          <w:rFonts w:ascii="Times New Roman" w:eastAsiaTheme="minorHAnsi" w:hAnsi="Times New Roman"/>
          <w:noProof/>
          <w:lang w:eastAsia="en-US"/>
        </w:rPr>
        <mc:AlternateContent>
          <mc:Choice Requires="wps">
            <w:drawing>
              <wp:anchor distT="0" distB="0" distL="114299" distR="114299" simplePos="0" relativeHeight="251702272" behindDoc="0" locked="0" layoutInCell="1" allowOverlap="1" wp14:anchorId="10E3220C" wp14:editId="38EE19A1">
                <wp:simplePos x="0" y="0"/>
                <wp:positionH relativeFrom="column">
                  <wp:posOffset>1973579</wp:posOffset>
                </wp:positionH>
                <wp:positionV relativeFrom="paragraph">
                  <wp:posOffset>1268095</wp:posOffset>
                </wp:positionV>
                <wp:extent cx="0" cy="161290"/>
                <wp:effectExtent l="0" t="0" r="38100" b="2921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0BEC619" id="Прямая соединительная линия 70"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5.4pt,99.85pt" to="155.4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j/CAIAAEIEAAAOAAAAZHJzL2Uyb0RvYy54bWysU0uO1DAQ3SNxB8t7OkkvBog6PYsZDZsR&#10;tBg4gMexOxb+yTbd6R2wRuojcAUWII00wBmSG1F2OunhIyEQG8v1ea+qnsuL01ZJtGHOC6MrXMxy&#10;jJimphZ6XeGXLy4ePMLIB6JrIo1mFd4xj0+X9+8ttrZkc9MYWTOHgET7cmsr3IRgyyzztGGK+Jmx&#10;TEOQG6dIANOts9qRLbArmc3z/CTbGldbZyjzHrznQxAvEz/njIZnnHsWkKww9BbS6dJ5Hc9suSDl&#10;2hHbCHpog/xDF4oIDUUnqnMSCHrtxC9USlBnvOFhRo3KDOeCsjQDTFPkP01z1RDL0iwgjreTTP7/&#10;0dKnm5VDoq7wQ5BHEwVv1H3o3/T77kv3sd+j/m33rfvcfepuuq/dTf8O7rf9e7jHYHd7cO8RwEHL&#10;rfUlUJ7plYtq0FZf2UtDX3mIZT8Eo+HtkNZyp2I6yIHa9Da76W1YGxAdnBS8xUkxf5xKZaQccdb5&#10;8IQZheKlwlLoqBopyebSh1iZlGNKdEsdT2+kqC+ElMmI+8bOpEMbApsS2iJOA7g7WWBFZBpj6DzN&#10;EHaSDazPGQclodciVU87fOQklDIdRl6pITvCOHQwAfM/Aw/5EcrSfv8NeEKkykaHCayENu531Y9S&#10;8CF/VGCYO0pwberdyo0vDIualDt8qvgT7toJfvz6y+8AAAD//wMAUEsDBBQABgAIAAAAIQCwFw1w&#10;4AAAAAsBAAAPAAAAZHJzL2Rvd25yZXYueG1sTI9BS8NAEIXvgv9hGcGL2E1SWtuYTZFALx4EGyk9&#10;brPTJJidDdltk/57RzzU45v3eO+bbDPZTlxw8K0jBfEsAoFUOdNSreCr3D6vQPigyejOESq4oodN&#10;fn+X6dS4kT7xsgu14BLyqVbQhNCnUvqqQav9zPVI7J3cYHVgOdTSDHrkctvJJIqW0uqWeKHRPRYN&#10;Vt+7s1VwqJ/m231J5ViEj9Oyma7790Wh1OPD9PYKIuAUbmH4xWd0yJnp6M5kvOgUzOOI0QMb6/UL&#10;CE78XY4KkmQRg8wz+f+H/AcAAP//AwBQSwECLQAUAAYACAAAACEAtoM4kv4AAADhAQAAEwAAAAAA&#10;AAAAAAAAAAAAAAAAW0NvbnRlbnRfVHlwZXNdLnhtbFBLAQItABQABgAIAAAAIQA4/SH/1gAAAJQB&#10;AAALAAAAAAAAAAAAAAAAAC8BAABfcmVscy8ucmVsc1BLAQItABQABgAIAAAAIQBS2yj/CAIAAEIE&#10;AAAOAAAAAAAAAAAAAAAAAC4CAABkcnMvZTJvRG9jLnhtbFBLAQItABQABgAIAAAAIQCwFw1w4AAA&#10;AAsBAAAPAAAAAAAAAAAAAAAAAGIEAABkcnMvZG93bnJldi54bWxQSwUGAAAAAAQABADzAAAAbwUA&#10;AAAA&#10;" strokecolor="black [3213]" strokeweight=".5pt">
                <v:stroke joinstyle="miter"/>
                <o:lock v:ext="edit" shapetype="f"/>
              </v:line>
            </w:pict>
          </mc:Fallback>
        </mc:AlternateContent>
      </w:r>
      <w:r w:rsidR="002B169F" w:rsidRPr="00375059">
        <w:rPr>
          <w:rFonts w:ascii="Times New Roman" w:eastAsiaTheme="minorHAnsi" w:hAnsi="Times New Roman"/>
          <w:noProof/>
          <w:lang w:eastAsia="en-US"/>
        </w:rPr>
        <mc:AlternateContent>
          <mc:Choice Requires="wps">
            <w:drawing>
              <wp:anchor distT="0" distB="0" distL="114299" distR="114299" simplePos="0" relativeHeight="251707392" behindDoc="0" locked="0" layoutInCell="1" allowOverlap="1" wp14:anchorId="66E5D679" wp14:editId="2D19B26A">
                <wp:simplePos x="0" y="0"/>
                <wp:positionH relativeFrom="column">
                  <wp:posOffset>4580889</wp:posOffset>
                </wp:positionH>
                <wp:positionV relativeFrom="paragraph">
                  <wp:posOffset>334645</wp:posOffset>
                </wp:positionV>
                <wp:extent cx="0" cy="152400"/>
                <wp:effectExtent l="76200" t="0" r="57150" b="5715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6D2CD40" id="Прямая со стрелкой 68" o:spid="_x0000_s1026" type="#_x0000_t32" style="position:absolute;margin-left:360.7pt;margin-top:26.35pt;width:0;height:12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2EGgIAAFoEAAAOAAAAZHJzL2Uyb0RvYy54bWysVM2O0zAQviPxDpbvNEkFKxQ13UOX5bKC&#10;ioUH8Dp2Y+E/2aZJbwsvsI/AK3DhwIL2GZI3Yuy0KQsICcRlFHvmm5nvm3EWp52SaMucF0ZXuJjl&#10;GDFNTS30psJvXp8/eoqRD0TXRBrNKrxjHp8uHz5YtLZkc9MYWTOHIIn2ZWsr3IRgyyzztGGK+Jmx&#10;TIOTG6dIgKPbZLUjLWRXMpvn+UnWGldbZyjzHm7PRidepvycMxpecu5ZQLLC0FtI1iV7FW22XJBy&#10;44htBN23Qf6hC0WEhqJTqjMSCHrnxC+plKDOeMPDjBqVGc4FZYkDsCnyn9hcNsSyxAXE8XaSyf+/&#10;tPTFdu2QqCt8ApPSRMGM+o/D9XDTf+s/DTdoeN/fgRk+DNf95/5rf9vf9V8QBINyrfUlJFjptYvc&#10;aacv7YWhbz34snvOePB2DOu4UzEcyKMuTWI3TYJ1AdHxksJt8WT+OE9Dykh5wFnnw3NmFIofFfbB&#10;EbFpwspoDeM2rkiDINsLH2IfpDwAYlGpo/VGivpcSJkOcdfYSjq0JbAloSsiN8DdiwpEyGe6RmFn&#10;QaLgBNEbyfaRMWsiPHJMbMNOsrHiK8ZBYWA1dpZ2+1iPUMp0ONSUGqIjjEN3EzBPlP4I3MdHKEt7&#10;/zfgCZEqGx0msBLauN9VP8rEx/iDAiPvKMGVqXdrd9gFWOCk6v6xxRfy4znBj7+E5XcAAAD//wMA&#10;UEsDBBQABgAIAAAAIQDpjOdB3gAAAAkBAAAPAAAAZHJzL2Rvd25yZXYueG1sTI/dSsNAEEbvBd9h&#10;GcE7u0nQRmM2pQiFogi1+gCb7JgEd2djdtsmb++IF/Vufg7fnClXk7PiiGPoPSlIFwkIpMabnloF&#10;H++bm3sQIWoy2npCBTMGWFWXF6UujD/RGx73sRUcQqHQCroYh0LK0HTodFj4AYl3n350OnI7ttKM&#10;+sThzsosSZbS6Z74QqcHfOqw+dofnIKH7dDWdvfynH4n42bb7+bXaT0rdX01rR9BRJziGYZffVaH&#10;ip1qfyAThFWQZ+ktowrushwEA3+DmotlDrIq5f8Pqh8AAAD//wMAUEsBAi0AFAAGAAgAAAAhALaD&#10;OJL+AAAA4QEAABMAAAAAAAAAAAAAAAAAAAAAAFtDb250ZW50X1R5cGVzXS54bWxQSwECLQAUAAYA&#10;CAAAACEAOP0h/9YAAACUAQAACwAAAAAAAAAAAAAAAAAvAQAAX3JlbHMvLnJlbHNQSwECLQAUAAYA&#10;CAAAACEAwOj9hBoCAABaBAAADgAAAAAAAAAAAAAAAAAuAgAAZHJzL2Uyb0RvYy54bWxQSwECLQAU&#10;AAYACAAAACEA6YznQd4AAAAJAQAADwAAAAAAAAAAAAAAAAB0BAAAZHJzL2Rvd25yZXYueG1sUEsF&#10;BgAAAAAEAAQA8wAAAH8FAAAAAA==&#10;" strokecolor="black [3213]" strokeweight=".5pt">
                <v:stroke endarrow="block" joinstyle="miter"/>
                <o:lock v:ext="edit" shapetype="f"/>
              </v:shape>
            </w:pict>
          </mc:Fallback>
        </mc:AlternateContent>
      </w:r>
      <w:r w:rsidR="002B169F" w:rsidRPr="00375059">
        <w:rPr>
          <w:rFonts w:ascii="Times New Roman" w:eastAsiaTheme="minorHAnsi" w:hAnsi="Times New Roman"/>
          <w:noProof/>
          <w:lang w:eastAsia="en-US"/>
        </w:rPr>
        <mc:AlternateContent>
          <mc:Choice Requires="wps">
            <w:drawing>
              <wp:anchor distT="4294967295" distB="4294967295" distL="114300" distR="114300" simplePos="0" relativeHeight="251706368" behindDoc="0" locked="0" layoutInCell="1" allowOverlap="1" wp14:anchorId="1A61C856" wp14:editId="2624611F">
                <wp:simplePos x="0" y="0"/>
                <wp:positionH relativeFrom="column">
                  <wp:posOffset>4228465</wp:posOffset>
                </wp:positionH>
                <wp:positionV relativeFrom="paragraph">
                  <wp:posOffset>334644</wp:posOffset>
                </wp:positionV>
                <wp:extent cx="352425" cy="0"/>
                <wp:effectExtent l="0" t="0" r="0" b="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50CD94D" id="Прямая соединительная линия 67"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95pt,26.35pt" to="360.7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clCgIAAEIEAAAOAAAAZHJzL2Uyb0RvYy54bWysU8tuEzEU3SPxD5b3ZCaBFjTKpItWZVNB&#10;ROEDXI+dWPgl22QmO2CNlE/gF1gUqVKBb5j5I649mUl5SAjExvJ9nHPvPb6enzRKog1zXhhd4ukk&#10;x4hpaiqhVyV+9fL8wROMfCC6ItJoVuIt8/hkcf/evLYFm5m1kRVzCEi0L2pb4nUItsgyT9dMET8x&#10;lmkIcuMUCWC6VVY5UgO7ktksz4+z2rjKOkOZ9+A964N4kfg5ZzQ859yzgGSJobeQTpfOq3hmizkp&#10;Vo7YtaD7Nsg/dKGI0FB0pDojgaA3TvxCpQR1xhseJtSozHAuKEszwDTT/KdpLtfEsjQLiOPtKJP/&#10;f7T02WbpkKhKfPwYI00UvFH7sXvb7dov7aduh7p37bf2c3vd3rRf25vuPdxvuw9wj8H2du/eIYCD&#10;lrX1BVCe6qWLatBGX9oLQ197iGU/BKPhbZ/WcKdiOsiBmvQ22/FtWBMQBefDo9mj2RFGdAhlpBhw&#10;1vnwlBmF4qXEUuioGinI5sKHWJkUQ0p0Sx1Pb6SozoWUyYj7xk6lQxsCmxKaaZwGcHeywIrINEbf&#10;eZohbCXrWV8wDkpCr9NUPe3wgZNQynQYeKWG7Ajj0MEIzP8M3OdHKEv7/TfgEZEqGx1GsBLauN9V&#10;P0jB+/xBgX7uKMGVqbZLN7wwLGpSbv+p4k+4ayf44esvvgMAAP//AwBQSwMEFAAGAAgAAAAhAJiJ&#10;k5/gAAAACQEAAA8AAABkcnMvZG93bnJldi54bWxMj8FOwzAMhu+TeIfISFwmlq7QDrqmE6q0Cwek&#10;rWjimDVeU61xqiZbu7cniAMcbX/6/f35ZjIdu+LgWksClosIGFJtVUuNgM9q+/gCzHlJSnaWUMAN&#10;HWyKu1kuM2VH2uF17xsWQshlUoD2vs84d7VGI93C9kjhdrKDkT6MQ8PVIMcQbjoeR1HKjWwpfNCy&#10;x1Jjfd5fjICvZv60PVRUjaX/OKV6uh3ek1KIh/vpbQ3M4+T/YPjRD+pQBKejvZByrBOQpslrQAUk&#10;8QpYAFbx8hnY8XfBi5z/b1B8AwAA//8DAFBLAQItABQABgAIAAAAIQC2gziS/gAAAOEBAAATAAAA&#10;AAAAAAAAAAAAAAAAAABbQ29udGVudF9UeXBlc10ueG1sUEsBAi0AFAAGAAgAAAAhADj9If/WAAAA&#10;lAEAAAsAAAAAAAAAAAAAAAAALwEAAF9yZWxzLy5yZWxzUEsBAi0AFAAGAAgAAAAhAPphpyUKAgAA&#10;QgQAAA4AAAAAAAAAAAAAAAAALgIAAGRycy9lMm9Eb2MueG1sUEsBAi0AFAAGAAgAAAAhAJiJk5/g&#10;AAAACQEAAA8AAAAAAAAAAAAAAAAAZAQAAGRycy9kb3ducmV2LnhtbFBLBQYAAAAABAAEAPMAAABx&#10;BQAAAAA=&#10;" strokecolor="black [3213]" strokeweight=".5pt">
                <v:stroke joinstyle="miter"/>
                <o:lock v:ext="edit" shapetype="f"/>
              </v:line>
            </w:pict>
          </mc:Fallback>
        </mc:AlternateContent>
      </w:r>
      <w:r w:rsidR="002B169F" w:rsidRPr="00375059">
        <w:rPr>
          <w:rFonts w:ascii="Times New Roman" w:eastAsiaTheme="minorHAnsi" w:hAnsi="Times New Roman"/>
          <w:noProof/>
          <w:lang w:eastAsia="en-US"/>
        </w:rPr>
        <mc:AlternateContent>
          <mc:Choice Requires="wps">
            <w:drawing>
              <wp:anchor distT="0" distB="0" distL="114299" distR="114299" simplePos="0" relativeHeight="251705344" behindDoc="0" locked="0" layoutInCell="1" allowOverlap="1" wp14:anchorId="344F3FB1" wp14:editId="12BBCE5B">
                <wp:simplePos x="0" y="0"/>
                <wp:positionH relativeFrom="column">
                  <wp:posOffset>4228464</wp:posOffset>
                </wp:positionH>
                <wp:positionV relativeFrom="paragraph">
                  <wp:posOffset>334645</wp:posOffset>
                </wp:positionV>
                <wp:extent cx="0" cy="238125"/>
                <wp:effectExtent l="0" t="0" r="38100" b="952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75C00C9" id="Прямая соединительная линия 66" o:spid="_x0000_s1026" style="position:absolute;flip:y;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2.95pt,26.35pt" to="332.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CC9wEAAAAEAAAOAAAAZHJzL2Uyb0RvYy54bWysU82O0zAQviPxDpbvNGkR1SpquoddwWUF&#10;FQvcvY7dWOs/2aZJb8AZqY/AK3AAaaUFniF5I8ZOGv4lhLhY9sx8M998M16dtkqiHXNeGF3i+SzH&#10;iGlqKqG3JX7+7OG9E4x8ILoi0mhW4j3z+HR9986qsQVbmNrIijkESbQvGlviOgRbZJmnNVPEz4xl&#10;GpzcOEUCPN02qxxpILuS2SLPl1ljXGWdocx7sJ4PTrxO+TlnNDzh3LOAZImBW0inS+dVPLP1ihRb&#10;R2wt6EiD/AMLRYSGolOqcxIIeunEL6mUoM54w8OMGpUZzgVlqQfoZp7/1M1lTSxLvYA43k4y+f+X&#10;lj7ebRwSVYmXS4w0UTCj7l3/qj90n7r3/QH1r7sv3cfuQ3fTfe5u+jdwv+3fwj06u9vRfEAABy0b&#10;6wtIeaY3LqpBW31pLwy99uDLfnDGh7dDWMudQlwK+wJWKMkIwqA2TWk/TYm1AdHBSMG6uH8yXzyI&#10;RTNSxAyxoHU+PGJGoXgpsRQ66kcKsrvwYQg9hoyEBg6JTdhLFoOlfso4aAK1BjZpG9mZdGhHYI+q&#10;6/lYNkVGCBdSTqA8lfwjaIyNMJY29G+BU3SqaHSYgEpo435XNbRHqnyIP3Y99BrbvjLVfuOO84E1&#10;S4KOXyLu8ffvBP/2cddfAQAA//8DAFBLAwQUAAYACAAAACEAgqcprdsAAAAJAQAADwAAAGRycy9k&#10;b3ducmV2LnhtbEyPwW7CMAyG75N4h8hIu41klVpGqYsY0sR5sAu3tDFttcbpmgDl7Zdph+1o+9Pv&#10;7y82k+3FlUbfOUZ4XigQxLUzHTcIH8e3pxcQPmg2undMCHfysClnD4XOjbvxO10PoRExhH2uEdoQ&#10;hlxKX7dktV+4gTjezm60OsRxbKQZ9S2G214mSmXS6o7jh1YPtGup/jxcLMJxb9VUhW5H/LVU29Nr&#10;mvEpRXycT9s1iEBT+IPhRz+qQxmdKndh40WPkGXpKqIIabIEEYHfRYWwUgnIspD/G5TfAAAA//8D&#10;AFBLAQItABQABgAIAAAAIQC2gziS/gAAAOEBAAATAAAAAAAAAAAAAAAAAAAAAABbQ29udGVudF9U&#10;eXBlc10ueG1sUEsBAi0AFAAGAAgAAAAhADj9If/WAAAAlAEAAAsAAAAAAAAAAAAAAAAALwEAAF9y&#10;ZWxzLy5yZWxzUEsBAi0AFAAGAAgAAAAhADgUoIL3AQAAAAQAAA4AAAAAAAAAAAAAAAAALgIAAGRy&#10;cy9lMm9Eb2MueG1sUEsBAi0AFAAGAAgAAAAhAIKnKa3bAAAACQEAAA8AAAAAAAAAAAAAAAAAUQQA&#10;AGRycy9kb3ducmV2LnhtbFBLBQYAAAAABAAEAPMAAABZBQAAAAA=&#10;" strokecolor="black [3200]" strokeweight=".5pt">
                <v:stroke joinstyle="miter"/>
                <o:lock v:ext="edit" shapetype="f"/>
              </v:line>
            </w:pict>
          </mc:Fallback>
        </mc:AlternateContent>
      </w:r>
      <w:r w:rsidR="002B169F" w:rsidRPr="00375059">
        <w:rPr>
          <w:rFonts w:ascii="Times New Roman" w:eastAsiaTheme="minorHAnsi" w:hAnsi="Times New Roman"/>
          <w:noProof/>
          <w:lang w:eastAsia="en-US"/>
        </w:rPr>
        <mc:AlternateContent>
          <mc:Choice Requires="wps">
            <w:drawing>
              <wp:anchor distT="4294967295" distB="4294967295" distL="114300" distR="114300" simplePos="0" relativeHeight="251703296" behindDoc="0" locked="0" layoutInCell="1" allowOverlap="1" wp14:anchorId="5F4B48D5" wp14:editId="0F22ADD4">
                <wp:simplePos x="0" y="0"/>
                <wp:positionH relativeFrom="column">
                  <wp:posOffset>1971675</wp:posOffset>
                </wp:positionH>
                <wp:positionV relativeFrom="paragraph">
                  <wp:posOffset>1268094</wp:posOffset>
                </wp:positionV>
                <wp:extent cx="314325" cy="0"/>
                <wp:effectExtent l="0" t="0" r="0" b="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E9F898E" id="Прямая соединительная линия 65"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25pt,99.85pt" to="180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gV9AEAAP0DAAAOAAAAZHJzL2Uyb0RvYy54bWysU81u1DAQviPxDpbvbLJbqFC02R5awaWC&#10;FYUHcB17Y9V/ss0mewPOSPsIvAIHkCoVeIbkjRg7m9ACQghxseyZ+b6Zb2a8PGmVRFvmvDC6xPNZ&#10;jhHT1FRCb0r86uWTB48x8oHoikijWYl3zOOT1f17y8YWbGFqIyvmEJBoXzS2xHUItsgyT2umiJ8Z&#10;yzQ4uXGKBHi6TVY50gC7ktkiz4+zxrjKOkOZ92A9G5x4lfg5ZzQ859yzgGSJobaQTpfOy3hmqyUp&#10;No7YWtBDGeQfqlBEaEg6UZ2RQNBrJ36hUoI64w0PM2pUZjgXlCUNoGae/6TmoiaWJS3QHG+nNvn/&#10;R0ufbdcOiarEx48w0kTBjLoP/Zt+333pPvZ71L/tvnWfu0/ddfe1u+7fwf2mfw/36OxuDuY9Ajj0&#10;srG+AMpTvXaxG7TVF/bc0CsPvuyOMz68HcJa7lQMh3agNs1mN82GtQFRMB7NHx4toEQ6ujJSjDjr&#10;fHjKjELxUmIpdOwaKcj23IeYmRRjSDRLPVYzFJBKCTvJBucLxqEhkHKeSNIqslPp0JbAElVX8ygU&#10;KKWGyAjhQsoJlP8ZdIiNMJbW82+BU3TKaHSYgEpo436XNbRjqXyIP8zAD1qj7EtT7dZubAfsWFJ2&#10;+A9xiW+/E/zHr119BwAA//8DAFBLAwQUAAYACAAAACEAgi5R1N4AAAALAQAADwAAAGRycy9kb3du&#10;cmV2LnhtbEyPUUvDMBSF3wX/Q7iCby7ZhtV1TccYiPgirtP3rLlLO5ukJGlX/71XEPTxnvNx7jnF&#10;ZrIdGzHE1jsJ85kAhq72unVGwvvh6e4RWEzKadV5hxK+MMKmvL4qVK79xe1xrJJhFOJiriQ0KfU5&#10;57Fu0Ko48z068k4+WJXoDIbroC4Ubju+ECLjVrWOPjSqx12D9Wc1WAndSxg/zM5s4/C8z6rz22nx&#10;ehilvL2ZtmtgCaf0B8NPfaoOJXU6+sHpyDoJy7m4J5SM1eoBGBHLTNC646/Cy4L/31B+AwAA//8D&#10;AFBLAQItABQABgAIAAAAIQC2gziS/gAAAOEBAAATAAAAAAAAAAAAAAAAAAAAAABbQ29udGVudF9U&#10;eXBlc10ueG1sUEsBAi0AFAAGAAgAAAAhADj9If/WAAAAlAEAAAsAAAAAAAAAAAAAAAAALwEAAF9y&#10;ZWxzLy5yZWxzUEsBAi0AFAAGAAgAAAAhAKDayBX0AQAA/QMAAA4AAAAAAAAAAAAAAAAALgIAAGRy&#10;cy9lMm9Eb2MueG1sUEsBAi0AFAAGAAgAAAAhAIIuUdTeAAAACwEAAA8AAAAAAAAAAAAAAAAATgQA&#10;AGRycy9kb3ducmV2LnhtbFBLBQYAAAAABAAEAPMAAABZBQAAAAA=&#10;" strokecolor="black [3200]" strokeweight=".5pt">
                <v:stroke joinstyle="miter"/>
                <o:lock v:ext="edit" shapetype="f"/>
              </v:line>
            </w:pict>
          </mc:Fallback>
        </mc:AlternateContent>
      </w:r>
      <w:r w:rsidR="002B169F" w:rsidRPr="00375059">
        <w:rPr>
          <w:rFonts w:ascii="Times New Roman" w:eastAsiaTheme="minorHAnsi" w:hAnsi="Times New Roman"/>
          <w:noProof/>
          <w:lang w:eastAsia="en-US"/>
        </w:rPr>
        <mc:AlternateContent>
          <mc:Choice Requires="wps">
            <w:drawing>
              <wp:anchor distT="0" distB="0" distL="114299" distR="114299" simplePos="0" relativeHeight="251704320" behindDoc="0" locked="0" layoutInCell="1" allowOverlap="1" wp14:anchorId="663603EB" wp14:editId="2371C581">
                <wp:simplePos x="0" y="0"/>
                <wp:positionH relativeFrom="column">
                  <wp:posOffset>2285999</wp:posOffset>
                </wp:positionH>
                <wp:positionV relativeFrom="paragraph">
                  <wp:posOffset>1268095</wp:posOffset>
                </wp:positionV>
                <wp:extent cx="0" cy="180975"/>
                <wp:effectExtent l="76200" t="0" r="57150" b="4762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D92C72B" id="Прямая со стрелкой 64" o:spid="_x0000_s1026" type="#_x0000_t32" style="position:absolute;margin-left:180pt;margin-top:99.85pt;width:0;height:14.2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rAGQIAAFoEAAAOAAAAZHJzL2Uyb0RvYy54bWysVM1u1DAQviPxDpbvbLIVlBJttoct5VLB&#10;isIDuI6dWPhPttnN3gov0EfgFbhw4Ed9huSNGDubLAWEBOIyij3zzTffzDiL01ZJtGHOC6NLPJ/l&#10;GDFNTSV0XeLXr84fnGDkA9EVkUazEu+Yx6fL+/cWW1uwI9MYWTGHIIn2xdaWuAnBFlnmacMU8TNj&#10;mQYnN06RAEdXZ5UjW8iuZHaU58fZ1rjKOkOZ93B7NjjxMuXnnNHwgnPPApIlhtpCsi7Zq2iz5YIU&#10;tSO2EXRfBvmHKhQRGkinVGckEPTWiV9SKUGd8YaHGTUqM5wLypIGUDPPf1Jz2RDLkhZojrdTm/z/&#10;S0ufb9YOiarExw8x0kTBjLoP/XV/033rPvY3qH/X3YLp3/fX3afua/elu+0+IwiGzm2tLyDBSq9d&#10;1E5bfWkvDH3jwZfdccaDt0NYy52K4SAetWkSu2kSrA2IDpcUbucn+ZPHjyJVRooRZ50Pz5hRKH6U&#10;2AdHRN2EldEaxm3cPA2CbC58GIAjIJJKHa03UlTnQsp0iLvGVtKhDYEtCe18T3gnKhAhn+oKhZ2F&#10;FgUniK4l20fGrEnwoDGpDTvJBsaXjEOHQdVQWdrtAx+hlOkwckoN0RHGoboJmCdJfwTu4yOUpb3/&#10;G/CESMxGhwmshDbud+yHNvEhfuzAoDu24MpUu7UbdwEWOI1x/9jiC/nxnOCHX8LyOwAAAP//AwBQ&#10;SwMEFAAGAAgAAAAhAP02f8bgAAAACwEAAA8AAABkcnMvZG93bnJldi54bWxMj91Kw0AQhe8F32EZ&#10;wTu72wi1idmUIhSKItTqA2yy0yR0f+Lutk3e3hEv7OWcczjznXI1WsPOGGLvnYT5TABD13jdu1bC&#10;1+fmYQksJuW0Mt6hhAkjrKrbm1IV2l/cB573qWVU4mKhJHQpDQXnsenQqjjzAzryDj5YlegMLddB&#10;XajcGp4JseBW9Y4+dGrAlw6b4/5kJeTboa3N7u11/i3CZtvvpvdxPUl5fzeun4ElHNN/GH7xCR0q&#10;Yqr9yenIjITHhaAtiYw8fwJGiT+llpBlywx4VfLrDdUPAAAA//8DAFBLAQItABQABgAIAAAAIQC2&#10;gziS/gAAAOEBAAATAAAAAAAAAAAAAAAAAAAAAABbQ29udGVudF9UeXBlc10ueG1sUEsBAi0AFAAG&#10;AAgAAAAhADj9If/WAAAAlAEAAAsAAAAAAAAAAAAAAAAALwEAAF9yZWxzLy5yZWxzUEsBAi0AFAAG&#10;AAgAAAAhAP1fusAZAgAAWgQAAA4AAAAAAAAAAAAAAAAALgIAAGRycy9lMm9Eb2MueG1sUEsBAi0A&#10;FAAGAAgAAAAhAP02f8bgAAAACwEAAA8AAAAAAAAAAAAAAAAAcwQAAGRycy9kb3ducmV2LnhtbFBL&#10;BQYAAAAABAAEAPMAAACABQAAAAA=&#10;" strokecolor="black [3213]" strokeweight=".5pt">
                <v:stroke endarrow="block" joinstyle="miter"/>
                <o:lock v:ext="edit" shapetype="f"/>
              </v:shape>
            </w:pict>
          </mc:Fallback>
        </mc:AlternateContent>
      </w:r>
      <w:r w:rsidR="002B169F" w:rsidRPr="00375059">
        <w:rPr>
          <w:rFonts w:ascii="Times New Roman" w:eastAsiaTheme="minorHAnsi" w:hAnsi="Times New Roman"/>
          <w:noProof/>
          <w:lang w:eastAsia="en-US"/>
        </w:rPr>
        <mc:AlternateContent>
          <mc:Choice Requires="wps">
            <w:drawing>
              <wp:anchor distT="0" distB="0" distL="114299" distR="114299" simplePos="0" relativeHeight="251699200" behindDoc="0" locked="0" layoutInCell="1" allowOverlap="1" wp14:anchorId="414147D5" wp14:editId="283C352F">
                <wp:simplePos x="0" y="0"/>
                <wp:positionH relativeFrom="column">
                  <wp:posOffset>835024</wp:posOffset>
                </wp:positionH>
                <wp:positionV relativeFrom="paragraph">
                  <wp:posOffset>944245</wp:posOffset>
                </wp:positionV>
                <wp:extent cx="0" cy="219075"/>
                <wp:effectExtent l="0" t="0" r="38100" b="2857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F1740DF" id="Прямая соединительная линия 63"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74.35pt" to="65.7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Iw7gEAAPYDAAAOAAAAZHJzL2Uyb0RvYy54bWysU0uO1DAQ3SNxB8t7OulGDBB1ehYzgs0I&#10;WgwcwOPYHWv8k2066R2wRuojcAUWII00zJwhuRFlJx2+Qgixseyq9+rzqrw8bpVEW+a8MLrE81mO&#10;EdPUVEJvSvzq5ZN7jzDygeiKSKNZiXfM4+PV3TvLxhZsYWojK+YQBNG+aGyJ6xBskWWe1kwRPzOW&#10;aXBy4xQJ8HSbrHKkgehKZos8P8oa4yrrDGXeg/V0cOJVis85o+E5554FJEsMtYV0unRexDNbLUmx&#10;ccTWgo5lkH+oQhGhIekU6pQEgl478UsoJagz3vAwo0ZlhnNBWeoBupnnP3VzXhPLUi8gjreTTP7/&#10;haXPtmuHRFXio/sYaaJgRt2H/k2/7750H/s96t92t93n7lN31d10V/07uF/37+Eend31aN4joIOW&#10;jfUFhDzRaxfVoK0+t2eGXnrwZT8448PbAdZypyIc5EBtms1umg1rA6KDkYJ1MX+cP3wQU2WkOPCs&#10;8+EpMwrFS4ml0FE1UpDtmQ8D9AAZyxgypxrCTrIIlvoF46AE5JondtpBdiId2hLYnupyPqZNyEjh&#10;QsqJlP+ZNGIjjaW9/FvihE4ZjQ4TUQlt3O+yhvZQKh/wh66HXmPbF6bard1hKrBcSdDxI8Tt/f6d&#10;6N++6+orAAAA//8DAFBLAwQUAAYACAAAACEAwO0Jet4AAAALAQAADwAAAGRycy9kb3ducmV2Lnht&#10;bEyPwU7DMBBE70j8g7VI3KjTFEqUxqmqSghxQTSFuxtvnZTYjmwnDX/Plku5zeyOZt8W68l0bEQf&#10;WmcFzGcJMLS1U63VAj73Lw8ZsBClVbJzFgX8YIB1eXtTyFy5s93hWEXNqMSGXApoYuxzzkPdoJFh&#10;5nq0tDs6b2Qk6zVXXp6p3HQ8TZIlN7K1dKGRPW4brL+rwQjo3vz4pbd6E4bX3bI6fRzT9/0oxP3d&#10;tFkBizjFaxgu+IQOJTEd3GBVYB35xfyJoiQes2dgl8Tf5EAiW6TAy4L//6H8BQAA//8DAFBLAQIt&#10;ABQABgAIAAAAIQC2gziS/gAAAOEBAAATAAAAAAAAAAAAAAAAAAAAAABbQ29udGVudF9UeXBlc10u&#10;eG1sUEsBAi0AFAAGAAgAAAAhADj9If/WAAAAlAEAAAsAAAAAAAAAAAAAAAAALwEAAF9yZWxzLy5y&#10;ZWxzUEsBAi0AFAAGAAgAAAAhAJ4TQjDuAQAA9gMAAA4AAAAAAAAAAAAAAAAALgIAAGRycy9lMm9E&#10;b2MueG1sUEsBAi0AFAAGAAgAAAAhAMDtCXreAAAACwEAAA8AAAAAAAAAAAAAAAAASAQAAGRycy9k&#10;b3ducmV2LnhtbFBLBQYAAAAABAAEAPMAAABTBQAAAAA=&#10;" strokecolor="black [3200]" strokeweight=".5pt">
                <v:stroke joinstyle="miter"/>
                <o:lock v:ext="edit" shapetype="f"/>
              </v:line>
            </w:pict>
          </mc:Fallback>
        </mc:AlternateContent>
      </w:r>
      <w:r w:rsidR="002B169F" w:rsidRPr="00375059">
        <w:rPr>
          <w:rFonts w:ascii="Times New Roman" w:eastAsiaTheme="minorHAnsi" w:hAnsi="Times New Roman"/>
          <w:noProof/>
          <w:lang w:eastAsia="en-US"/>
        </w:rPr>
        <mc:AlternateContent>
          <mc:Choice Requires="wps">
            <w:drawing>
              <wp:anchor distT="4294967295" distB="4294967295" distL="114300" distR="114300" simplePos="0" relativeHeight="251700224" behindDoc="0" locked="0" layoutInCell="1" allowOverlap="1" wp14:anchorId="006D7AB8" wp14:editId="5824BF3C">
                <wp:simplePos x="0" y="0"/>
                <wp:positionH relativeFrom="column">
                  <wp:posOffset>835025</wp:posOffset>
                </wp:positionH>
                <wp:positionV relativeFrom="paragraph">
                  <wp:posOffset>944244</wp:posOffset>
                </wp:positionV>
                <wp:extent cx="266700" cy="0"/>
                <wp:effectExtent l="0" t="0" r="0" b="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3785D67" id="Прямая соединительная линия 62"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75pt,74.35pt" to="86.7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ZKCQIAAEIEAAAOAAAAZHJzL2Uyb0RvYy54bWysU81uEzEQviPxDpbvZDc5BLTKpodW5VJB&#10;ROEBXK+dtfCfbJNsbsAZKY/AK3AAqVILz7D7Roy92U2hlRCIi+XxzPfNzDfjxUmjJNow54XRJZ5O&#10;coyYpqYSel3iN6/PnzzDyAeiKyKNZiXeMY9Plo8fLba2YDNTG1kxh4BE+2JrS1yHYIss87RmiviJ&#10;sUyDkxunSADTrbPKkS2wK5nN8nyebY2rrDOUeQ+vZ70TLxM/54yGl5x7FpAsMdQW0unSeRXPbLkg&#10;xdoRWwt6KIP8QxWKCA1JR6ozEgh658Q9KiWoM97wMKFGZYZzQVnqAbqZ5r91c1kTy1IvII63o0z+&#10;/9HSF5uVQ6Iq8XyGkSYKZtR+7t53+/a2/dLtUfeh/dF+a7+21+339rr7CPeb7hPco7O9OTzvEcBB&#10;y631BVCe6pWLatBGX9oLQ9968GW/OKPhbR/WcKdiOMiBmjSb3Tgb1gRE4XE2nz/NYYJ0cGWkGHDW&#10;+fCcGYXipcRS6KgaKcjmwoeYmRRDSHyWOp7eSFGdCymTEfeNnUqHNgQ2JTTT2A3g7kSBFZGpjb7y&#10;1EPYSdazvmIclIRapyl72uEjJ6GU6TDwSg3REcahghGY/xl4iI9Qlvb7b8AjImU2OoxgJbRxD2U/&#10;SsH7+EGBvu8owZWpdis3TBgWNSl3+FTxJ9y1E/z49Zc/AQAA//8DAFBLAwQUAAYACAAAACEA7IPp&#10;UN4AAAALAQAADwAAAGRycy9kb3ducmV2LnhtbEyPT0vDQBDF74LfYRnBi9hNjf1DzKZIoBcPgo0U&#10;j9vsNBvMzobstkm/vVMQ9DbvzePNb/LN5DpxxiG0nhTMZwkIpNqblhoFn9X2cQ0iRE1Gd55QwQUD&#10;bIrbm1xnxo/0geddbASXUMi0Ahtjn0kZaotOh5nvkXh39IPTkeXQSDPokctdJ5+SZCmdbokvWN1j&#10;abH+3p2cgq/mId3uK6rGMr4fl3a67N8WpVL3d9PrC4iIU/wLwxWf0aFgpoM/kQmiY53OFxzl4Xm9&#10;AnFNrFJ2Dr+OLHL5/4fiBwAA//8DAFBLAQItABQABgAIAAAAIQC2gziS/gAAAOEBAAATAAAAAAAA&#10;AAAAAAAAAAAAAABbQ29udGVudF9UeXBlc10ueG1sUEsBAi0AFAAGAAgAAAAhADj9If/WAAAAlAEA&#10;AAsAAAAAAAAAAAAAAAAALwEAAF9yZWxzLy5yZWxzUEsBAi0AFAAGAAgAAAAhAI/VBkoJAgAAQgQA&#10;AA4AAAAAAAAAAAAAAAAALgIAAGRycy9lMm9Eb2MueG1sUEsBAi0AFAAGAAgAAAAhAOyD6VDeAAAA&#10;CwEAAA8AAAAAAAAAAAAAAAAAYwQAAGRycy9kb3ducmV2LnhtbFBLBQYAAAAABAAEAPMAAABuBQAA&#10;AAA=&#10;" strokecolor="black [3213]" strokeweight=".5pt">
                <v:stroke joinstyle="miter"/>
                <o:lock v:ext="edit" shapetype="f"/>
              </v:line>
            </w:pict>
          </mc:Fallback>
        </mc:AlternateContent>
      </w:r>
      <w:r w:rsidR="002B169F" w:rsidRPr="00375059">
        <w:rPr>
          <w:rFonts w:ascii="Times New Roman" w:eastAsiaTheme="minorHAnsi" w:hAnsi="Times New Roman"/>
          <w:noProof/>
          <w:lang w:eastAsia="en-US"/>
        </w:rPr>
        <mc:AlternateContent>
          <mc:Choice Requires="wps">
            <w:drawing>
              <wp:anchor distT="0" distB="0" distL="114299" distR="114299" simplePos="0" relativeHeight="251701248" behindDoc="0" locked="0" layoutInCell="1" allowOverlap="1" wp14:anchorId="03098B23" wp14:editId="6AF978EE">
                <wp:simplePos x="0" y="0"/>
                <wp:positionH relativeFrom="column">
                  <wp:posOffset>1102359</wp:posOffset>
                </wp:positionH>
                <wp:positionV relativeFrom="paragraph">
                  <wp:posOffset>944245</wp:posOffset>
                </wp:positionV>
                <wp:extent cx="0" cy="219075"/>
                <wp:effectExtent l="76200" t="0" r="57150" b="4762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7F1C2F7" id="Прямая со стрелкой 61" o:spid="_x0000_s1026" type="#_x0000_t32" style="position:absolute;margin-left:86.8pt;margin-top:74.35pt;width:0;height:17.2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wIGQIAAFoEAAAOAAAAZHJzL2Uyb0RvYy54bWysVEuO1DAQ3SNxB8t7OumWGCDq9Cx6GDYj&#10;aDFwAI9jJxb+yTad9G7gAnMErsCGBR/NGZIbUXa60wwgJBCbUuyqV69eVTnL005JtGXOC6NLPJ/l&#10;GDFNTSV0XeLXr84fPMbIB6IrIo1mJd4xj09X9+8tW1uwhWmMrJhDkET7orUlbkKwRZZ52jBF/MxY&#10;psHJjVMkwNHVWeVIC9mVzBZ5fpK1xlXWGcq8h9uz0YlXKT/njIYXnHsWkCwx1BaSdcleRZutlqSo&#10;HbGNoPsyyD9UoYjQQDqlOiOBoLdO/JJKCeqMNzzMqFGZ4VxQljSAmnn+k5rLhliWtEBzvJ3a5P9f&#10;Wvp8u3FIVCU+mWOkiYIZ9R+G6+Gm/9Z/HG7Q8K6/BTO8H677T/3X/kt/239GEAyda60vIMFab1zU&#10;Tjt9aS8MfePBl91xxoO3Y1jHnYrhIB51aRK7aRKsC4iOlxRuF/Mn+aOHkSojxQFnnQ/PmFEofpTY&#10;B0dE3YS10RrGbdw8DYJsL3wYgQdAJJU6Wm+kqM6FlOkQd42tpUNbAlsSuqQNCO9EBSLkU12hsLPQ&#10;ouAE0bVk+9Ji1iR41JjUhp1kI+NLxqHDoGqsLO32kY9QynQ4cEoN0RHGoboJmCdJfwTu4yOUpb3/&#10;G/CESMxGhwmshDbud+zHNvEx/tCBUXdswZWpdht32AVY4DTG/WOLL+THc4Iffwmr7wAAAP//AwBQ&#10;SwMEFAAGAAgAAAAhAFwg6C7fAAAACwEAAA8AAABkcnMvZG93bnJldi54bWxMj8FOwzAQRO9I/IO1&#10;SNyo0xa1IcSpKqRKFVWlUvgAJ16SCHsdYrdN/p4tF7jN7I5m3+arwVlxxj60nhRMJwkIpMqblmoF&#10;H++bhxREiJqMtp5QwYgBVsXtTa4z4y/0hudjrAWXUMi0gibGLpMyVA06HSa+Q+Ldp++djmz7Wppe&#10;X7jcWTlLkoV0uiW+0OgOXxqsvo4np+Bp29WlPexep99Jv9m2h3E/rEel7u+G9TOIiEP8C8MVn9Gh&#10;YKbSn8gEYdkv5wuOsnhMlyCuid9JySKdz0AWufz/Q/EDAAD//wMAUEsBAi0AFAAGAAgAAAAhALaD&#10;OJL+AAAA4QEAABMAAAAAAAAAAAAAAAAAAAAAAFtDb250ZW50X1R5cGVzXS54bWxQSwECLQAUAAYA&#10;CAAAACEAOP0h/9YAAACUAQAACwAAAAAAAAAAAAAAAAAvAQAAX3JlbHMvLnJlbHNQSwECLQAUAAYA&#10;CAAAACEA3EJcCBkCAABaBAAADgAAAAAAAAAAAAAAAAAuAgAAZHJzL2Uyb0RvYy54bWxQSwECLQAU&#10;AAYACAAAACEAXCDoLt8AAAALAQAADwAAAAAAAAAAAAAAAABzBAAAZHJzL2Rvd25yZXYueG1sUEsF&#10;BgAAAAAEAAQA8wAAAH8FAAAAAA==&#10;" strokecolor="black [3213]" strokeweight=".5pt">
                <v:stroke endarrow="block" joinstyle="miter"/>
                <o:lock v:ext="edit" shapetype="f"/>
              </v:shape>
            </w:pict>
          </mc:Fallback>
        </mc:AlternateContent>
      </w:r>
      <w:r w:rsidR="002B169F" w:rsidRPr="00375059">
        <w:rPr>
          <w:rFonts w:ascii="Times New Roman" w:hAnsi="Times New Roman"/>
          <w:noProof/>
          <w:sz w:val="28"/>
          <w:szCs w:val="28"/>
        </w:rPr>
        <w:drawing>
          <wp:inline distT="0" distB="0" distL="0" distR="0" wp14:anchorId="202B6A3A" wp14:editId="7556416A">
            <wp:extent cx="6029325" cy="2156604"/>
            <wp:effectExtent l="0" t="0" r="9525" b="1524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EA430B" w14:textId="66C76E4E" w:rsidR="002B169F" w:rsidRPr="00375059" w:rsidRDefault="002B169F" w:rsidP="001463C8">
      <w:pPr>
        <w:widowControl w:val="0"/>
        <w:autoSpaceDE w:val="0"/>
        <w:autoSpaceDN w:val="0"/>
        <w:adjustRightInd w:val="0"/>
        <w:spacing w:after="0" w:line="240" w:lineRule="auto"/>
        <w:ind w:firstLine="567"/>
        <w:jc w:val="both"/>
        <w:rPr>
          <w:rFonts w:ascii="Times New Roman" w:hAnsi="Times New Roman"/>
          <w:sz w:val="28"/>
          <w:szCs w:val="28"/>
        </w:rPr>
      </w:pPr>
      <w:r w:rsidRPr="00375059">
        <w:rPr>
          <w:rFonts w:ascii="Times New Roman" w:hAnsi="Times New Roman"/>
          <w:sz w:val="28"/>
          <w:szCs w:val="28"/>
        </w:rPr>
        <w:lastRenderedPageBreak/>
        <w:t>Повсеместная цифровизация, удаленная работа и обучение стимулировали рост интернет-трафика и увеличение числа абонентов сетей передачи данных, подключенных к глобальной сети Интернет</w:t>
      </w:r>
      <w:r w:rsidR="00CE05EF">
        <w:rPr>
          <w:rFonts w:ascii="Times New Roman" w:hAnsi="Times New Roman"/>
          <w:sz w:val="28"/>
          <w:szCs w:val="28"/>
        </w:rPr>
        <w:t>,</w:t>
      </w:r>
      <w:r w:rsidRPr="00375059">
        <w:rPr>
          <w:rFonts w:ascii="Times New Roman" w:hAnsi="Times New Roman"/>
          <w:sz w:val="28"/>
          <w:szCs w:val="28"/>
        </w:rPr>
        <w:t xml:space="preserve"> на 4 956 ед. (+3,5%), что, в конечном итоге, нашло отражение в повышении доходов от предоставления данной услуги на 7,7% до 303,8 млн руб. к показателю 2020 года.</w:t>
      </w:r>
    </w:p>
    <w:p w14:paraId="501AD569" w14:textId="77777777" w:rsidR="002B169F" w:rsidRPr="00375059" w:rsidRDefault="002B169F" w:rsidP="001463C8">
      <w:pPr>
        <w:widowControl w:val="0"/>
        <w:autoSpaceDE w:val="0"/>
        <w:autoSpaceDN w:val="0"/>
        <w:adjustRightInd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При увеличении числа абонентов мобильной сотовой связи (на 6 106 ед., или 1,8%) значительно выросла интенсивность переговоров (144 минуты исходящей связи в среднем на пользователя в месяц против 120 минут годом ранее), а общий объем исходящего голосового трафика увеличился в 1,2 раза. Как следствие, поступления от предоставления услуг мобильной связи превысили базисный уровень на 9,2% и составили 245,8 млн руб. </w:t>
      </w:r>
    </w:p>
    <w:p w14:paraId="307A03DF" w14:textId="3717913C" w:rsidR="002B169F" w:rsidRPr="00375059" w:rsidRDefault="002B169F" w:rsidP="001463C8">
      <w:pPr>
        <w:spacing w:after="0" w:line="240" w:lineRule="auto"/>
        <w:ind w:firstLine="567"/>
        <w:jc w:val="both"/>
        <w:rPr>
          <w:rFonts w:ascii="Times New Roman" w:hAnsi="Times New Roman"/>
          <w:sz w:val="28"/>
          <w:szCs w:val="24"/>
        </w:rPr>
      </w:pPr>
      <w:r w:rsidRPr="00375059">
        <w:rPr>
          <w:rFonts w:ascii="Times New Roman" w:hAnsi="Times New Roman"/>
          <w:sz w:val="28"/>
          <w:szCs w:val="24"/>
        </w:rPr>
        <w:t xml:space="preserve">В отчетном году сохранилась тенденция уменьшения количества абонентов фиксированной местной телефонной связи (-8 733 абонентов за прошедший год). Несмотря на снижение среднемесячной продолжительности разговора по отношению к базисному уровню (170,5 минут против 183 минут), данный показатель выше практически на треть уровня 2019 года (+28,8%). </w:t>
      </w:r>
      <w:r w:rsidR="00FB799F" w:rsidRPr="00375059">
        <w:rPr>
          <w:rFonts w:ascii="Times New Roman" w:hAnsi="Times New Roman"/>
          <w:sz w:val="28"/>
          <w:szCs w:val="24"/>
        </w:rPr>
        <w:br/>
      </w:r>
      <w:r w:rsidRPr="00375059">
        <w:rPr>
          <w:rFonts w:ascii="Times New Roman" w:hAnsi="Times New Roman"/>
          <w:sz w:val="28"/>
          <w:szCs w:val="24"/>
        </w:rPr>
        <w:t xml:space="preserve">В совокупности доходы от услуг фиксированной телефонной сети за 2021 год сократились на 2,1% до 112,5 млн руб. в результате снижения поступлений </w:t>
      </w:r>
      <w:r w:rsidR="00FB799F" w:rsidRPr="00375059">
        <w:rPr>
          <w:rFonts w:ascii="Times New Roman" w:hAnsi="Times New Roman"/>
          <w:sz w:val="28"/>
          <w:szCs w:val="24"/>
        </w:rPr>
        <w:br/>
      </w:r>
      <w:r w:rsidRPr="00375059">
        <w:rPr>
          <w:rFonts w:ascii="Times New Roman" w:hAnsi="Times New Roman"/>
          <w:sz w:val="28"/>
          <w:szCs w:val="24"/>
        </w:rPr>
        <w:t>от междугородних и международных телефонных соединений (-13,6%).</w:t>
      </w:r>
    </w:p>
    <w:p w14:paraId="53F35CF9" w14:textId="43A900E4" w:rsidR="002B169F" w:rsidRPr="00375059" w:rsidRDefault="002B169F" w:rsidP="001463C8">
      <w:pPr>
        <w:autoSpaceDE w:val="0"/>
        <w:autoSpaceDN w:val="0"/>
        <w:adjustRightInd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2021 году отмечен рост поступлений от телевизионного вещания (+5,7% до 113,2 млн руб.), а доходы от радиовещания, напротив, сократились на 1,5%. При этом выручка от </w:t>
      </w:r>
      <w:proofErr w:type="spellStart"/>
      <w:r w:rsidRPr="00375059">
        <w:rPr>
          <w:rFonts w:ascii="Times New Roman" w:hAnsi="Times New Roman"/>
          <w:sz w:val="28"/>
          <w:szCs w:val="28"/>
        </w:rPr>
        <w:t>радиоконтроля</w:t>
      </w:r>
      <w:proofErr w:type="spellEnd"/>
      <w:r w:rsidRPr="00375059">
        <w:rPr>
          <w:rFonts w:ascii="Times New Roman" w:hAnsi="Times New Roman"/>
          <w:sz w:val="28"/>
          <w:szCs w:val="28"/>
        </w:rPr>
        <w:t xml:space="preserve"> радиочастотного ресурса достигла 2,7 млн руб. против 1,9 млн руб. в базисном году.</w:t>
      </w:r>
    </w:p>
    <w:p w14:paraId="35C27663" w14:textId="77777777" w:rsidR="005A30A3" w:rsidRPr="00375059" w:rsidRDefault="005A30A3" w:rsidP="001463C8">
      <w:pPr>
        <w:autoSpaceDE w:val="0"/>
        <w:autoSpaceDN w:val="0"/>
        <w:adjustRightInd w:val="0"/>
        <w:spacing w:after="0" w:line="240" w:lineRule="auto"/>
        <w:ind w:firstLine="567"/>
        <w:jc w:val="both"/>
        <w:rPr>
          <w:rFonts w:ascii="Times New Roman" w:hAnsi="Times New Roman"/>
          <w:b/>
          <w:bCs/>
          <w:i/>
          <w:iCs/>
          <w:sz w:val="28"/>
          <w:szCs w:val="28"/>
        </w:rPr>
      </w:pPr>
    </w:p>
    <w:p w14:paraId="3A42A9EE" w14:textId="65422641" w:rsidR="002B169F" w:rsidRPr="00375059" w:rsidRDefault="002B169F" w:rsidP="001463C8">
      <w:pPr>
        <w:autoSpaceDE w:val="0"/>
        <w:autoSpaceDN w:val="0"/>
        <w:adjustRightInd w:val="0"/>
        <w:spacing w:after="0" w:line="240" w:lineRule="auto"/>
        <w:ind w:firstLine="567"/>
        <w:jc w:val="both"/>
        <w:rPr>
          <w:rFonts w:ascii="Times New Roman" w:hAnsi="Times New Roman"/>
          <w:b/>
          <w:bCs/>
          <w:i/>
          <w:iCs/>
          <w:sz w:val="28"/>
          <w:szCs w:val="28"/>
        </w:rPr>
      </w:pPr>
      <w:r w:rsidRPr="00375059">
        <w:rPr>
          <w:rFonts w:ascii="Times New Roman" w:hAnsi="Times New Roman"/>
          <w:b/>
          <w:bCs/>
          <w:i/>
          <w:iCs/>
          <w:sz w:val="28"/>
          <w:szCs w:val="28"/>
        </w:rPr>
        <w:t>Почтовая связь</w:t>
      </w:r>
    </w:p>
    <w:p w14:paraId="2A7DD166" w14:textId="03955508" w:rsidR="002B169F" w:rsidRPr="00375059" w:rsidRDefault="002B169F" w:rsidP="001463C8">
      <w:pPr>
        <w:widowControl w:val="0"/>
        <w:autoSpaceDE w:val="0"/>
        <w:autoSpaceDN w:val="0"/>
        <w:adjustRightInd w:val="0"/>
        <w:spacing w:after="0" w:line="240" w:lineRule="auto"/>
        <w:ind w:firstLine="567"/>
        <w:jc w:val="both"/>
        <w:rPr>
          <w:rFonts w:ascii="Times New Roman" w:hAnsi="Times New Roman"/>
          <w:sz w:val="28"/>
          <w:szCs w:val="28"/>
        </w:rPr>
      </w:pPr>
      <w:r w:rsidRPr="00375059">
        <w:rPr>
          <w:rFonts w:ascii="Times New Roman" w:hAnsi="Times New Roman"/>
          <w:sz w:val="28"/>
          <w:szCs w:val="28"/>
        </w:rPr>
        <w:t>Основным субъектом отрасли является государственное унитарное предприятие «Почта Приднестровья», в структуре которого функционируют 123 отделения связи, из них 88 – в сельской местности. В данной сфере осуществляют деятельность и предприятия негосударственных форм собственности: ООО «ДХЛ Экспресс», ООО «</w:t>
      </w:r>
      <w:proofErr w:type="spellStart"/>
      <w:r w:rsidRPr="00375059">
        <w:rPr>
          <w:rFonts w:ascii="Times New Roman" w:hAnsi="Times New Roman"/>
          <w:sz w:val="28"/>
          <w:szCs w:val="28"/>
        </w:rPr>
        <w:t>Авиаэкспресс</w:t>
      </w:r>
      <w:proofErr w:type="spellEnd"/>
      <w:r w:rsidRPr="00375059">
        <w:rPr>
          <w:rFonts w:ascii="Times New Roman" w:hAnsi="Times New Roman"/>
          <w:sz w:val="28"/>
          <w:szCs w:val="28"/>
        </w:rPr>
        <w:t xml:space="preserve">», </w:t>
      </w:r>
      <w:r w:rsidR="00FB799F" w:rsidRPr="00375059">
        <w:rPr>
          <w:rFonts w:ascii="Times New Roman" w:hAnsi="Times New Roman"/>
          <w:sz w:val="28"/>
          <w:szCs w:val="28"/>
        </w:rPr>
        <w:br/>
      </w:r>
      <w:r w:rsidRPr="00375059">
        <w:rPr>
          <w:rFonts w:ascii="Times New Roman" w:hAnsi="Times New Roman"/>
          <w:sz w:val="28"/>
          <w:szCs w:val="28"/>
        </w:rPr>
        <w:t xml:space="preserve">ООО «Деливери Интернешнл </w:t>
      </w:r>
      <w:proofErr w:type="spellStart"/>
      <w:r w:rsidRPr="00375059">
        <w:rPr>
          <w:rFonts w:ascii="Times New Roman" w:hAnsi="Times New Roman"/>
          <w:sz w:val="28"/>
          <w:szCs w:val="28"/>
        </w:rPr>
        <w:t>Парсел</w:t>
      </w:r>
      <w:proofErr w:type="spellEnd"/>
      <w:r w:rsidRPr="00375059">
        <w:rPr>
          <w:rFonts w:ascii="Times New Roman" w:hAnsi="Times New Roman"/>
          <w:sz w:val="28"/>
          <w:szCs w:val="28"/>
        </w:rPr>
        <w:t>», производящие прием, пересылку и доставку международных почтовых отправлений (экспресс-почта).</w:t>
      </w:r>
    </w:p>
    <w:p w14:paraId="37D709E6" w14:textId="5533A4D2" w:rsidR="002B169F" w:rsidRPr="00375059" w:rsidRDefault="002B169F" w:rsidP="001463C8">
      <w:pPr>
        <w:tabs>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В отчетном периоде на фоне развития электронных технологий передачи информации на рынке услуг (пересылка документов электронной почтой, факсом), а также сохранения действия карантинных мероприятий,  введённых в связи с распространением коронавирусной инфекции (</w:t>
      </w:r>
      <w:r w:rsidRPr="00375059">
        <w:rPr>
          <w:rFonts w:ascii="Times New Roman" w:hAnsi="Times New Roman"/>
          <w:sz w:val="28"/>
          <w:szCs w:val="28"/>
          <w:lang w:val="en-US"/>
        </w:rPr>
        <w:t>COVID</w:t>
      </w:r>
      <w:r w:rsidRPr="00375059">
        <w:rPr>
          <w:rFonts w:ascii="Times New Roman" w:hAnsi="Times New Roman"/>
          <w:sz w:val="28"/>
          <w:szCs w:val="28"/>
        </w:rPr>
        <w:t>-19),  сократились объемы почтового обмена ГУП «Почта Приднестровья»: исходящая письменная корреспонденция уменьшилась на 7,1%</w:t>
      </w:r>
      <w:r w:rsidR="00CE05EF">
        <w:rPr>
          <w:rFonts w:ascii="Times New Roman" w:hAnsi="Times New Roman"/>
          <w:sz w:val="28"/>
          <w:szCs w:val="28"/>
        </w:rPr>
        <w:t xml:space="preserve"> </w:t>
      </w:r>
      <w:r w:rsidRPr="00375059">
        <w:rPr>
          <w:rFonts w:ascii="Times New Roman" w:hAnsi="Times New Roman"/>
          <w:sz w:val="28"/>
          <w:szCs w:val="28"/>
        </w:rPr>
        <w:t xml:space="preserve">до 904,3 тыс. шт., входящая письменная корреспонденция </w:t>
      </w:r>
      <w:r w:rsidR="00663CA4">
        <w:rPr>
          <w:rFonts w:ascii="Times New Roman" w:hAnsi="Times New Roman"/>
          <w:sz w:val="28"/>
          <w:szCs w:val="28"/>
        </w:rPr>
        <w:t>–</w:t>
      </w:r>
      <w:r w:rsidRPr="00375059">
        <w:rPr>
          <w:rFonts w:ascii="Times New Roman" w:hAnsi="Times New Roman"/>
          <w:sz w:val="28"/>
          <w:szCs w:val="28"/>
        </w:rPr>
        <w:t xml:space="preserve"> до 1 220,5 тыс.</w:t>
      </w:r>
      <w:r w:rsidR="00CE05EF">
        <w:rPr>
          <w:rFonts w:ascii="Times New Roman" w:hAnsi="Times New Roman"/>
          <w:sz w:val="28"/>
          <w:szCs w:val="28"/>
        </w:rPr>
        <w:t xml:space="preserve"> </w:t>
      </w:r>
      <w:r w:rsidRPr="00375059">
        <w:rPr>
          <w:rFonts w:ascii="Times New Roman" w:hAnsi="Times New Roman"/>
          <w:sz w:val="28"/>
          <w:szCs w:val="28"/>
        </w:rPr>
        <w:t xml:space="preserve">шт. </w:t>
      </w:r>
      <w:r w:rsidR="00FB799F" w:rsidRPr="00375059">
        <w:rPr>
          <w:rFonts w:ascii="Times New Roman" w:hAnsi="Times New Roman"/>
          <w:sz w:val="28"/>
          <w:szCs w:val="28"/>
        </w:rPr>
        <w:br/>
      </w:r>
      <w:r w:rsidRPr="00375059">
        <w:rPr>
          <w:rFonts w:ascii="Times New Roman" w:hAnsi="Times New Roman"/>
          <w:sz w:val="28"/>
          <w:szCs w:val="28"/>
        </w:rPr>
        <w:t>(-2,5%).</w:t>
      </w:r>
    </w:p>
    <w:p w14:paraId="4FA3A035" w14:textId="3AF5E63C"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Совокупная величина доходов ГУП «Почта Приднестровья», включающая в себя доходы, как от основной, так и от непрофильной и торговой деятельности, по итогам 2021 года выросла на 26,2%, составив 11,6 млн руб. Рост доходов от неосновной деятельности (в 1,3 раза, до </w:t>
      </w:r>
      <w:r w:rsidRPr="00375059">
        <w:rPr>
          <w:rFonts w:ascii="Times New Roman" w:hAnsi="Times New Roman"/>
          <w:sz w:val="28"/>
          <w:szCs w:val="28"/>
        </w:rPr>
        <w:lastRenderedPageBreak/>
        <w:t>5 507,0 тыс. руб.) обусловлен увеличением поступлений от оказания непрофильных услуг в 1,5 раза (за счет новой услуги по доставке пенсий и пособий).</w:t>
      </w:r>
    </w:p>
    <w:p w14:paraId="5346016C" w14:textId="270BDDD4"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Доходы от основной деятельности в 2021 году составили 6</w:t>
      </w:r>
      <w:r w:rsidR="00FB799F" w:rsidRPr="00375059">
        <w:rPr>
          <w:rFonts w:ascii="Times New Roman" w:hAnsi="Times New Roman"/>
          <w:sz w:val="28"/>
          <w:szCs w:val="28"/>
        </w:rPr>
        <w:t> </w:t>
      </w:r>
      <w:r w:rsidRPr="00375059">
        <w:rPr>
          <w:rFonts w:ascii="Times New Roman" w:hAnsi="Times New Roman"/>
          <w:sz w:val="28"/>
          <w:szCs w:val="28"/>
        </w:rPr>
        <w:t>076,2 тыс. руб., что выше базисного уровня на 21,1% (или на 1 060,3 тыс. руб.) по факту роста поступлений от</w:t>
      </w:r>
      <w:r w:rsidRPr="00375059">
        <w:rPr>
          <w:rStyle w:val="a7"/>
          <w:rFonts w:ascii="Times New Roman" w:hAnsi="Times New Roman"/>
        </w:rPr>
        <w:t>:</w:t>
      </w:r>
    </w:p>
    <w:p w14:paraId="3FB162DA" w14:textId="77777777" w:rsidR="002B169F" w:rsidRPr="00375059" w:rsidRDefault="002B169F" w:rsidP="001463C8">
      <w:pPr>
        <w:pStyle w:val="a3"/>
        <w:widowControl w:val="0"/>
        <w:numPr>
          <w:ilvl w:val="0"/>
          <w:numId w:val="2"/>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реализации знаков почтовой оплаты – до 3 146,2 тыс. руб. (+22,5%);</w:t>
      </w:r>
    </w:p>
    <w:p w14:paraId="132A1E23" w14:textId="77777777" w:rsidR="002B169F" w:rsidRPr="00375059" w:rsidRDefault="002B169F" w:rsidP="001463C8">
      <w:pPr>
        <w:pStyle w:val="a3"/>
        <w:widowControl w:val="0"/>
        <w:numPr>
          <w:ilvl w:val="0"/>
          <w:numId w:val="2"/>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периодических изданий – до 1 126,7 тыс. руб. (+5,9%);</w:t>
      </w:r>
    </w:p>
    <w:p w14:paraId="51D2EF7E" w14:textId="77777777" w:rsidR="002B169F" w:rsidRPr="00375059" w:rsidRDefault="002B169F" w:rsidP="001463C8">
      <w:pPr>
        <w:pStyle w:val="a3"/>
        <w:widowControl w:val="0"/>
        <w:numPr>
          <w:ilvl w:val="0"/>
          <w:numId w:val="2"/>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посылок – до 971,8 тыс. руб. (в 1,4 раза);</w:t>
      </w:r>
    </w:p>
    <w:p w14:paraId="243A9941" w14:textId="77777777" w:rsidR="002B169F" w:rsidRPr="00375059" w:rsidRDefault="002B169F" w:rsidP="001463C8">
      <w:pPr>
        <w:pStyle w:val="a3"/>
        <w:widowControl w:val="0"/>
        <w:numPr>
          <w:ilvl w:val="0"/>
          <w:numId w:val="2"/>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письменной корреспонденции – до 257,3 тыс. руб. (+19,0%);</w:t>
      </w:r>
    </w:p>
    <w:p w14:paraId="77161C57" w14:textId="77777777" w:rsidR="002B169F" w:rsidRPr="00375059" w:rsidRDefault="002B169F" w:rsidP="001463C8">
      <w:pPr>
        <w:pStyle w:val="a3"/>
        <w:widowControl w:val="0"/>
        <w:numPr>
          <w:ilvl w:val="0"/>
          <w:numId w:val="2"/>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 xml:space="preserve">ускоренной почты </w:t>
      </w:r>
      <w:r w:rsidRPr="00375059">
        <w:rPr>
          <w:rFonts w:ascii="Times New Roman" w:hAnsi="Times New Roman"/>
          <w:sz w:val="28"/>
          <w:szCs w:val="28"/>
          <w:lang w:val="en-US"/>
        </w:rPr>
        <w:t>EMS</w:t>
      </w:r>
      <w:r w:rsidRPr="00375059">
        <w:rPr>
          <w:rFonts w:ascii="Times New Roman" w:hAnsi="Times New Roman"/>
          <w:sz w:val="28"/>
          <w:szCs w:val="28"/>
        </w:rPr>
        <w:t xml:space="preserve"> –до 183,3 тыс. руб. (в 4,1 раза).</w:t>
      </w:r>
    </w:p>
    <w:p w14:paraId="264A2B9F"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 2021 году была продолжена работа по внедрению на государственных предприятиях почтовой связи банковских услуг по погашению кредитов и осуществлению ускоренных денежных переводов по Приднестровской Молдавской Республике.</w:t>
      </w:r>
    </w:p>
    <w:p w14:paraId="0678298A"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Для повышения эффективности деятельности государственных предприятий почтовой связи и расширения перечня предоставляемых услуг, ГУП «Почта Приднестровья» продолжала оснащение структурных подразделений современной компьютерной и множительной техникой.</w:t>
      </w:r>
    </w:p>
    <w:p w14:paraId="4ADE3E24" w14:textId="77777777" w:rsidR="002B169F" w:rsidRPr="00375059" w:rsidRDefault="002B169F" w:rsidP="002B169F">
      <w:pPr>
        <w:tabs>
          <w:tab w:val="left" w:pos="709"/>
          <w:tab w:val="left" w:pos="851"/>
        </w:tabs>
        <w:spacing w:after="0" w:line="240" w:lineRule="auto"/>
        <w:ind w:firstLine="426"/>
        <w:jc w:val="both"/>
        <w:rPr>
          <w:rFonts w:ascii="Times New Roman" w:eastAsiaTheme="minorHAnsi" w:hAnsi="Times New Roman"/>
          <w:sz w:val="28"/>
          <w:szCs w:val="28"/>
          <w:lang w:eastAsia="en-US"/>
        </w:rPr>
      </w:pPr>
    </w:p>
    <w:p w14:paraId="743EBB70" w14:textId="77777777" w:rsidR="002B169F" w:rsidRPr="00375059" w:rsidRDefault="002B169F" w:rsidP="001463C8">
      <w:pPr>
        <w:pStyle w:val="2"/>
        <w:spacing w:before="0" w:line="240" w:lineRule="auto"/>
        <w:ind w:firstLine="567"/>
        <w:rPr>
          <w:rFonts w:ascii="Times New Roman" w:hAnsi="Times New Roman" w:cs="Times New Roman"/>
          <w:b/>
          <w:color w:val="auto"/>
          <w:sz w:val="28"/>
        </w:rPr>
      </w:pPr>
      <w:bookmarkStart w:id="18" w:name="_Toc82074346"/>
      <w:bookmarkStart w:id="19" w:name="_Toc101441782"/>
      <w:r w:rsidRPr="00375059">
        <w:rPr>
          <w:rFonts w:ascii="Times New Roman" w:hAnsi="Times New Roman" w:cs="Times New Roman"/>
          <w:b/>
          <w:color w:val="auto"/>
          <w:sz w:val="28"/>
        </w:rPr>
        <w:t>Внешнеэкономическая деятельность</w:t>
      </w:r>
      <w:bookmarkEnd w:id="18"/>
      <w:bookmarkEnd w:id="19"/>
    </w:p>
    <w:p w14:paraId="77AABE0E" w14:textId="2C9DE3FB" w:rsidR="002B169F" w:rsidRPr="00375059" w:rsidRDefault="002B169F" w:rsidP="001463C8">
      <w:pPr>
        <w:widowControl w:val="0"/>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Внешнеэкономическая деятельность хозяйствующих субъектов республики в отчетном году осуществлялась в условиях адаптации к функционированию в рамках ограничений, связанных с </w:t>
      </w:r>
      <w:r w:rsidRPr="00375059">
        <w:rPr>
          <w:rFonts w:ascii="Times New Roman" w:hAnsi="Times New Roman"/>
          <w:sz w:val="28"/>
          <w:szCs w:val="28"/>
          <w:lang w:val="en-US"/>
        </w:rPr>
        <w:t>COVID</w:t>
      </w:r>
      <w:r w:rsidRPr="00375059">
        <w:rPr>
          <w:rFonts w:ascii="Times New Roman" w:hAnsi="Times New Roman"/>
          <w:sz w:val="28"/>
          <w:szCs w:val="28"/>
        </w:rPr>
        <w:t>-19, восстановления деловой активности, а также роста потребительского спроса на фоне</w:t>
      </w:r>
      <w:r w:rsidR="00FB799F" w:rsidRPr="00375059">
        <w:rPr>
          <w:rFonts w:ascii="Times New Roman" w:hAnsi="Times New Roman"/>
          <w:sz w:val="28"/>
          <w:szCs w:val="28"/>
        </w:rPr>
        <w:t xml:space="preserve"> </w:t>
      </w:r>
      <w:r w:rsidRPr="00375059">
        <w:rPr>
          <w:rFonts w:ascii="Times New Roman" w:hAnsi="Times New Roman"/>
          <w:sz w:val="28"/>
          <w:szCs w:val="28"/>
        </w:rPr>
        <w:t>увеличивающихся цен на мировых рынках.</w:t>
      </w:r>
    </w:p>
    <w:p w14:paraId="6C4A291A" w14:textId="77777777" w:rsidR="002B169F" w:rsidRPr="00375059" w:rsidRDefault="002B169F"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Согласно данным Государственного таможенного комитета Приднестровской Молдавской Республики, внешнеторговый оборот республики по итогам 2021 года сложился на уровне 2 584,9 млн долл., что выше базисной отметки на 53,3%.</w:t>
      </w:r>
    </w:p>
    <w:p w14:paraId="7417BAC3" w14:textId="4D362CC8" w:rsidR="002B169F" w:rsidRPr="00375059" w:rsidRDefault="002B169F" w:rsidP="001463C8">
      <w:pPr>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4"/>
        </w:rPr>
        <w:t xml:space="preserve">Стоимостной объем экспортных продаж достиг 938,9 млн долл. (+48,3%), импортные поставки (с учетом операций физических лиц) оценены в сумме 1 646,0 млн долл. (+56,4%). Отмеченная динамика обусловила формирование отрицательного сальдо операций в размере -707,1 млн долл. против </w:t>
      </w:r>
      <w:r w:rsidR="00CE05EF">
        <w:rPr>
          <w:rFonts w:ascii="Times New Roman" w:hAnsi="Times New Roman"/>
          <w:sz w:val="28"/>
          <w:szCs w:val="24"/>
        </w:rPr>
        <w:br/>
      </w:r>
      <w:r w:rsidRPr="00375059">
        <w:rPr>
          <w:rFonts w:ascii="Times New Roman" w:hAnsi="Times New Roman"/>
          <w:sz w:val="28"/>
          <w:szCs w:val="24"/>
        </w:rPr>
        <w:t>-419,6 млн долл. в 2020 году</w:t>
      </w:r>
      <w:r w:rsidR="00FB799F" w:rsidRPr="00375059">
        <w:rPr>
          <w:rFonts w:ascii="Times New Roman" w:hAnsi="Times New Roman"/>
          <w:sz w:val="28"/>
          <w:szCs w:val="24"/>
        </w:rPr>
        <w:t xml:space="preserve"> </w:t>
      </w:r>
      <w:r w:rsidRPr="00375059">
        <w:rPr>
          <w:rFonts w:ascii="Times New Roman" w:hAnsi="Times New Roman"/>
          <w:sz w:val="28"/>
          <w:szCs w:val="28"/>
        </w:rPr>
        <w:t>(рис. </w:t>
      </w:r>
      <w:r w:rsidR="00FB799F" w:rsidRPr="00375059">
        <w:rPr>
          <w:rFonts w:ascii="Times New Roman" w:hAnsi="Times New Roman"/>
          <w:sz w:val="28"/>
          <w:szCs w:val="28"/>
        </w:rPr>
        <w:t>20</w:t>
      </w:r>
      <w:r w:rsidRPr="00375059">
        <w:rPr>
          <w:rFonts w:ascii="Times New Roman" w:hAnsi="Times New Roman"/>
          <w:sz w:val="28"/>
          <w:szCs w:val="28"/>
        </w:rPr>
        <w:t>).</w:t>
      </w:r>
    </w:p>
    <w:p w14:paraId="5412565C" w14:textId="77777777" w:rsidR="00635376" w:rsidRDefault="00635376">
      <w:pPr>
        <w:spacing w:after="160" w:line="259" w:lineRule="auto"/>
        <w:rPr>
          <w:rFonts w:ascii="Times New Roman" w:hAnsi="Times New Roman"/>
          <w:b/>
          <w:i/>
          <w:sz w:val="28"/>
          <w:szCs w:val="28"/>
        </w:rPr>
      </w:pPr>
      <w:r>
        <w:rPr>
          <w:rFonts w:ascii="Times New Roman" w:hAnsi="Times New Roman"/>
          <w:b/>
          <w:i/>
          <w:sz w:val="28"/>
          <w:szCs w:val="28"/>
        </w:rPr>
        <w:br w:type="page"/>
      </w:r>
    </w:p>
    <w:p w14:paraId="4D64AF78" w14:textId="3C779EC2" w:rsidR="002B169F" w:rsidRPr="00375059" w:rsidRDefault="002B169F" w:rsidP="002B169F">
      <w:pPr>
        <w:shd w:val="clear" w:color="auto" w:fill="FFFFFF"/>
        <w:spacing w:after="0" w:line="240" w:lineRule="auto"/>
        <w:ind w:firstLine="425"/>
        <w:jc w:val="right"/>
        <w:rPr>
          <w:rFonts w:ascii="Times New Roman" w:hAnsi="Times New Roman"/>
          <w:b/>
          <w:i/>
          <w:sz w:val="28"/>
          <w:szCs w:val="28"/>
        </w:rPr>
      </w:pPr>
      <w:r w:rsidRPr="00375059">
        <w:rPr>
          <w:rFonts w:ascii="Times New Roman" w:hAnsi="Times New Roman"/>
          <w:b/>
          <w:i/>
          <w:sz w:val="28"/>
          <w:szCs w:val="28"/>
        </w:rPr>
        <w:lastRenderedPageBreak/>
        <w:t xml:space="preserve">Рисунок </w:t>
      </w:r>
      <w:r w:rsidR="00FB799F" w:rsidRPr="00375059">
        <w:rPr>
          <w:rFonts w:ascii="Times New Roman" w:hAnsi="Times New Roman"/>
          <w:b/>
          <w:i/>
          <w:sz w:val="28"/>
          <w:szCs w:val="28"/>
        </w:rPr>
        <w:t>20</w:t>
      </w:r>
    </w:p>
    <w:p w14:paraId="2AAC6656" w14:textId="77777777" w:rsidR="002B169F" w:rsidRPr="00375059" w:rsidRDefault="002B169F" w:rsidP="002B169F">
      <w:pPr>
        <w:shd w:val="clear" w:color="auto" w:fill="FFFFFF"/>
        <w:spacing w:after="0" w:line="240" w:lineRule="auto"/>
        <w:jc w:val="center"/>
        <w:rPr>
          <w:rFonts w:ascii="Times New Roman" w:hAnsi="Times New Roman"/>
          <w:b/>
          <w:sz w:val="28"/>
          <w:szCs w:val="28"/>
        </w:rPr>
      </w:pPr>
      <w:r w:rsidRPr="00375059">
        <w:rPr>
          <w:rFonts w:ascii="Times New Roman" w:hAnsi="Times New Roman"/>
          <w:b/>
          <w:bCs/>
          <w:sz w:val="28"/>
          <w:szCs w:val="28"/>
        </w:rPr>
        <w:t>Результаты внешнеэкономической деятельности, млн долл.</w:t>
      </w:r>
    </w:p>
    <w:p w14:paraId="32DEBF9E" w14:textId="77777777" w:rsidR="002B169F" w:rsidRPr="00375059" w:rsidRDefault="002B169F" w:rsidP="002B169F">
      <w:pPr>
        <w:shd w:val="clear" w:color="auto" w:fill="FFFFFF"/>
        <w:spacing w:after="0" w:line="240" w:lineRule="auto"/>
        <w:jc w:val="right"/>
        <w:rPr>
          <w:rFonts w:ascii="Times New Roman" w:hAnsi="Times New Roman"/>
          <w:b/>
          <w:i/>
          <w:sz w:val="28"/>
          <w:szCs w:val="28"/>
        </w:rPr>
      </w:pPr>
      <w:r w:rsidRPr="00375059">
        <w:rPr>
          <w:rFonts w:ascii="Times New Roman" w:hAnsi="Times New Roman"/>
          <w:b/>
          <w:i/>
          <w:noProof/>
          <w:sz w:val="28"/>
          <w:szCs w:val="28"/>
        </w:rPr>
        <w:drawing>
          <wp:inline distT="0" distB="0" distL="0" distR="0" wp14:anchorId="0AE87596" wp14:editId="681916C6">
            <wp:extent cx="6184900" cy="2202511"/>
            <wp:effectExtent l="0" t="0" r="6350" b="762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FBB320" w14:textId="77777777" w:rsidR="00CE05EF" w:rsidRDefault="002B169F" w:rsidP="00CE05EF">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Взрывной рост биржевых котировок углеводородов, наблюдавшийся во второй половине года, спровоцировал масштабирование импортных потоков при относительно ровной реализации экспортного потенциала (рис. </w:t>
      </w:r>
      <w:r w:rsidR="00FB799F" w:rsidRPr="00375059">
        <w:rPr>
          <w:rFonts w:ascii="Times New Roman" w:hAnsi="Times New Roman"/>
          <w:sz w:val="28"/>
          <w:szCs w:val="24"/>
        </w:rPr>
        <w:t>21</w:t>
      </w:r>
      <w:r w:rsidRPr="00375059">
        <w:rPr>
          <w:rFonts w:ascii="Times New Roman" w:hAnsi="Times New Roman"/>
          <w:sz w:val="28"/>
          <w:szCs w:val="24"/>
        </w:rPr>
        <w:t>).</w:t>
      </w:r>
    </w:p>
    <w:p w14:paraId="08AF8FB6" w14:textId="77777777" w:rsidR="00CE05EF" w:rsidRDefault="00CE05EF" w:rsidP="00CE05EF">
      <w:pPr>
        <w:shd w:val="clear" w:color="auto" w:fill="FFFFFF"/>
        <w:spacing w:after="0" w:line="240" w:lineRule="auto"/>
        <w:ind w:firstLine="567"/>
        <w:jc w:val="right"/>
        <w:rPr>
          <w:rFonts w:ascii="Times New Roman" w:hAnsi="Times New Roman"/>
          <w:sz w:val="28"/>
          <w:szCs w:val="24"/>
        </w:rPr>
      </w:pPr>
    </w:p>
    <w:p w14:paraId="48463817" w14:textId="2C13A50C" w:rsidR="002B169F" w:rsidRPr="00375059" w:rsidRDefault="002B169F" w:rsidP="00CE05EF">
      <w:pPr>
        <w:shd w:val="clear" w:color="auto" w:fill="FFFFFF"/>
        <w:spacing w:after="0" w:line="240" w:lineRule="auto"/>
        <w:ind w:firstLine="567"/>
        <w:jc w:val="right"/>
        <w:rPr>
          <w:rFonts w:ascii="Times New Roman" w:hAnsi="Times New Roman"/>
          <w:b/>
          <w:i/>
          <w:sz w:val="16"/>
          <w:szCs w:val="16"/>
        </w:rPr>
      </w:pPr>
      <w:r w:rsidRPr="00375059">
        <w:rPr>
          <w:rFonts w:ascii="Times New Roman" w:hAnsi="Times New Roman"/>
          <w:b/>
          <w:i/>
          <w:sz w:val="28"/>
          <w:szCs w:val="28"/>
        </w:rPr>
        <w:t xml:space="preserve">Рисунок </w:t>
      </w:r>
      <w:r w:rsidR="00FB799F" w:rsidRPr="00375059">
        <w:rPr>
          <w:rFonts w:ascii="Times New Roman" w:hAnsi="Times New Roman"/>
          <w:b/>
          <w:i/>
          <w:sz w:val="28"/>
          <w:szCs w:val="28"/>
        </w:rPr>
        <w:t>21</w:t>
      </w:r>
    </w:p>
    <w:p w14:paraId="48E2ABFD" w14:textId="25FCD875" w:rsidR="002B169F" w:rsidRPr="00375059" w:rsidRDefault="002B169F" w:rsidP="002B169F">
      <w:pPr>
        <w:shd w:val="clear" w:color="auto" w:fill="FFFFFF"/>
        <w:spacing w:after="0" w:line="240" w:lineRule="auto"/>
        <w:ind w:hanging="142"/>
        <w:jc w:val="center"/>
        <w:rPr>
          <w:rFonts w:ascii="Times New Roman" w:hAnsi="Times New Roman"/>
          <w:b/>
          <w:iCs/>
          <w:sz w:val="28"/>
          <w:szCs w:val="28"/>
        </w:rPr>
      </w:pPr>
      <w:r w:rsidRPr="00375059">
        <w:rPr>
          <w:rFonts w:ascii="Times New Roman" w:hAnsi="Times New Roman"/>
          <w:b/>
          <w:iCs/>
          <w:sz w:val="28"/>
          <w:szCs w:val="28"/>
        </w:rPr>
        <w:t>Динамика внешнеторгового оборота, млн долл.</w:t>
      </w:r>
    </w:p>
    <w:p w14:paraId="2ADD5C58" w14:textId="3C254E9F" w:rsidR="00BB365B" w:rsidRPr="00375059" w:rsidRDefault="00BB365B" w:rsidP="00BB365B">
      <w:pPr>
        <w:shd w:val="clear" w:color="auto" w:fill="FFFFFF"/>
        <w:spacing w:after="0" w:line="240" w:lineRule="auto"/>
        <w:jc w:val="center"/>
        <w:rPr>
          <w:rFonts w:ascii="Times New Roman" w:hAnsi="Times New Roman"/>
          <w:b/>
          <w:iCs/>
          <w:sz w:val="28"/>
          <w:szCs w:val="28"/>
        </w:rPr>
      </w:pPr>
      <w:r w:rsidRPr="00375059">
        <w:rPr>
          <w:rFonts w:ascii="Times New Roman" w:hAnsi="Times New Roman"/>
          <w:noProof/>
        </w:rPr>
        <w:drawing>
          <wp:inline distT="0" distB="0" distL="0" distR="0" wp14:anchorId="7E45F7D5" wp14:editId="7CFC8222">
            <wp:extent cx="5940425" cy="2218414"/>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6416" cy="2220651"/>
                    </a:xfrm>
                    <a:prstGeom prst="rect">
                      <a:avLst/>
                    </a:prstGeom>
                  </pic:spPr>
                </pic:pic>
              </a:graphicData>
            </a:graphic>
          </wp:inline>
        </w:drawing>
      </w:r>
    </w:p>
    <w:p w14:paraId="79C11250" w14:textId="77777777" w:rsidR="00927482" w:rsidRDefault="00927482" w:rsidP="00FB799F">
      <w:pPr>
        <w:shd w:val="clear" w:color="auto" w:fill="FFFFFF"/>
        <w:spacing w:after="0" w:line="240" w:lineRule="auto"/>
        <w:ind w:firstLine="567"/>
        <w:jc w:val="both"/>
        <w:rPr>
          <w:rFonts w:ascii="Times New Roman" w:hAnsi="Times New Roman"/>
          <w:sz w:val="28"/>
          <w:szCs w:val="24"/>
        </w:rPr>
      </w:pPr>
    </w:p>
    <w:p w14:paraId="2AE966C3" w14:textId="330A4142" w:rsidR="002B169F" w:rsidRDefault="002B169F"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Величина экспорта по итогам 2021 года сложилась на уровне 938,9</w:t>
      </w:r>
      <w:r w:rsidR="00122461">
        <w:rPr>
          <w:rFonts w:ascii="Times New Roman" w:hAnsi="Times New Roman"/>
          <w:sz w:val="28"/>
          <w:szCs w:val="24"/>
        </w:rPr>
        <w:t> </w:t>
      </w:r>
      <w:r w:rsidRPr="00375059">
        <w:rPr>
          <w:rFonts w:ascii="Times New Roman" w:hAnsi="Times New Roman"/>
          <w:sz w:val="28"/>
          <w:szCs w:val="24"/>
        </w:rPr>
        <w:t>млн</w:t>
      </w:r>
      <w:r w:rsidR="00122461">
        <w:rPr>
          <w:rFonts w:ascii="Times New Roman" w:hAnsi="Times New Roman"/>
          <w:sz w:val="28"/>
          <w:szCs w:val="24"/>
        </w:rPr>
        <w:t> </w:t>
      </w:r>
      <w:r w:rsidRPr="00375059">
        <w:rPr>
          <w:rFonts w:ascii="Times New Roman" w:hAnsi="Times New Roman"/>
          <w:sz w:val="28"/>
          <w:szCs w:val="24"/>
        </w:rPr>
        <w:t>долл., что на 48,3% превысило базисную отметку.</w:t>
      </w:r>
      <w:r w:rsidR="00BB365B" w:rsidRPr="00375059">
        <w:rPr>
          <w:rFonts w:ascii="Times New Roman" w:hAnsi="Times New Roman"/>
          <w:sz w:val="28"/>
          <w:szCs w:val="24"/>
        </w:rPr>
        <w:t xml:space="preserve"> </w:t>
      </w:r>
      <w:r w:rsidRPr="00375059">
        <w:rPr>
          <w:rFonts w:ascii="Times New Roman" w:hAnsi="Times New Roman"/>
          <w:sz w:val="28"/>
          <w:szCs w:val="24"/>
        </w:rPr>
        <w:t xml:space="preserve">При этом, если в первой половине года отмечалось поэтапное наращивание стоимостных объемов вывозимой продукции за рубеж, то после августовского пика (98,6 млн долл.) вслед за некоторым остыванием металлургических рынков доминировал нисходящий тренд (рис. </w:t>
      </w:r>
      <w:r w:rsidR="00BB365B" w:rsidRPr="00375059">
        <w:rPr>
          <w:rFonts w:ascii="Times New Roman" w:hAnsi="Times New Roman"/>
          <w:sz w:val="28"/>
          <w:szCs w:val="24"/>
        </w:rPr>
        <w:t>22</w:t>
      </w:r>
      <w:r w:rsidRPr="00375059">
        <w:rPr>
          <w:rFonts w:ascii="Times New Roman" w:hAnsi="Times New Roman"/>
          <w:sz w:val="28"/>
          <w:szCs w:val="24"/>
        </w:rPr>
        <w:t>).</w:t>
      </w:r>
    </w:p>
    <w:p w14:paraId="04DE8DDB" w14:textId="7BFEC163" w:rsidR="00955C44" w:rsidRDefault="00955C44">
      <w:pPr>
        <w:spacing w:after="160" w:line="259" w:lineRule="auto"/>
        <w:rPr>
          <w:rFonts w:ascii="Times New Roman" w:hAnsi="Times New Roman"/>
          <w:sz w:val="28"/>
          <w:szCs w:val="24"/>
        </w:rPr>
      </w:pPr>
      <w:r>
        <w:rPr>
          <w:rFonts w:ascii="Times New Roman" w:hAnsi="Times New Roman"/>
          <w:sz w:val="28"/>
          <w:szCs w:val="24"/>
        </w:rPr>
        <w:br w:type="page"/>
      </w:r>
    </w:p>
    <w:p w14:paraId="571815AA" w14:textId="72650E12" w:rsidR="002B169F" w:rsidRPr="00375059" w:rsidRDefault="002B169F" w:rsidP="002B169F">
      <w:pPr>
        <w:spacing w:after="0" w:line="240" w:lineRule="auto"/>
        <w:ind w:firstLine="425"/>
        <w:jc w:val="right"/>
        <w:rPr>
          <w:rFonts w:ascii="Times New Roman" w:hAnsi="Times New Roman"/>
          <w:b/>
          <w:i/>
          <w:sz w:val="28"/>
          <w:szCs w:val="24"/>
        </w:rPr>
      </w:pPr>
      <w:r w:rsidRPr="00375059">
        <w:rPr>
          <w:rFonts w:ascii="Times New Roman" w:hAnsi="Times New Roman"/>
          <w:b/>
          <w:i/>
          <w:sz w:val="28"/>
          <w:szCs w:val="24"/>
        </w:rPr>
        <w:lastRenderedPageBreak/>
        <w:t xml:space="preserve">Рисунок </w:t>
      </w:r>
      <w:r w:rsidR="00BB365B" w:rsidRPr="00375059">
        <w:rPr>
          <w:rFonts w:ascii="Times New Roman" w:hAnsi="Times New Roman"/>
          <w:b/>
          <w:i/>
          <w:sz w:val="28"/>
          <w:szCs w:val="24"/>
        </w:rPr>
        <w:t>22</w:t>
      </w:r>
    </w:p>
    <w:p w14:paraId="5203F7E5" w14:textId="77777777" w:rsidR="002B169F" w:rsidRPr="00375059" w:rsidRDefault="002B169F" w:rsidP="002B169F">
      <w:pPr>
        <w:spacing w:after="0" w:line="240" w:lineRule="auto"/>
        <w:jc w:val="center"/>
        <w:rPr>
          <w:rFonts w:ascii="Times New Roman" w:hAnsi="Times New Roman"/>
          <w:b/>
          <w:iCs/>
          <w:sz w:val="28"/>
          <w:szCs w:val="24"/>
        </w:rPr>
      </w:pPr>
      <w:r w:rsidRPr="00375059">
        <w:rPr>
          <w:rFonts w:ascii="Times New Roman" w:hAnsi="Times New Roman"/>
          <w:b/>
          <w:bCs/>
          <w:iCs/>
          <w:sz w:val="28"/>
          <w:szCs w:val="24"/>
        </w:rPr>
        <w:t>Помесячная динамика экспорта в 2020-2021 гг., млн долл.</w:t>
      </w:r>
    </w:p>
    <w:p w14:paraId="7D49DD8F" w14:textId="77777777" w:rsidR="002B169F" w:rsidRPr="00375059" w:rsidRDefault="002B169F" w:rsidP="002B169F">
      <w:pPr>
        <w:shd w:val="clear" w:color="auto" w:fill="FFFFFF"/>
        <w:spacing w:after="0" w:line="240" w:lineRule="auto"/>
        <w:ind w:left="-142"/>
        <w:jc w:val="both"/>
        <w:rPr>
          <w:rFonts w:ascii="Times New Roman" w:hAnsi="Times New Roman"/>
          <w:color w:val="000000"/>
          <w:sz w:val="24"/>
          <w:szCs w:val="24"/>
        </w:rPr>
      </w:pPr>
      <w:r w:rsidRPr="00375059">
        <w:rPr>
          <w:rFonts w:ascii="Times New Roman" w:hAnsi="Times New Roman"/>
          <w:noProof/>
          <w:color w:val="000000"/>
          <w:sz w:val="24"/>
          <w:szCs w:val="24"/>
        </w:rPr>
        <w:drawing>
          <wp:inline distT="0" distB="0" distL="0" distR="0" wp14:anchorId="39F07B7F" wp14:editId="0E1DD307">
            <wp:extent cx="6440170" cy="1990725"/>
            <wp:effectExtent l="0" t="0" r="0" b="0"/>
            <wp:docPr id="7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7EF61B1" w14:textId="02FD736F" w:rsidR="00BB365B" w:rsidRPr="00375059" w:rsidRDefault="002B169F" w:rsidP="001463C8">
      <w:pPr>
        <w:shd w:val="clear" w:color="auto" w:fill="FFFFFF"/>
        <w:spacing w:after="0" w:line="240" w:lineRule="auto"/>
        <w:ind w:firstLine="567"/>
        <w:jc w:val="both"/>
        <w:rPr>
          <w:rFonts w:ascii="Times New Roman" w:hAnsi="Times New Roman"/>
          <w:b/>
          <w:i/>
          <w:sz w:val="28"/>
          <w:szCs w:val="28"/>
        </w:rPr>
      </w:pPr>
      <w:r w:rsidRPr="00375059">
        <w:rPr>
          <w:rFonts w:ascii="Times New Roman" w:hAnsi="Times New Roman"/>
          <w:sz w:val="28"/>
          <w:szCs w:val="28"/>
        </w:rPr>
        <w:t xml:space="preserve">В структуре экспортных поставок по итогам года фиксировалось увеличение стоимостных параметров в разрезе большинства товарных групп. </w:t>
      </w:r>
      <w:r w:rsidRPr="00375059">
        <w:rPr>
          <w:rFonts w:ascii="Times New Roman" w:hAnsi="Times New Roman"/>
          <w:sz w:val="28"/>
          <w:szCs w:val="24"/>
        </w:rPr>
        <w:t xml:space="preserve">На фоне ажиотажного роста цен на мировых рынках на металлургическую продукцию, экспорт металлов и изделий по итогам 2021 года в стоимостном выражении достиг 432,2 млн долл. (рост в 1,9 раза), сформировав практически половину совокупного показателя </w:t>
      </w:r>
      <w:r w:rsidRPr="00375059">
        <w:rPr>
          <w:rFonts w:ascii="Times New Roman" w:hAnsi="Times New Roman"/>
          <w:sz w:val="28"/>
          <w:szCs w:val="28"/>
        </w:rPr>
        <w:t xml:space="preserve">(рис. </w:t>
      </w:r>
      <w:r w:rsidR="00BB365B" w:rsidRPr="00375059">
        <w:rPr>
          <w:rFonts w:ascii="Times New Roman" w:hAnsi="Times New Roman"/>
          <w:sz w:val="28"/>
          <w:szCs w:val="28"/>
        </w:rPr>
        <w:t>23</w:t>
      </w:r>
      <w:r w:rsidRPr="00375059">
        <w:rPr>
          <w:rFonts w:ascii="Times New Roman" w:hAnsi="Times New Roman"/>
          <w:sz w:val="28"/>
          <w:szCs w:val="28"/>
        </w:rPr>
        <w:t>).</w:t>
      </w:r>
    </w:p>
    <w:p w14:paraId="5E915395" w14:textId="1821E8DF" w:rsidR="002B169F" w:rsidRPr="00375059" w:rsidRDefault="002B169F" w:rsidP="002B169F">
      <w:pPr>
        <w:shd w:val="clear" w:color="auto" w:fill="FFFFFF"/>
        <w:spacing w:after="0" w:line="240" w:lineRule="auto"/>
        <w:ind w:firstLine="425"/>
        <w:jc w:val="right"/>
        <w:rPr>
          <w:rFonts w:ascii="Times New Roman" w:hAnsi="Times New Roman"/>
          <w:b/>
          <w:i/>
          <w:sz w:val="28"/>
          <w:szCs w:val="28"/>
        </w:rPr>
      </w:pPr>
      <w:r w:rsidRPr="00375059">
        <w:rPr>
          <w:rFonts w:ascii="Times New Roman" w:hAnsi="Times New Roman"/>
          <w:b/>
          <w:i/>
          <w:sz w:val="28"/>
          <w:szCs w:val="28"/>
        </w:rPr>
        <w:t xml:space="preserve">Рисунок </w:t>
      </w:r>
      <w:r w:rsidR="00BB365B" w:rsidRPr="00375059">
        <w:rPr>
          <w:rFonts w:ascii="Times New Roman" w:hAnsi="Times New Roman"/>
          <w:b/>
          <w:i/>
          <w:sz w:val="28"/>
          <w:szCs w:val="28"/>
        </w:rPr>
        <w:t>23</w:t>
      </w:r>
    </w:p>
    <w:p w14:paraId="084072B8" w14:textId="77777777" w:rsidR="002B169F" w:rsidRPr="00375059" w:rsidRDefault="002B169F" w:rsidP="002B169F">
      <w:pPr>
        <w:shd w:val="clear" w:color="auto" w:fill="FFFFFF"/>
        <w:spacing w:after="0" w:line="240" w:lineRule="auto"/>
        <w:jc w:val="center"/>
        <w:rPr>
          <w:rFonts w:ascii="Times New Roman" w:hAnsi="Times New Roman"/>
          <w:b/>
          <w:iCs/>
          <w:sz w:val="28"/>
          <w:szCs w:val="28"/>
        </w:rPr>
      </w:pPr>
      <w:r w:rsidRPr="00375059">
        <w:rPr>
          <w:rFonts w:ascii="Times New Roman" w:hAnsi="Times New Roman"/>
          <w:b/>
          <w:bCs/>
          <w:iCs/>
          <w:sz w:val="28"/>
          <w:szCs w:val="28"/>
        </w:rPr>
        <w:t>Товарная структура экспорта, млн долл.</w:t>
      </w:r>
    </w:p>
    <w:p w14:paraId="0F4C9230" w14:textId="3DB52E6B" w:rsidR="002B169F" w:rsidRPr="00375059" w:rsidRDefault="002B169F" w:rsidP="00BB365B">
      <w:pPr>
        <w:shd w:val="clear" w:color="auto" w:fill="FFFFFF"/>
        <w:spacing w:after="0" w:line="240" w:lineRule="auto"/>
        <w:jc w:val="right"/>
        <w:rPr>
          <w:rFonts w:ascii="Times New Roman" w:hAnsi="Times New Roman"/>
          <w:b/>
          <w:i/>
          <w:sz w:val="16"/>
          <w:szCs w:val="16"/>
        </w:rPr>
      </w:pPr>
      <w:r w:rsidRPr="00375059">
        <w:rPr>
          <w:rFonts w:ascii="Times New Roman" w:hAnsi="Times New Roman"/>
          <w:b/>
          <w:i/>
          <w:noProof/>
          <w:sz w:val="24"/>
          <w:szCs w:val="24"/>
          <w:shd w:val="clear" w:color="auto" w:fill="808080" w:themeFill="background1" w:themeFillShade="80"/>
        </w:rPr>
        <w:drawing>
          <wp:inline distT="0" distB="0" distL="0" distR="0" wp14:anchorId="7C70F3A6" wp14:editId="14F9D7C9">
            <wp:extent cx="6003985" cy="2726690"/>
            <wp:effectExtent l="0" t="0" r="15875"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9104F2" w14:textId="77777777" w:rsidR="002B169F" w:rsidRPr="00375059" w:rsidRDefault="002B169F"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Топливно-энергетических товаров в течение 2021 года было экспортировано на сумму, эквивалентную 176,7 млн долл. (+10,5%), или 18,8% (-6,5 </w:t>
      </w:r>
      <w:proofErr w:type="spellStart"/>
      <w:r w:rsidRPr="00375059">
        <w:rPr>
          <w:rFonts w:ascii="Times New Roman" w:hAnsi="Times New Roman"/>
          <w:sz w:val="28"/>
          <w:szCs w:val="24"/>
        </w:rPr>
        <w:t>п.п</w:t>
      </w:r>
      <w:proofErr w:type="spellEnd"/>
      <w:r w:rsidRPr="00375059">
        <w:rPr>
          <w:rFonts w:ascii="Times New Roman" w:hAnsi="Times New Roman"/>
          <w:sz w:val="28"/>
          <w:szCs w:val="24"/>
        </w:rPr>
        <w:t>.) в общей структуре.</w:t>
      </w:r>
    </w:p>
    <w:p w14:paraId="617772A8" w14:textId="3061798D" w:rsidR="002B169F" w:rsidRPr="00375059" w:rsidRDefault="002B169F" w:rsidP="001463C8">
      <w:pPr>
        <w:widowControl w:val="0"/>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Рекордные показатели работы аграрного сектора обусловили наращивание поставок </w:t>
      </w:r>
      <w:r w:rsidRPr="00375059">
        <w:rPr>
          <w:rFonts w:ascii="Times New Roman" w:hAnsi="Times New Roman"/>
          <w:sz w:val="28"/>
          <w:szCs w:val="24"/>
        </w:rPr>
        <w:t>продовольственных товаров и сырья за рубеж до 165,0 млн долл. (рост в 1,7 раза), или 17,6% в структуре. На фоне низких объемов неурожайного</w:t>
      </w:r>
      <w:r w:rsidR="00927482">
        <w:rPr>
          <w:rFonts w:ascii="Times New Roman" w:hAnsi="Times New Roman"/>
          <w:sz w:val="28"/>
          <w:szCs w:val="24"/>
        </w:rPr>
        <w:t xml:space="preserve"> </w:t>
      </w:r>
      <w:r w:rsidRPr="00375059">
        <w:rPr>
          <w:rFonts w:ascii="Times New Roman" w:hAnsi="Times New Roman"/>
          <w:sz w:val="28"/>
          <w:szCs w:val="24"/>
        </w:rPr>
        <w:t>2020 года отмечалось наращивание поставок ячменя</w:t>
      </w:r>
      <w:r w:rsidR="00927482">
        <w:rPr>
          <w:rFonts w:ascii="Times New Roman" w:hAnsi="Times New Roman"/>
          <w:sz w:val="28"/>
          <w:szCs w:val="24"/>
        </w:rPr>
        <w:br/>
      </w:r>
      <w:r w:rsidRPr="00375059">
        <w:rPr>
          <w:rFonts w:ascii="Times New Roman" w:hAnsi="Times New Roman"/>
          <w:sz w:val="28"/>
          <w:szCs w:val="24"/>
        </w:rPr>
        <w:t xml:space="preserve"> (в 8,1 раза), пшеницы и </w:t>
      </w:r>
      <w:proofErr w:type="spellStart"/>
      <w:r w:rsidRPr="00375059">
        <w:rPr>
          <w:rFonts w:ascii="Times New Roman" w:hAnsi="Times New Roman"/>
          <w:sz w:val="28"/>
          <w:szCs w:val="24"/>
        </w:rPr>
        <w:t>меслина</w:t>
      </w:r>
      <w:proofErr w:type="spellEnd"/>
      <w:r w:rsidRPr="00375059">
        <w:rPr>
          <w:rFonts w:ascii="Times New Roman" w:hAnsi="Times New Roman"/>
          <w:sz w:val="28"/>
          <w:szCs w:val="24"/>
        </w:rPr>
        <w:t xml:space="preserve"> (в 5,7 раза), рапса (в 2,8 раза), а также замороженных овощей (+18,9%), сопряженное как с высокими показателями урожайности соответствующих культур, так и с восходящей ценовой динамикой на мировых рынках</w:t>
      </w:r>
    </w:p>
    <w:p w14:paraId="3E768075" w14:textId="77777777" w:rsidR="002B169F" w:rsidRPr="00375059" w:rsidRDefault="002B169F" w:rsidP="001463C8">
      <w:pPr>
        <w:widowControl w:val="0"/>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Т</w:t>
      </w:r>
      <w:r w:rsidRPr="00375059">
        <w:rPr>
          <w:rFonts w:ascii="Times New Roman" w:hAnsi="Times New Roman"/>
          <w:sz w:val="28"/>
          <w:szCs w:val="24"/>
        </w:rPr>
        <w:t xml:space="preserve">оваров легкой промышленности </w:t>
      </w:r>
      <w:r w:rsidRPr="00375059">
        <w:rPr>
          <w:rFonts w:ascii="Times New Roman" w:hAnsi="Times New Roman"/>
          <w:sz w:val="28"/>
          <w:szCs w:val="28"/>
        </w:rPr>
        <w:t xml:space="preserve">за 2021 год было экспортировано на </w:t>
      </w:r>
      <w:r w:rsidRPr="00375059">
        <w:rPr>
          <w:rFonts w:ascii="Times New Roman" w:hAnsi="Times New Roman"/>
          <w:sz w:val="28"/>
          <w:szCs w:val="28"/>
        </w:rPr>
        <w:lastRenderedPageBreak/>
        <w:t xml:space="preserve">сумму 79,3 млн долл. (рост в 1,3 раза), или 8,4% (-1,4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всего экспорта. Относительно параметров предыдущего года увеличились продажи текстильных изделий (в 1,4 раза) и обуви (в 1,7 раза).</w:t>
      </w:r>
    </w:p>
    <w:p w14:paraId="632AD1C8" w14:textId="77777777" w:rsidR="002B169F" w:rsidRPr="00375059" w:rsidRDefault="002B169F" w:rsidP="001463C8">
      <w:pPr>
        <w:widowControl w:val="0"/>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Машиностроительной продукции по итогам 2021 года отправлено за пределы республики на 19,5% больше, чем годом ранее (31,9 млн долл., или 3,4% совокупного показателя). Фиксируется рост по поставкам изолированных проводов (+16,6% при снижении в натуральном выражении на 5,5%), а также электрических двигателей и генераторов (+20,8%).</w:t>
      </w:r>
    </w:p>
    <w:p w14:paraId="7CBED838" w14:textId="77777777" w:rsidR="002B169F" w:rsidRPr="00375059" w:rsidRDefault="002B169F" w:rsidP="001463C8">
      <w:pPr>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Поставки продукции химической и связанных с ней отраслей промышленности, при росте экспорта изделий из пластмасс (+20,8%), а также средств защиты растений (в 3,1 раза), увеличились до 14,6 млн долл. (+29,6%), или 1,6% в общей структуре.</w:t>
      </w:r>
    </w:p>
    <w:p w14:paraId="4079D222" w14:textId="77777777" w:rsidR="002B169F" w:rsidRPr="00375059" w:rsidRDefault="002B169F" w:rsidP="001463C8">
      <w:pPr>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Снижение экспортных продаж минеральных продуктов составило 23,0% до 32,1 млн долл., или 3,4% итогового показателя.</w:t>
      </w:r>
    </w:p>
    <w:p w14:paraId="1C7F2A83" w14:textId="0F2C0376" w:rsidR="002B169F" w:rsidRPr="00375059" w:rsidRDefault="002B169F" w:rsidP="001463C8">
      <w:pPr>
        <w:widowControl w:val="0"/>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рассматриваемом периоде основными контрагентами приднестровских экспортеров (рис. </w:t>
      </w:r>
      <w:r w:rsidR="00BB365B" w:rsidRPr="00375059">
        <w:rPr>
          <w:rFonts w:ascii="Times New Roman" w:hAnsi="Times New Roman"/>
          <w:sz w:val="28"/>
          <w:szCs w:val="28"/>
        </w:rPr>
        <w:t>24</w:t>
      </w:r>
      <w:r w:rsidRPr="00375059">
        <w:rPr>
          <w:rFonts w:ascii="Times New Roman" w:hAnsi="Times New Roman"/>
          <w:sz w:val="28"/>
          <w:szCs w:val="28"/>
        </w:rPr>
        <w:t>) являлись резиденты:</w:t>
      </w:r>
    </w:p>
    <w:p w14:paraId="558E93FE" w14:textId="22F2CA7F" w:rsidR="002B169F" w:rsidRPr="00375059" w:rsidRDefault="00BB365B" w:rsidP="001463C8">
      <w:pPr>
        <w:widowControl w:val="0"/>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Республики Молдова – 31,8% совокупного экспорта, или 298,5</w:t>
      </w:r>
      <w:r w:rsidR="007908B4">
        <w:rPr>
          <w:rFonts w:ascii="Times New Roman" w:hAnsi="Times New Roman"/>
          <w:sz w:val="28"/>
          <w:szCs w:val="28"/>
        </w:rPr>
        <w:t> </w:t>
      </w:r>
      <w:r w:rsidR="002B169F" w:rsidRPr="00375059">
        <w:rPr>
          <w:rFonts w:ascii="Times New Roman" w:hAnsi="Times New Roman"/>
          <w:sz w:val="28"/>
          <w:szCs w:val="28"/>
        </w:rPr>
        <w:t>млн</w:t>
      </w:r>
      <w:r w:rsidR="007908B4">
        <w:rPr>
          <w:rFonts w:ascii="Times New Roman" w:hAnsi="Times New Roman"/>
          <w:sz w:val="28"/>
          <w:szCs w:val="28"/>
        </w:rPr>
        <w:t> </w:t>
      </w:r>
      <w:r w:rsidR="002B169F" w:rsidRPr="00375059">
        <w:rPr>
          <w:rFonts w:ascii="Times New Roman" w:hAnsi="Times New Roman"/>
          <w:sz w:val="28"/>
          <w:szCs w:val="28"/>
        </w:rPr>
        <w:t>долл. (+9,8% в стоимостном выражении к уровню 2020 года). Поставки формировали топливно-энергетические товары (59,2%; +10,5% к уровню 2020 года), металлы и изделия из них (20,3%; +64,8%), минеральные продукты (10,2%; -22,5%), а также продовольственные товары и сырье (8,0%; -24,3%);</w:t>
      </w:r>
    </w:p>
    <w:p w14:paraId="59D05E26" w14:textId="756B4B7B" w:rsidR="002B169F" w:rsidRPr="00375059" w:rsidRDefault="00BB365B" w:rsidP="001463C8">
      <w:pPr>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Украины – 14,4%, или 134,8 млн долл. (рост в 2,1 раза). В больших объемах экспортированы продовольственные товары и сырье (68,3%; рост в 2,4 раза), металлы и изделия из них (26,6%; рост в 1,6 раза), текстильные материалы (1,9%; +16,4%), машиностроительная продукция (1,1%; рост в 1,6 раза);</w:t>
      </w:r>
    </w:p>
    <w:p w14:paraId="29B8C0B5" w14:textId="4D68C4F1" w:rsidR="002B169F" w:rsidRPr="00375059" w:rsidRDefault="00BB365B" w:rsidP="001463C8">
      <w:pPr>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Республики Польша – 13,7%, или 128,4 млн долл. (рост в 4,8 раза за счет поставок металлов и изделий из них (98,5%; рост в 5,2 раза));</w:t>
      </w:r>
    </w:p>
    <w:p w14:paraId="2FC59E9F" w14:textId="1EF0FC0E" w:rsidR="002B169F" w:rsidRPr="00375059" w:rsidRDefault="00BB365B" w:rsidP="001463C8">
      <w:pPr>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Румынии – 11,4%, или 106,6 млн долл. (+12,9%). Основной статьей поставок были металлы и изделия из них (94,5%, +13,6%), на продовольственные товары и сырье пришлось 3,0% (рост на 27,4%);</w:t>
      </w:r>
    </w:p>
    <w:p w14:paraId="4B62FC73" w14:textId="05D81476" w:rsidR="002B169F" w:rsidRPr="00375059" w:rsidRDefault="00BB365B" w:rsidP="001463C8">
      <w:pPr>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Российской Федерации – 9,2%, или 86,8 млн долл. (+24,1%), в том числе экспорт машиностроительной продукции (28,1%; +19,4%), товаров легкой промышленности (26,6%; +28,6% к уровню 2020 года), металлов и изделий из них (18,7%; +49,9%), а также продовольственных товаров и сырья (12,5%; +9,8%).</w:t>
      </w:r>
    </w:p>
    <w:p w14:paraId="0364B60F" w14:textId="77777777" w:rsidR="00ED7463" w:rsidRDefault="00ED7463">
      <w:pPr>
        <w:spacing w:after="160" w:line="259" w:lineRule="auto"/>
        <w:rPr>
          <w:rFonts w:ascii="Times New Roman" w:hAnsi="Times New Roman"/>
          <w:b/>
          <w:i/>
          <w:sz w:val="28"/>
          <w:szCs w:val="28"/>
        </w:rPr>
      </w:pPr>
      <w:r>
        <w:rPr>
          <w:rFonts w:ascii="Times New Roman" w:hAnsi="Times New Roman"/>
          <w:b/>
          <w:i/>
          <w:sz w:val="28"/>
          <w:szCs w:val="28"/>
        </w:rPr>
        <w:br w:type="page"/>
      </w:r>
    </w:p>
    <w:p w14:paraId="2F7B9495" w14:textId="2E7CC37F" w:rsidR="002B169F" w:rsidRPr="00375059" w:rsidRDefault="002B169F" w:rsidP="002B169F">
      <w:pPr>
        <w:shd w:val="clear" w:color="auto" w:fill="FFFFFF"/>
        <w:spacing w:after="0" w:line="240" w:lineRule="auto"/>
        <w:ind w:firstLine="425"/>
        <w:jc w:val="right"/>
        <w:rPr>
          <w:rFonts w:ascii="Times New Roman" w:hAnsi="Times New Roman"/>
          <w:b/>
          <w:i/>
          <w:sz w:val="28"/>
          <w:szCs w:val="28"/>
        </w:rPr>
      </w:pPr>
      <w:r w:rsidRPr="00375059">
        <w:rPr>
          <w:rFonts w:ascii="Times New Roman" w:hAnsi="Times New Roman"/>
          <w:b/>
          <w:i/>
          <w:sz w:val="28"/>
          <w:szCs w:val="28"/>
        </w:rPr>
        <w:lastRenderedPageBreak/>
        <w:t xml:space="preserve">Рисунок </w:t>
      </w:r>
      <w:r w:rsidR="00BB365B" w:rsidRPr="00375059">
        <w:rPr>
          <w:rFonts w:ascii="Times New Roman" w:hAnsi="Times New Roman"/>
          <w:b/>
          <w:i/>
          <w:sz w:val="28"/>
          <w:szCs w:val="28"/>
        </w:rPr>
        <w:t>24</w:t>
      </w:r>
    </w:p>
    <w:p w14:paraId="32FFD293" w14:textId="77777777" w:rsidR="002B169F" w:rsidRPr="00375059" w:rsidRDefault="002B169F" w:rsidP="002B169F">
      <w:pPr>
        <w:shd w:val="clear" w:color="auto" w:fill="FFFFFF"/>
        <w:spacing w:after="0" w:line="240" w:lineRule="auto"/>
        <w:jc w:val="center"/>
        <w:rPr>
          <w:rFonts w:ascii="Times New Roman" w:hAnsi="Times New Roman"/>
          <w:b/>
          <w:iCs/>
          <w:sz w:val="28"/>
          <w:szCs w:val="28"/>
        </w:rPr>
      </w:pPr>
      <w:r w:rsidRPr="00375059">
        <w:rPr>
          <w:rFonts w:ascii="Times New Roman" w:hAnsi="Times New Roman"/>
          <w:b/>
          <w:bCs/>
          <w:iCs/>
          <w:sz w:val="28"/>
          <w:szCs w:val="28"/>
        </w:rPr>
        <w:t>География экспорта товаров, млн долл.</w:t>
      </w:r>
    </w:p>
    <w:p w14:paraId="39365068" w14:textId="77777777" w:rsidR="002B169F" w:rsidRPr="00375059" w:rsidRDefault="002B169F" w:rsidP="002B169F">
      <w:pPr>
        <w:shd w:val="clear" w:color="auto" w:fill="FFFFFF"/>
        <w:spacing w:after="0" w:line="240" w:lineRule="auto"/>
        <w:ind w:hanging="284"/>
        <w:jc w:val="both"/>
        <w:rPr>
          <w:rFonts w:ascii="Times New Roman" w:hAnsi="Times New Roman"/>
          <w:sz w:val="24"/>
          <w:szCs w:val="24"/>
        </w:rPr>
      </w:pPr>
      <w:r w:rsidRPr="00375059">
        <w:rPr>
          <w:rFonts w:ascii="Times New Roman" w:hAnsi="Times New Roman"/>
          <w:noProof/>
          <w:color w:val="B2A1C7"/>
          <w:sz w:val="24"/>
          <w:szCs w:val="24"/>
        </w:rPr>
        <w:drawing>
          <wp:inline distT="0" distB="0" distL="0" distR="0" wp14:anchorId="799D95F9" wp14:editId="113C04BA">
            <wp:extent cx="6294120" cy="2105247"/>
            <wp:effectExtent l="0" t="0" r="0" b="9525"/>
            <wp:docPr id="7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2DF6EE" w14:textId="075ED04C" w:rsidR="00BB365B" w:rsidRPr="00375059" w:rsidRDefault="002B169F" w:rsidP="001463C8">
      <w:pPr>
        <w:shd w:val="clear" w:color="auto" w:fill="FFFFFF"/>
        <w:spacing w:after="0" w:line="240" w:lineRule="auto"/>
        <w:ind w:firstLine="567"/>
        <w:jc w:val="both"/>
        <w:rPr>
          <w:rFonts w:ascii="Times New Roman" w:hAnsi="Times New Roman"/>
          <w:b/>
          <w:i/>
          <w:sz w:val="28"/>
          <w:szCs w:val="24"/>
        </w:rPr>
      </w:pPr>
      <w:r w:rsidRPr="00375059">
        <w:rPr>
          <w:rFonts w:ascii="Times New Roman" w:hAnsi="Times New Roman"/>
          <w:sz w:val="28"/>
          <w:szCs w:val="24"/>
        </w:rPr>
        <w:t>В совокупности за 2021 год объем импорта сформировался на отметке 1 646,0 млн долл. (+56,4% к базисному параметру 2020 года).</w:t>
      </w:r>
      <w:r w:rsidR="00BB365B" w:rsidRPr="00375059">
        <w:rPr>
          <w:rFonts w:ascii="Times New Roman" w:hAnsi="Times New Roman"/>
          <w:sz w:val="28"/>
          <w:szCs w:val="24"/>
        </w:rPr>
        <w:t xml:space="preserve"> </w:t>
      </w:r>
      <w:r w:rsidRPr="00375059">
        <w:rPr>
          <w:rFonts w:ascii="Times New Roman" w:hAnsi="Times New Roman"/>
          <w:sz w:val="28"/>
          <w:szCs w:val="24"/>
        </w:rPr>
        <w:t xml:space="preserve">Практически </w:t>
      </w:r>
      <w:r w:rsidRPr="00375059">
        <w:rPr>
          <w:rFonts w:ascii="Times New Roman" w:hAnsi="Times New Roman"/>
          <w:sz w:val="28"/>
          <w:szCs w:val="24"/>
          <w:vertAlign w:val="superscript"/>
        </w:rPr>
        <w:t>2</w:t>
      </w:r>
      <w:r w:rsidRPr="00375059">
        <w:rPr>
          <w:rFonts w:ascii="Times New Roman" w:hAnsi="Times New Roman"/>
          <w:sz w:val="28"/>
          <w:szCs w:val="24"/>
        </w:rPr>
        <w:t>/</w:t>
      </w:r>
      <w:r w:rsidRPr="00375059">
        <w:rPr>
          <w:rFonts w:ascii="Times New Roman" w:hAnsi="Times New Roman"/>
          <w:sz w:val="28"/>
          <w:szCs w:val="24"/>
          <w:vertAlign w:val="subscript"/>
        </w:rPr>
        <w:t>3</w:t>
      </w:r>
      <w:r w:rsidR="00BB365B" w:rsidRPr="00375059">
        <w:rPr>
          <w:rFonts w:ascii="Times New Roman" w:hAnsi="Times New Roman"/>
          <w:sz w:val="28"/>
          <w:szCs w:val="24"/>
          <w:vertAlign w:val="subscript"/>
        </w:rPr>
        <w:t xml:space="preserve"> </w:t>
      </w:r>
      <w:r w:rsidRPr="00375059">
        <w:rPr>
          <w:rFonts w:ascii="Times New Roman" w:hAnsi="Times New Roman"/>
          <w:sz w:val="28"/>
          <w:szCs w:val="24"/>
        </w:rPr>
        <w:t>показателя</w:t>
      </w:r>
      <w:r w:rsidR="00BB365B" w:rsidRPr="00375059">
        <w:rPr>
          <w:rFonts w:ascii="Times New Roman" w:hAnsi="Times New Roman"/>
          <w:sz w:val="28"/>
          <w:szCs w:val="24"/>
        </w:rPr>
        <w:t xml:space="preserve"> </w:t>
      </w:r>
      <w:r w:rsidRPr="00375059">
        <w:rPr>
          <w:rFonts w:ascii="Times New Roman" w:hAnsi="Times New Roman"/>
          <w:sz w:val="28"/>
          <w:szCs w:val="24"/>
        </w:rPr>
        <w:t>пришлось на июль-декабрь, отражая глобальные тенденции удорожания энергоресурсов</w:t>
      </w:r>
      <w:r w:rsidR="00BB365B" w:rsidRPr="00375059">
        <w:rPr>
          <w:rFonts w:ascii="Times New Roman" w:hAnsi="Times New Roman"/>
          <w:sz w:val="28"/>
          <w:szCs w:val="24"/>
        </w:rPr>
        <w:t xml:space="preserve"> </w:t>
      </w:r>
      <w:r w:rsidRPr="00375059">
        <w:rPr>
          <w:rFonts w:ascii="Times New Roman" w:hAnsi="Times New Roman"/>
          <w:sz w:val="28"/>
          <w:szCs w:val="24"/>
        </w:rPr>
        <w:t>(рис. 2</w:t>
      </w:r>
      <w:r w:rsidR="00BB365B" w:rsidRPr="00375059">
        <w:rPr>
          <w:rFonts w:ascii="Times New Roman" w:hAnsi="Times New Roman"/>
          <w:sz w:val="28"/>
          <w:szCs w:val="24"/>
        </w:rPr>
        <w:t>5</w:t>
      </w:r>
      <w:r w:rsidRPr="00375059">
        <w:rPr>
          <w:rFonts w:ascii="Times New Roman" w:hAnsi="Times New Roman"/>
          <w:sz w:val="28"/>
          <w:szCs w:val="24"/>
        </w:rPr>
        <w:t>).</w:t>
      </w:r>
    </w:p>
    <w:p w14:paraId="793195CC" w14:textId="200385BA" w:rsidR="002B169F" w:rsidRPr="00375059" w:rsidRDefault="002B169F" w:rsidP="002B169F">
      <w:pPr>
        <w:spacing w:after="0" w:line="240" w:lineRule="auto"/>
        <w:ind w:firstLine="425"/>
        <w:jc w:val="right"/>
        <w:rPr>
          <w:rFonts w:ascii="Times New Roman" w:hAnsi="Times New Roman"/>
          <w:b/>
          <w:i/>
          <w:sz w:val="28"/>
          <w:szCs w:val="24"/>
        </w:rPr>
      </w:pPr>
      <w:r w:rsidRPr="00375059">
        <w:rPr>
          <w:rFonts w:ascii="Times New Roman" w:hAnsi="Times New Roman"/>
          <w:b/>
          <w:i/>
          <w:sz w:val="28"/>
          <w:szCs w:val="24"/>
        </w:rPr>
        <w:t>Рисунок 2</w:t>
      </w:r>
      <w:r w:rsidR="00BB365B" w:rsidRPr="00375059">
        <w:rPr>
          <w:rFonts w:ascii="Times New Roman" w:hAnsi="Times New Roman"/>
          <w:b/>
          <w:i/>
          <w:sz w:val="28"/>
          <w:szCs w:val="24"/>
        </w:rPr>
        <w:t>5</w:t>
      </w:r>
    </w:p>
    <w:p w14:paraId="7E4CA8BE" w14:textId="77777777" w:rsidR="002B169F" w:rsidRPr="00375059" w:rsidRDefault="002B169F" w:rsidP="002B169F">
      <w:pPr>
        <w:spacing w:after="0" w:line="240" w:lineRule="auto"/>
        <w:jc w:val="center"/>
        <w:rPr>
          <w:rFonts w:ascii="Times New Roman" w:hAnsi="Times New Roman"/>
          <w:b/>
          <w:iCs/>
          <w:sz w:val="28"/>
          <w:szCs w:val="24"/>
        </w:rPr>
      </w:pPr>
      <w:r w:rsidRPr="00375059">
        <w:rPr>
          <w:rFonts w:ascii="Times New Roman" w:hAnsi="Times New Roman"/>
          <w:b/>
          <w:iCs/>
          <w:sz w:val="28"/>
          <w:szCs w:val="24"/>
        </w:rPr>
        <w:t>Помесячная динамика импорта в 2020-2021 гг., млн долл.</w:t>
      </w:r>
    </w:p>
    <w:p w14:paraId="5DF2881E" w14:textId="77777777" w:rsidR="002B169F" w:rsidRPr="00375059" w:rsidRDefault="002B169F" w:rsidP="002B169F">
      <w:pPr>
        <w:shd w:val="clear" w:color="auto" w:fill="FFFFFF"/>
        <w:spacing w:after="0" w:line="240" w:lineRule="auto"/>
        <w:ind w:left="-284"/>
        <w:jc w:val="both"/>
        <w:rPr>
          <w:rFonts w:ascii="Times New Roman" w:hAnsi="Times New Roman"/>
          <w:color w:val="000000"/>
          <w:sz w:val="24"/>
          <w:szCs w:val="24"/>
        </w:rPr>
      </w:pPr>
      <w:r w:rsidRPr="00375059">
        <w:rPr>
          <w:rFonts w:ascii="Times New Roman" w:hAnsi="Times New Roman"/>
          <w:noProof/>
          <w:color w:val="000000"/>
          <w:sz w:val="24"/>
          <w:szCs w:val="24"/>
        </w:rPr>
        <w:drawing>
          <wp:inline distT="0" distB="0" distL="0" distR="0" wp14:anchorId="738F4C23" wp14:editId="73B82B39">
            <wp:extent cx="6331789" cy="2114550"/>
            <wp:effectExtent l="0" t="0" r="0" b="0"/>
            <wp:docPr id="77"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5CD3EB" w14:textId="3164C4C7" w:rsidR="002B169F" w:rsidRDefault="002B169F" w:rsidP="001463C8">
      <w:pPr>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4"/>
        </w:rPr>
        <w:t xml:space="preserve">Стоимость импортированных за 2021 год топливно-энергетических товаров составила 676,3 млн долл. (рост в 2,0 раза), или 41,1% в общей структуре </w:t>
      </w:r>
      <w:r w:rsidRPr="00375059">
        <w:rPr>
          <w:rFonts w:ascii="Times New Roman" w:hAnsi="Times New Roman"/>
          <w:sz w:val="28"/>
          <w:szCs w:val="28"/>
        </w:rPr>
        <w:t>(рис. 2</w:t>
      </w:r>
      <w:r w:rsidR="00BB365B" w:rsidRPr="00375059">
        <w:rPr>
          <w:rFonts w:ascii="Times New Roman" w:hAnsi="Times New Roman"/>
          <w:sz w:val="28"/>
          <w:szCs w:val="28"/>
        </w:rPr>
        <w:t>6</w:t>
      </w:r>
      <w:r w:rsidRPr="00375059">
        <w:rPr>
          <w:rFonts w:ascii="Times New Roman" w:hAnsi="Times New Roman"/>
          <w:sz w:val="28"/>
          <w:szCs w:val="28"/>
        </w:rPr>
        <w:t>).</w:t>
      </w:r>
    </w:p>
    <w:p w14:paraId="3617BF1B" w14:textId="77777777" w:rsidR="00927482" w:rsidRPr="00375059" w:rsidRDefault="00927482"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Металлургической продукции за 2021 год было закуплено на сумму 359,6 млн долл. (рост в 1,9 раза), или 21,8% совокупного показателя.</w:t>
      </w:r>
    </w:p>
    <w:p w14:paraId="7BEF4F9A" w14:textId="77777777" w:rsidR="00927482" w:rsidRDefault="00927482" w:rsidP="001463C8">
      <w:pPr>
        <w:widowControl w:val="0"/>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 xml:space="preserve">С общемировым ускорением продовольственной инфляции ввоз продовольственных товаров (сырья) в стоимостном выражении за отчётный год увеличился на 9,4% до 156,8 млн долл., или 9,5% в общей структуре. </w:t>
      </w:r>
    </w:p>
    <w:p w14:paraId="480B3565" w14:textId="40944096" w:rsidR="00927482" w:rsidRPr="00375059" w:rsidRDefault="00927482" w:rsidP="001463C8">
      <w:pPr>
        <w:widowControl w:val="0"/>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 xml:space="preserve">Так, при снижении в натуральном выражении, вырос стоимостной объем импорта в республику яиц (+21,0% при -8,3%), молока и молочных продуктов (+4,7% при -0,3%), подсолнечного масла (+4,6% при -30,8%), макарон (+7,3% при -8,8%), мороженой рыбы (+4,6% при -4,4%). На 23,4% больше, чем годом ранее, было импортировано риса (+14,4% в натуральном сопоставлении) и на 3,8% – свинины (+21,8% соответственно). Вместе с тем наблюдается снижение по поставкам цитрусовых (-2,8% в стоимостной и -6,0% в натуральной оценке), сахара (-10,8% и -36,9%), картофеля (-37,1% и -26,4%), томатов </w:t>
      </w:r>
      <w:r>
        <w:rPr>
          <w:rFonts w:ascii="Times New Roman" w:hAnsi="Times New Roman"/>
          <w:sz w:val="28"/>
          <w:szCs w:val="24"/>
        </w:rPr>
        <w:br/>
      </w:r>
      <w:r w:rsidRPr="00375059">
        <w:rPr>
          <w:rFonts w:ascii="Times New Roman" w:hAnsi="Times New Roman"/>
          <w:sz w:val="28"/>
          <w:szCs w:val="24"/>
        </w:rPr>
        <w:lastRenderedPageBreak/>
        <w:t>(-22,4% и -33,3%), сливочного масла (-14,2% и -23,2%).</w:t>
      </w:r>
    </w:p>
    <w:p w14:paraId="503AC339" w14:textId="330D5BA0" w:rsidR="002B169F" w:rsidRPr="00375059" w:rsidRDefault="002B169F" w:rsidP="002B169F">
      <w:pPr>
        <w:shd w:val="clear" w:color="auto" w:fill="FFFFFF"/>
        <w:spacing w:after="0" w:line="240" w:lineRule="auto"/>
        <w:ind w:firstLine="425"/>
        <w:jc w:val="right"/>
        <w:rPr>
          <w:rFonts w:ascii="Times New Roman" w:hAnsi="Times New Roman"/>
          <w:b/>
          <w:i/>
          <w:sz w:val="28"/>
          <w:szCs w:val="24"/>
        </w:rPr>
      </w:pPr>
      <w:r w:rsidRPr="00375059">
        <w:rPr>
          <w:rFonts w:ascii="Times New Roman" w:hAnsi="Times New Roman"/>
          <w:b/>
          <w:i/>
          <w:sz w:val="28"/>
          <w:szCs w:val="24"/>
        </w:rPr>
        <w:t>Рисунок 2</w:t>
      </w:r>
      <w:r w:rsidR="00BB365B" w:rsidRPr="00375059">
        <w:rPr>
          <w:rFonts w:ascii="Times New Roman" w:hAnsi="Times New Roman"/>
          <w:b/>
          <w:i/>
          <w:sz w:val="28"/>
          <w:szCs w:val="24"/>
        </w:rPr>
        <w:t>6</w:t>
      </w:r>
    </w:p>
    <w:p w14:paraId="79604E46" w14:textId="77777777" w:rsidR="002B169F" w:rsidRPr="00375059" w:rsidRDefault="002B169F" w:rsidP="002B169F">
      <w:pPr>
        <w:shd w:val="clear" w:color="auto" w:fill="FFFFFF"/>
        <w:spacing w:after="0" w:line="240" w:lineRule="auto"/>
        <w:jc w:val="center"/>
        <w:rPr>
          <w:rFonts w:ascii="Times New Roman" w:hAnsi="Times New Roman"/>
          <w:b/>
          <w:iCs/>
          <w:sz w:val="28"/>
          <w:szCs w:val="24"/>
        </w:rPr>
      </w:pPr>
      <w:r w:rsidRPr="00375059">
        <w:rPr>
          <w:rFonts w:ascii="Times New Roman" w:hAnsi="Times New Roman"/>
          <w:b/>
          <w:bCs/>
          <w:iCs/>
          <w:sz w:val="28"/>
          <w:szCs w:val="24"/>
        </w:rPr>
        <w:t>Товарная структура импорта, млн долл.</w:t>
      </w:r>
    </w:p>
    <w:p w14:paraId="7EA7DB32" w14:textId="77777777" w:rsidR="002B169F" w:rsidRPr="00375059" w:rsidRDefault="002B169F" w:rsidP="002B169F">
      <w:pPr>
        <w:shd w:val="clear" w:color="auto" w:fill="FFFFFF"/>
        <w:spacing w:after="0" w:line="240" w:lineRule="auto"/>
        <w:jc w:val="right"/>
        <w:rPr>
          <w:rFonts w:ascii="Times New Roman" w:hAnsi="Times New Roman"/>
          <w:b/>
          <w:i/>
          <w:sz w:val="28"/>
          <w:szCs w:val="28"/>
        </w:rPr>
      </w:pPr>
      <w:r w:rsidRPr="00375059">
        <w:rPr>
          <w:rFonts w:ascii="Times New Roman" w:hAnsi="Times New Roman"/>
          <w:b/>
          <w:i/>
          <w:noProof/>
          <w:sz w:val="24"/>
          <w:szCs w:val="24"/>
          <w:shd w:val="clear" w:color="auto" w:fill="8EAADB" w:themeFill="accent1" w:themeFillTint="99"/>
        </w:rPr>
        <w:drawing>
          <wp:inline distT="0" distB="0" distL="0" distR="0" wp14:anchorId="5CA1095C" wp14:editId="5C2691C1">
            <wp:extent cx="5986732" cy="2700655"/>
            <wp:effectExtent l="0" t="0" r="0" b="444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911277" w14:textId="77777777" w:rsidR="002B169F" w:rsidRPr="00375059" w:rsidRDefault="002B169F" w:rsidP="002B169F">
      <w:pPr>
        <w:shd w:val="clear" w:color="auto" w:fill="FFFFFF"/>
        <w:spacing w:after="0" w:line="240" w:lineRule="auto"/>
        <w:ind w:firstLine="425"/>
        <w:jc w:val="right"/>
        <w:rPr>
          <w:rFonts w:ascii="Times New Roman" w:hAnsi="Times New Roman"/>
          <w:b/>
          <w:i/>
          <w:sz w:val="16"/>
          <w:szCs w:val="16"/>
        </w:rPr>
      </w:pPr>
    </w:p>
    <w:p w14:paraId="0E79A61E" w14:textId="77777777" w:rsidR="002B169F" w:rsidRPr="00375059" w:rsidRDefault="002B169F"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Импорт товаров легкой промышленности по итогам 2021 года превысил базисный показатель на 42,6%, составив 55,2 млн долл., или 3,4% в общей структуре. Рост зафиксирован по текстильным материалам, а именно хлопковому волокну (в 1,9 раза) и вате из текстильных материалов (+34,0%), а также одежде (+20,4%) и обуви (в 1,4 раза), тогда как по текстильным изделиям снижение составило 8,5%.</w:t>
      </w:r>
    </w:p>
    <w:p w14:paraId="6BE68FBB" w14:textId="77777777" w:rsidR="002B169F" w:rsidRPr="00375059" w:rsidRDefault="002B169F"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 xml:space="preserve">С восстановлением после сжатия и реализацией отложенного в 2020 году спроса, импорт на территорию республики машиностроительной продукции в денежном эквиваленте достиг 167,7 млн долл. (+20,5% при -6,8% в 2020 году относительно 2019 года), или 10,2% (-3,0 </w:t>
      </w:r>
      <w:proofErr w:type="spellStart"/>
      <w:r w:rsidRPr="00375059">
        <w:rPr>
          <w:rFonts w:ascii="Times New Roman" w:hAnsi="Times New Roman"/>
          <w:sz w:val="28"/>
          <w:szCs w:val="24"/>
        </w:rPr>
        <w:t>п.п</w:t>
      </w:r>
      <w:proofErr w:type="spellEnd"/>
      <w:r w:rsidRPr="00375059">
        <w:rPr>
          <w:rFonts w:ascii="Times New Roman" w:hAnsi="Times New Roman"/>
          <w:sz w:val="28"/>
          <w:szCs w:val="24"/>
        </w:rPr>
        <w:t>.) совокупного показателя. В больших, чем год назад, объемах осуществлен ввоз легковых автомобилей и прочих транспортных средств (в 1,5 раза к уровню 2020 года) при снижении импорта механических устройств для мелиорации (-2,7%).</w:t>
      </w:r>
    </w:p>
    <w:p w14:paraId="0724FA0A" w14:textId="77777777" w:rsidR="002B169F" w:rsidRPr="00375059" w:rsidRDefault="002B169F"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Продукции химической и связанных с ней отраслей промышленности было закуплено на сумму, эквивалентную 98,6 млн долл. (+12,4%), или 6,0% в общей структуре.</w:t>
      </w:r>
    </w:p>
    <w:p w14:paraId="309903E9" w14:textId="77777777" w:rsidR="002B169F" w:rsidRPr="00375059" w:rsidRDefault="002B169F"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В условиях подстегиваемого пандемией спроса и удорожания медикаментов в глобальном масштабе, совокупные поставки на территорию республики фармацевтической продукции по итогам 2021 года сформированы на отметке 40,2 млн долл. (+36,4% по отношению к 2020 году).</w:t>
      </w:r>
    </w:p>
    <w:p w14:paraId="7937D6E9" w14:textId="46B80215" w:rsidR="002B169F" w:rsidRPr="00375059" w:rsidRDefault="002B169F"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Основная часть импортируемой продукции поступала в Приднестровье из таких стран (рис. 2</w:t>
      </w:r>
      <w:r w:rsidR="00BB365B" w:rsidRPr="00375059">
        <w:rPr>
          <w:rFonts w:ascii="Times New Roman" w:hAnsi="Times New Roman"/>
          <w:sz w:val="28"/>
          <w:szCs w:val="24"/>
        </w:rPr>
        <w:t>7</w:t>
      </w:r>
      <w:r w:rsidRPr="00375059">
        <w:rPr>
          <w:rFonts w:ascii="Times New Roman" w:hAnsi="Times New Roman"/>
          <w:sz w:val="28"/>
          <w:szCs w:val="24"/>
        </w:rPr>
        <w:t>), как:</w:t>
      </w:r>
    </w:p>
    <w:p w14:paraId="6E3C9D9B" w14:textId="5AF9FD67" w:rsidR="002B169F" w:rsidRPr="00375059" w:rsidRDefault="00BB365B"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w:t>
      </w:r>
      <w:r w:rsidR="002B169F" w:rsidRPr="00375059">
        <w:rPr>
          <w:rFonts w:ascii="Times New Roman" w:hAnsi="Times New Roman"/>
          <w:sz w:val="28"/>
          <w:szCs w:val="24"/>
        </w:rPr>
        <w:t xml:space="preserve"> Российская Федерация – 44,9% совокупного импорта, или</w:t>
      </w:r>
      <w:r w:rsidR="00927482">
        <w:rPr>
          <w:rFonts w:ascii="Times New Roman" w:hAnsi="Times New Roman"/>
          <w:sz w:val="28"/>
          <w:szCs w:val="24"/>
        </w:rPr>
        <w:t xml:space="preserve"> </w:t>
      </w:r>
      <w:r w:rsidR="002B169F" w:rsidRPr="00375059">
        <w:rPr>
          <w:rFonts w:ascii="Times New Roman" w:hAnsi="Times New Roman"/>
          <w:sz w:val="28"/>
          <w:szCs w:val="24"/>
        </w:rPr>
        <w:t>738,4 млн долл. в стоимостном выражении (рост в 1,8 раза к уровню 2020 года)</w:t>
      </w:r>
      <w:r w:rsidR="00B538AD" w:rsidRPr="00375059">
        <w:rPr>
          <w:rFonts w:ascii="Times New Roman" w:hAnsi="Times New Roman"/>
          <w:sz w:val="28"/>
          <w:szCs w:val="24"/>
        </w:rPr>
        <w:t>. О</w:t>
      </w:r>
      <w:r w:rsidR="002B169F" w:rsidRPr="00375059">
        <w:rPr>
          <w:rFonts w:ascii="Times New Roman" w:hAnsi="Times New Roman"/>
          <w:sz w:val="28"/>
          <w:szCs w:val="28"/>
        </w:rPr>
        <w:t xml:space="preserve">сновными статьями импорта были топливно-энергетические товары (83,9%; рост в 2,0 раза), продукция химической и связанных с ней отраслей промышленности (3,1%; +16,3%), металлы и изделия из них (3,3%; </w:t>
      </w:r>
      <w:r w:rsidR="002B169F" w:rsidRPr="00375059">
        <w:rPr>
          <w:rFonts w:ascii="Times New Roman" w:hAnsi="Times New Roman"/>
          <w:sz w:val="28"/>
          <w:szCs w:val="28"/>
        </w:rPr>
        <w:lastRenderedPageBreak/>
        <w:t>+18,5%), машиностроительная продукция (3,3%; +17,8%), продовольственные товары и сырье (2,6%; +33,1%), фармацевтическая продукция (2,0%, +29,8%);</w:t>
      </w:r>
    </w:p>
    <w:p w14:paraId="267731FB" w14:textId="54F50FBF" w:rsidR="002B169F" w:rsidRPr="00375059" w:rsidRDefault="00B538AD"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w:t>
      </w:r>
      <w:r w:rsidR="002B169F" w:rsidRPr="00375059">
        <w:rPr>
          <w:rFonts w:ascii="Times New Roman" w:hAnsi="Times New Roman"/>
          <w:sz w:val="28"/>
          <w:szCs w:val="24"/>
        </w:rPr>
        <w:t xml:space="preserve"> Румыния – 13,0%, или 214,1 млн долл. (рост в 2,0 раза),</w:t>
      </w:r>
      <w:r w:rsidR="002B169F" w:rsidRPr="00375059">
        <w:rPr>
          <w:rFonts w:ascii="Times New Roman" w:hAnsi="Times New Roman"/>
          <w:sz w:val="28"/>
          <w:szCs w:val="28"/>
        </w:rPr>
        <w:t xml:space="preserve"> в том числе металлы и изделия из них (75,6%; рост в 2,2 раза), топливно-энергетические товары (17,7%; +75,6%), продукция химической и связанных с ней отраслей промышленности (2,6%; +37,7%), продовольственные товары (1,7%; +7,6%), машиностроительная продукция (1,7%, +34,6%);</w:t>
      </w:r>
    </w:p>
    <w:p w14:paraId="45C52899" w14:textId="286117BE" w:rsidR="002B169F" w:rsidRPr="00375059" w:rsidRDefault="00B538AD"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w:t>
      </w:r>
      <w:r w:rsidR="002B169F" w:rsidRPr="00375059">
        <w:rPr>
          <w:rFonts w:ascii="Times New Roman" w:hAnsi="Times New Roman"/>
          <w:sz w:val="28"/>
          <w:szCs w:val="24"/>
        </w:rPr>
        <w:t xml:space="preserve"> Украина – 12,1%, или 198,4 млн долл. (+19,5%).</w:t>
      </w:r>
      <w:r w:rsidR="002B169F" w:rsidRPr="00375059">
        <w:rPr>
          <w:rFonts w:ascii="Times New Roman" w:hAnsi="Times New Roman"/>
          <w:sz w:val="28"/>
          <w:szCs w:val="28"/>
        </w:rPr>
        <w:t xml:space="preserve"> Отмечался рост импорта продовольственных товаров и сырья (29,7%; +5,1%), машиностроительной продукции (15,8%; +34,8%), металлов и изделий из них (15,0%; +38,2%), продукции химической и связанных с ней отраслей промышленности (12,5%; +18,1%), одежды (4,0%; +27,0%), древесины и целлюлозно-бумажных изделий (4,8%; +23,1%);</w:t>
      </w:r>
    </w:p>
    <w:p w14:paraId="37B35B30" w14:textId="460C6E3C" w:rsidR="002B169F" w:rsidRPr="00375059" w:rsidRDefault="00B538AD" w:rsidP="001463C8">
      <w:pPr>
        <w:shd w:val="clear" w:color="auto" w:fill="FFFFFF"/>
        <w:spacing w:after="0" w:line="240" w:lineRule="auto"/>
        <w:ind w:firstLine="567"/>
        <w:jc w:val="both"/>
        <w:rPr>
          <w:rFonts w:ascii="Times New Roman" w:hAnsi="Times New Roman"/>
          <w:sz w:val="28"/>
          <w:szCs w:val="24"/>
        </w:rPr>
      </w:pPr>
      <w:r w:rsidRPr="00375059">
        <w:rPr>
          <w:rFonts w:ascii="Times New Roman" w:hAnsi="Times New Roman"/>
          <w:sz w:val="28"/>
          <w:szCs w:val="24"/>
        </w:rPr>
        <w:t>–</w:t>
      </w:r>
      <w:r w:rsidR="002B169F" w:rsidRPr="00375059">
        <w:rPr>
          <w:rFonts w:ascii="Times New Roman" w:hAnsi="Times New Roman"/>
          <w:sz w:val="28"/>
          <w:szCs w:val="24"/>
        </w:rPr>
        <w:t xml:space="preserve"> Республика Молдова – 11,0%, или 181,1 млн долл. (рост в 1,6 раза)</w:t>
      </w:r>
      <w:r w:rsidRPr="00375059">
        <w:rPr>
          <w:rFonts w:ascii="Times New Roman" w:hAnsi="Times New Roman"/>
          <w:sz w:val="28"/>
          <w:szCs w:val="24"/>
        </w:rPr>
        <w:t xml:space="preserve"> </w:t>
      </w:r>
      <w:r w:rsidR="002B169F" w:rsidRPr="00375059">
        <w:rPr>
          <w:rFonts w:ascii="Times New Roman" w:hAnsi="Times New Roman"/>
          <w:sz w:val="28"/>
          <w:szCs w:val="28"/>
        </w:rPr>
        <w:t>– в больших, чем год назад, объемах импортировались металлы и изделия из них (68,1%; рост в 2,1 раза), машиностроительная продукция (4,9%; -1,1%), фармацевтическая продукция (3,8%; +27,3%), продукция химической и связанных с ней отраслей промышленности (3,1%; -11,2%).</w:t>
      </w:r>
    </w:p>
    <w:p w14:paraId="76BDFF99" w14:textId="2D4BE750" w:rsidR="002B169F" w:rsidRPr="00375059" w:rsidRDefault="002B169F" w:rsidP="002B169F">
      <w:pPr>
        <w:shd w:val="clear" w:color="auto" w:fill="FFFFFF"/>
        <w:spacing w:after="0" w:line="240" w:lineRule="auto"/>
        <w:ind w:firstLine="425"/>
        <w:jc w:val="right"/>
        <w:rPr>
          <w:rFonts w:ascii="Times New Roman" w:hAnsi="Times New Roman"/>
          <w:b/>
          <w:i/>
          <w:sz w:val="28"/>
          <w:szCs w:val="28"/>
        </w:rPr>
      </w:pPr>
      <w:r w:rsidRPr="00375059">
        <w:rPr>
          <w:rFonts w:ascii="Times New Roman" w:hAnsi="Times New Roman"/>
          <w:b/>
          <w:i/>
          <w:sz w:val="28"/>
          <w:szCs w:val="28"/>
        </w:rPr>
        <w:t>Рисунок 2</w:t>
      </w:r>
      <w:r w:rsidR="00BB365B" w:rsidRPr="00375059">
        <w:rPr>
          <w:rFonts w:ascii="Times New Roman" w:hAnsi="Times New Roman"/>
          <w:b/>
          <w:i/>
          <w:sz w:val="28"/>
          <w:szCs w:val="28"/>
        </w:rPr>
        <w:t>7</w:t>
      </w:r>
    </w:p>
    <w:p w14:paraId="72039581" w14:textId="77777777" w:rsidR="002B169F" w:rsidRPr="00375059" w:rsidRDefault="002B169F" w:rsidP="002B169F">
      <w:pPr>
        <w:shd w:val="clear" w:color="auto" w:fill="FFFFFF"/>
        <w:spacing w:after="0" w:line="240" w:lineRule="auto"/>
        <w:jc w:val="center"/>
        <w:rPr>
          <w:rFonts w:ascii="Times New Roman" w:hAnsi="Times New Roman"/>
          <w:b/>
          <w:iCs/>
          <w:sz w:val="28"/>
          <w:szCs w:val="28"/>
        </w:rPr>
      </w:pPr>
      <w:r w:rsidRPr="00375059">
        <w:rPr>
          <w:rFonts w:ascii="Times New Roman" w:hAnsi="Times New Roman"/>
          <w:b/>
          <w:bCs/>
          <w:iCs/>
          <w:sz w:val="28"/>
          <w:szCs w:val="28"/>
        </w:rPr>
        <w:t>География импорта товаров, млн долл.</w:t>
      </w:r>
    </w:p>
    <w:p w14:paraId="0E8B58B2" w14:textId="77777777" w:rsidR="002B169F" w:rsidRPr="00375059" w:rsidRDefault="002B169F" w:rsidP="002B169F">
      <w:pPr>
        <w:spacing w:after="0" w:line="240" w:lineRule="auto"/>
        <w:ind w:hanging="142"/>
        <w:jc w:val="both"/>
        <w:rPr>
          <w:rFonts w:ascii="Times New Roman" w:hAnsi="Times New Roman"/>
          <w:sz w:val="24"/>
          <w:szCs w:val="24"/>
        </w:rPr>
      </w:pPr>
      <w:r w:rsidRPr="00375059">
        <w:rPr>
          <w:rFonts w:ascii="Times New Roman" w:hAnsi="Times New Roman"/>
          <w:noProof/>
          <w:sz w:val="24"/>
          <w:szCs w:val="24"/>
        </w:rPr>
        <w:drawing>
          <wp:inline distT="0" distB="0" distL="0" distR="0" wp14:anchorId="41131595" wp14:editId="430F2B40">
            <wp:extent cx="6055743" cy="2115820"/>
            <wp:effectExtent l="0" t="0" r="2540" b="0"/>
            <wp:docPr id="7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5E87F4"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Реализуемая государством политика в сфере внешнеэкономических операций в контексте наблюдаемых событий определила следующие приоритетные мероприятия:</w:t>
      </w:r>
    </w:p>
    <w:p w14:paraId="10926C57" w14:textId="2660F524" w:rsidR="002B169F" w:rsidRPr="00375059" w:rsidRDefault="002B169F" w:rsidP="001463C8">
      <w:pPr>
        <w:numPr>
          <w:ilvl w:val="0"/>
          <w:numId w:val="3"/>
        </w:numPr>
        <w:spacing w:after="0" w:line="240" w:lineRule="auto"/>
        <w:ind w:left="0" w:firstLine="567"/>
        <w:contextualSpacing/>
        <w:jc w:val="both"/>
        <w:rPr>
          <w:rFonts w:ascii="Times New Roman" w:hAnsi="Times New Roman"/>
          <w:sz w:val="28"/>
          <w:szCs w:val="28"/>
        </w:rPr>
      </w:pPr>
      <w:r w:rsidRPr="00375059">
        <w:rPr>
          <w:rFonts w:ascii="Times New Roman" w:hAnsi="Times New Roman"/>
          <w:sz w:val="28"/>
          <w:szCs w:val="28"/>
        </w:rPr>
        <w:t>В целях защиты внутреннего рынка</w:t>
      </w:r>
      <w:r w:rsidR="00B538AD" w:rsidRPr="00375059">
        <w:rPr>
          <w:rFonts w:ascii="Times New Roman" w:hAnsi="Times New Roman"/>
          <w:sz w:val="28"/>
          <w:szCs w:val="28"/>
        </w:rPr>
        <w:t xml:space="preserve"> </w:t>
      </w:r>
      <w:r w:rsidRPr="00375059">
        <w:rPr>
          <w:rFonts w:ascii="Times New Roman" w:hAnsi="Times New Roman"/>
          <w:sz w:val="28"/>
          <w:szCs w:val="28"/>
        </w:rPr>
        <w:t>до 18 февраля 2021 года действовал запрет на экспорт пшеницы, зерна и кукурузы (с сохранением возможности экспорта на основании и в объемах, определенных Специальной комиссией при Правительстве Приднестровской Молдавской Республики).</w:t>
      </w:r>
    </w:p>
    <w:p w14:paraId="5C531122" w14:textId="77777777" w:rsidR="002B169F" w:rsidRPr="00375059" w:rsidRDefault="002B169F" w:rsidP="001463C8">
      <w:pPr>
        <w:numPr>
          <w:ilvl w:val="0"/>
          <w:numId w:val="3"/>
        </w:numPr>
        <w:spacing w:after="0" w:line="240" w:lineRule="auto"/>
        <w:ind w:left="0" w:firstLine="567"/>
        <w:contextualSpacing/>
        <w:jc w:val="both"/>
        <w:rPr>
          <w:rFonts w:ascii="Times New Roman" w:hAnsi="Times New Roman"/>
          <w:sz w:val="28"/>
          <w:szCs w:val="28"/>
        </w:rPr>
      </w:pPr>
      <w:r w:rsidRPr="00375059">
        <w:rPr>
          <w:rFonts w:ascii="Times New Roman" w:hAnsi="Times New Roman"/>
          <w:sz w:val="28"/>
          <w:szCs w:val="28"/>
        </w:rPr>
        <w:t>В рамках поддержки отечественных производителей и активизации предпринимательской деятельности был продлен период действия таможенной процедуры временного ввоза (в пределах 2 лет); изменены ставки ввозной таможенной пошлины по 126 кодам товарной номенклатуры внешнеэкономической деятельности и обнулены ставки по 35 кодам товарной номенклатуры; установлена тарифная квота на экспорт гравийно-валунной смеси.</w:t>
      </w:r>
    </w:p>
    <w:p w14:paraId="79C522C9" w14:textId="77777777" w:rsidR="002B169F" w:rsidRPr="00375059" w:rsidRDefault="002B169F" w:rsidP="001463C8">
      <w:pPr>
        <w:numPr>
          <w:ilvl w:val="0"/>
          <w:numId w:val="3"/>
        </w:numPr>
        <w:spacing w:after="0" w:line="240" w:lineRule="auto"/>
        <w:ind w:left="0" w:firstLine="567"/>
        <w:contextualSpacing/>
        <w:jc w:val="both"/>
        <w:rPr>
          <w:rFonts w:ascii="Times New Roman" w:hAnsi="Times New Roman"/>
          <w:sz w:val="24"/>
          <w:szCs w:val="24"/>
        </w:rPr>
      </w:pPr>
      <w:r w:rsidRPr="00375059">
        <w:rPr>
          <w:rFonts w:ascii="Times New Roman" w:hAnsi="Times New Roman"/>
          <w:sz w:val="28"/>
          <w:szCs w:val="28"/>
        </w:rPr>
        <w:lastRenderedPageBreak/>
        <w:t>В целях защиты государственных интересов и обеспечения полноты поступления валютных средств:</w:t>
      </w:r>
    </w:p>
    <w:p w14:paraId="1AD46645" w14:textId="77777777" w:rsidR="002B169F" w:rsidRPr="00375059" w:rsidRDefault="002B169F" w:rsidP="001463C8">
      <w:pPr>
        <w:spacing w:after="0" w:line="240" w:lineRule="auto"/>
        <w:ind w:firstLine="567"/>
        <w:contextualSpacing/>
        <w:jc w:val="both"/>
        <w:rPr>
          <w:rFonts w:ascii="Times New Roman" w:eastAsia="Calibri" w:hAnsi="Times New Roman"/>
          <w:spacing w:val="-4"/>
          <w:sz w:val="28"/>
          <w:szCs w:val="28"/>
        </w:rPr>
      </w:pPr>
      <w:r w:rsidRPr="00375059">
        <w:rPr>
          <w:rFonts w:ascii="Times New Roman" w:hAnsi="Times New Roman"/>
          <w:sz w:val="28"/>
          <w:szCs w:val="28"/>
        </w:rPr>
        <w:t xml:space="preserve">а) с 1 января 2021 года установлена сезонная таможенная пошлина в размере 6% на добываемые на территории республики нерудные полезные ископаемые и в размере 8% (в последствии увеличен </w:t>
      </w:r>
      <w:r w:rsidRPr="00375059">
        <w:rPr>
          <w:rFonts w:ascii="Times New Roman" w:eastAsia="Calibri" w:hAnsi="Times New Roman"/>
          <w:spacing w:val="-4"/>
          <w:sz w:val="28"/>
          <w:szCs w:val="28"/>
        </w:rPr>
        <w:t>до 12%)</w:t>
      </w:r>
      <w:r w:rsidRPr="00375059">
        <w:rPr>
          <w:rFonts w:ascii="Times New Roman" w:hAnsi="Times New Roman"/>
          <w:sz w:val="28"/>
          <w:szCs w:val="28"/>
        </w:rPr>
        <w:t xml:space="preserve"> в отношении песчано-гравийной смеси</w:t>
      </w:r>
      <w:r w:rsidRPr="00375059">
        <w:rPr>
          <w:rFonts w:ascii="Times New Roman" w:eastAsia="Calibri" w:hAnsi="Times New Roman"/>
          <w:spacing w:val="-4"/>
          <w:sz w:val="28"/>
          <w:szCs w:val="28"/>
        </w:rPr>
        <w:t>;</w:t>
      </w:r>
    </w:p>
    <w:p w14:paraId="6164123F" w14:textId="70A920BF" w:rsidR="002B169F" w:rsidRPr="00375059" w:rsidRDefault="002B169F" w:rsidP="001463C8">
      <w:pPr>
        <w:spacing w:after="0" w:line="240" w:lineRule="auto"/>
        <w:ind w:firstLine="567"/>
        <w:contextualSpacing/>
        <w:jc w:val="both"/>
        <w:rPr>
          <w:rFonts w:ascii="Times New Roman" w:eastAsia="Calibri" w:hAnsi="Times New Roman"/>
          <w:spacing w:val="-4"/>
          <w:sz w:val="28"/>
          <w:szCs w:val="28"/>
        </w:rPr>
      </w:pPr>
      <w:r w:rsidRPr="00375059">
        <w:rPr>
          <w:rFonts w:ascii="Times New Roman" w:eastAsia="Calibri" w:hAnsi="Times New Roman"/>
          <w:spacing w:val="-4"/>
          <w:sz w:val="28"/>
          <w:szCs w:val="28"/>
        </w:rPr>
        <w:t>б)</w:t>
      </w:r>
      <w:r w:rsidR="00B538AD" w:rsidRPr="00375059">
        <w:rPr>
          <w:rFonts w:ascii="Times New Roman" w:eastAsia="Calibri" w:hAnsi="Times New Roman"/>
          <w:spacing w:val="-4"/>
          <w:sz w:val="28"/>
          <w:szCs w:val="28"/>
        </w:rPr>
        <w:t xml:space="preserve"> </w:t>
      </w:r>
      <w:r w:rsidRPr="00375059">
        <w:rPr>
          <w:rFonts w:ascii="Times New Roman" w:hAnsi="Times New Roman"/>
          <w:sz w:val="28"/>
          <w:szCs w:val="28"/>
        </w:rPr>
        <w:t>до 8% увеличена ставка экспортной сезонной таможенной пошлины на песок;</w:t>
      </w:r>
    </w:p>
    <w:p w14:paraId="571CE908" w14:textId="77777777" w:rsidR="002B169F" w:rsidRPr="00375059" w:rsidRDefault="002B169F" w:rsidP="001463C8">
      <w:pPr>
        <w:spacing w:after="0" w:line="240" w:lineRule="auto"/>
        <w:ind w:firstLine="567"/>
        <w:contextualSpacing/>
        <w:jc w:val="both"/>
        <w:rPr>
          <w:rFonts w:ascii="Times New Roman" w:eastAsia="Calibri" w:hAnsi="Times New Roman"/>
          <w:spacing w:val="-4"/>
          <w:sz w:val="28"/>
          <w:szCs w:val="28"/>
        </w:rPr>
      </w:pPr>
      <w:r w:rsidRPr="00375059">
        <w:rPr>
          <w:rFonts w:ascii="Times New Roman" w:eastAsia="Calibri" w:hAnsi="Times New Roman"/>
          <w:spacing w:val="-4"/>
          <w:sz w:val="28"/>
          <w:szCs w:val="28"/>
        </w:rPr>
        <w:t xml:space="preserve">в) до конца 2021 года пролонгировано действие </w:t>
      </w:r>
      <w:r w:rsidRPr="00375059">
        <w:rPr>
          <w:rFonts w:ascii="Times New Roman" w:hAnsi="Times New Roman"/>
          <w:sz w:val="28"/>
          <w:szCs w:val="28"/>
        </w:rPr>
        <w:t xml:space="preserve">экспортной </w:t>
      </w:r>
      <w:r w:rsidRPr="00375059">
        <w:rPr>
          <w:rFonts w:ascii="Times New Roman" w:eastAsia="Calibri" w:hAnsi="Times New Roman"/>
          <w:spacing w:val="-4"/>
          <w:sz w:val="28"/>
          <w:szCs w:val="28"/>
        </w:rPr>
        <w:t>сезонной таможенной пошлины на портландцемент;</w:t>
      </w:r>
    </w:p>
    <w:p w14:paraId="0B24B233" w14:textId="235A21D8"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eastAsia="Calibri" w:hAnsi="Times New Roman"/>
          <w:spacing w:val="-4"/>
          <w:sz w:val="28"/>
          <w:szCs w:val="28"/>
        </w:rPr>
        <w:t>г)</w:t>
      </w:r>
      <w:r w:rsidR="00B538AD" w:rsidRPr="00375059">
        <w:rPr>
          <w:rFonts w:ascii="Times New Roman" w:eastAsia="Calibri" w:hAnsi="Times New Roman"/>
          <w:spacing w:val="-4"/>
          <w:sz w:val="28"/>
          <w:szCs w:val="28"/>
        </w:rPr>
        <w:t xml:space="preserve"> </w:t>
      </w:r>
      <w:r w:rsidRPr="00375059">
        <w:rPr>
          <w:rFonts w:ascii="Times New Roman" w:hAnsi="Times New Roman"/>
          <w:sz w:val="28"/>
          <w:szCs w:val="28"/>
        </w:rPr>
        <w:t>с установленной периодичностью утверждались индикативные цены (масличные и зерновые культуры, полезные ископаемые и др.);</w:t>
      </w:r>
    </w:p>
    <w:p w14:paraId="19D4FD49" w14:textId="53D12905" w:rsidR="002B169F" w:rsidRPr="00375059" w:rsidRDefault="002B169F" w:rsidP="001463C8">
      <w:pPr>
        <w:spacing w:after="0" w:line="240" w:lineRule="auto"/>
        <w:ind w:firstLine="567"/>
        <w:contextualSpacing/>
        <w:jc w:val="both"/>
        <w:rPr>
          <w:rFonts w:ascii="Times New Roman" w:eastAsia="Calibri" w:hAnsi="Times New Roman"/>
          <w:spacing w:val="-4"/>
          <w:sz w:val="28"/>
          <w:szCs w:val="28"/>
        </w:rPr>
      </w:pPr>
      <w:r w:rsidRPr="00375059">
        <w:rPr>
          <w:rFonts w:ascii="Times New Roman" w:hAnsi="Times New Roman"/>
          <w:sz w:val="28"/>
          <w:szCs w:val="28"/>
        </w:rPr>
        <w:t>д)</w:t>
      </w:r>
      <w:r w:rsidR="00B538AD" w:rsidRPr="00375059">
        <w:rPr>
          <w:rFonts w:ascii="Times New Roman" w:hAnsi="Times New Roman"/>
          <w:sz w:val="28"/>
          <w:szCs w:val="28"/>
        </w:rPr>
        <w:t xml:space="preserve"> </w:t>
      </w:r>
      <w:r w:rsidRPr="00375059">
        <w:rPr>
          <w:rFonts w:ascii="Times New Roman" w:eastAsia="Calibri" w:hAnsi="Times New Roman"/>
          <w:spacing w:val="-4"/>
          <w:sz w:val="28"/>
          <w:szCs w:val="28"/>
        </w:rPr>
        <w:t>введено применение расчетных цен при определении стоимости экспортируемых нерудных полезных ископаемых;</w:t>
      </w:r>
    </w:p>
    <w:p w14:paraId="1B059A2F" w14:textId="77777777" w:rsidR="002B169F" w:rsidRPr="00375059" w:rsidRDefault="002B169F" w:rsidP="001463C8">
      <w:pPr>
        <w:spacing w:after="0" w:line="240" w:lineRule="auto"/>
        <w:ind w:firstLine="567"/>
        <w:contextualSpacing/>
        <w:jc w:val="both"/>
        <w:rPr>
          <w:rFonts w:ascii="Times New Roman" w:eastAsia="Calibri" w:hAnsi="Times New Roman"/>
          <w:spacing w:val="-4"/>
          <w:sz w:val="28"/>
          <w:szCs w:val="28"/>
        </w:rPr>
      </w:pPr>
      <w:r w:rsidRPr="00375059">
        <w:rPr>
          <w:rFonts w:ascii="Times New Roman" w:eastAsia="Calibri" w:hAnsi="Times New Roman"/>
          <w:spacing w:val="-4"/>
          <w:sz w:val="28"/>
          <w:szCs w:val="28"/>
        </w:rPr>
        <w:t>е) установлена повышенная ставка экспортной сезонной таможенной пошлины в размере 5 долларов за тонну на нерудные полезные ископаемые, вывозимые по ценам ниже установленных на дату экспорта расчетных цен;</w:t>
      </w:r>
    </w:p>
    <w:p w14:paraId="40F8CD8C" w14:textId="4547E4D5" w:rsidR="002B169F" w:rsidRPr="00375059" w:rsidRDefault="002B169F" w:rsidP="001463C8">
      <w:pPr>
        <w:spacing w:after="0" w:line="240" w:lineRule="auto"/>
        <w:ind w:firstLine="567"/>
        <w:contextualSpacing/>
        <w:jc w:val="both"/>
        <w:rPr>
          <w:rFonts w:ascii="Times New Roman" w:eastAsia="Calibri" w:hAnsi="Times New Roman"/>
          <w:spacing w:val="-4"/>
          <w:sz w:val="28"/>
          <w:szCs w:val="28"/>
        </w:rPr>
      </w:pPr>
      <w:r w:rsidRPr="00375059">
        <w:rPr>
          <w:rFonts w:ascii="Times New Roman" w:eastAsia="Segoe UI Emoji" w:hAnsi="Times New Roman"/>
          <w:spacing w:val="-4"/>
          <w:sz w:val="28"/>
          <w:szCs w:val="28"/>
        </w:rPr>
        <w:t>ж) установлены специфические ставки вывозной сезонной таможенной пошлины на зерновые, масличные и технические культуры в размере от 7 до 10</w:t>
      </w:r>
      <w:r w:rsidR="00B538AD" w:rsidRPr="00375059">
        <w:rPr>
          <w:rFonts w:ascii="Times New Roman" w:eastAsia="Segoe UI Emoji" w:hAnsi="Times New Roman"/>
          <w:spacing w:val="-4"/>
          <w:sz w:val="28"/>
          <w:szCs w:val="28"/>
        </w:rPr>
        <w:t> </w:t>
      </w:r>
      <w:r w:rsidRPr="00375059">
        <w:rPr>
          <w:rFonts w:ascii="Times New Roman" w:eastAsia="Segoe UI Emoji" w:hAnsi="Times New Roman"/>
          <w:spacing w:val="-4"/>
          <w:sz w:val="28"/>
          <w:szCs w:val="28"/>
        </w:rPr>
        <w:t>долл. за тонну в зависимости вида культур при условии стоимости товара равной или выше размера индикативной цены на данные культуры. При этом установлена нулевая ставка (при условии стоимости товара равной или выше индикативной цены на него) в отношении семенного материала;</w:t>
      </w:r>
    </w:p>
    <w:p w14:paraId="23F250D9" w14:textId="77777777" w:rsidR="002B169F" w:rsidRPr="00375059" w:rsidRDefault="002B169F" w:rsidP="001463C8">
      <w:pPr>
        <w:spacing w:after="0" w:line="240" w:lineRule="auto"/>
        <w:ind w:firstLine="567"/>
        <w:contextualSpacing/>
        <w:jc w:val="both"/>
        <w:rPr>
          <w:rFonts w:ascii="Times New Roman" w:eastAsia="Calibri" w:hAnsi="Times New Roman"/>
          <w:spacing w:val="-4"/>
          <w:sz w:val="28"/>
          <w:szCs w:val="28"/>
        </w:rPr>
      </w:pPr>
      <w:r w:rsidRPr="00375059">
        <w:rPr>
          <w:rFonts w:ascii="Times New Roman" w:eastAsia="Calibri" w:hAnsi="Times New Roman"/>
          <w:spacing w:val="-4"/>
          <w:sz w:val="28"/>
          <w:szCs w:val="28"/>
        </w:rPr>
        <w:t>з) актуализированы таможенные льготы в отношении товаров, ввозимых иностранными инвесторами.</w:t>
      </w:r>
    </w:p>
    <w:p w14:paraId="22145845" w14:textId="72229CE3" w:rsidR="002B169F" w:rsidRPr="00375059" w:rsidRDefault="002B169F" w:rsidP="001463C8">
      <w:pPr>
        <w:numPr>
          <w:ilvl w:val="0"/>
          <w:numId w:val="3"/>
        </w:numPr>
        <w:spacing w:after="0" w:line="240" w:lineRule="auto"/>
        <w:ind w:left="0" w:firstLine="567"/>
        <w:contextualSpacing/>
        <w:jc w:val="both"/>
        <w:rPr>
          <w:rFonts w:ascii="Times New Roman" w:hAnsi="Times New Roman"/>
          <w:sz w:val="28"/>
          <w:szCs w:val="28"/>
        </w:rPr>
      </w:pPr>
      <w:r w:rsidRPr="00375059">
        <w:rPr>
          <w:rFonts w:ascii="Times New Roman" w:hAnsi="Times New Roman"/>
          <w:sz w:val="28"/>
          <w:szCs w:val="28"/>
        </w:rPr>
        <w:t>В рамках реализации политики импортозамещения вёлся</w:t>
      </w:r>
      <w:r w:rsidR="00B538AD" w:rsidRPr="00375059">
        <w:rPr>
          <w:rFonts w:ascii="Times New Roman" w:hAnsi="Times New Roman"/>
          <w:sz w:val="28"/>
          <w:szCs w:val="28"/>
        </w:rPr>
        <w:t xml:space="preserve"> </w:t>
      </w:r>
      <w:r w:rsidRPr="00375059">
        <w:rPr>
          <w:rFonts w:ascii="Times New Roman" w:hAnsi="Times New Roman"/>
          <w:sz w:val="28"/>
          <w:szCs w:val="28"/>
        </w:rPr>
        <w:t>реестр отечественных производителей, в который в 2021 году были включены строительные и сельскохозяйственные организации. Данный реестр был направлен в исполнительные органы государственной власти для использования при осуществлении государственных закупок.</w:t>
      </w:r>
    </w:p>
    <w:p w14:paraId="018B14D4" w14:textId="34E9A4AE" w:rsidR="002B169F" w:rsidRPr="00375059" w:rsidRDefault="002B169F" w:rsidP="001463C8">
      <w:pPr>
        <w:pStyle w:val="a3"/>
        <w:numPr>
          <w:ilvl w:val="0"/>
          <w:numId w:val="3"/>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В рамках Дорожной карты «Облегчение торговли с Европейским союзом» на 2021 год были обнулены таможенные пошлины на товары, произведенные в странах-членах Европейского союза. Реализовывались мероприятия по</w:t>
      </w:r>
      <w:r w:rsidR="00B538AD" w:rsidRPr="00375059">
        <w:rPr>
          <w:rFonts w:ascii="Times New Roman" w:hAnsi="Times New Roman"/>
          <w:sz w:val="28"/>
          <w:szCs w:val="28"/>
        </w:rPr>
        <w:t xml:space="preserve"> </w:t>
      </w:r>
      <w:r w:rsidRPr="00375059">
        <w:rPr>
          <w:rFonts w:ascii="Times New Roman" w:hAnsi="Times New Roman"/>
          <w:sz w:val="28"/>
          <w:szCs w:val="28"/>
        </w:rPr>
        <w:t xml:space="preserve">сохранению </w:t>
      </w:r>
      <w:proofErr w:type="spellStart"/>
      <w:r w:rsidRPr="00375059">
        <w:rPr>
          <w:rFonts w:ascii="Times New Roman" w:hAnsi="Times New Roman"/>
          <w:sz w:val="28"/>
          <w:szCs w:val="28"/>
        </w:rPr>
        <w:t>преференционного</w:t>
      </w:r>
      <w:proofErr w:type="spellEnd"/>
      <w:r w:rsidRPr="00375059">
        <w:rPr>
          <w:rFonts w:ascii="Times New Roman" w:hAnsi="Times New Roman"/>
          <w:sz w:val="28"/>
          <w:szCs w:val="28"/>
        </w:rPr>
        <w:t xml:space="preserve"> режима беспошлинного экспорта приднестровских товаров на рынок Европейского союза.</w:t>
      </w:r>
    </w:p>
    <w:p w14:paraId="4FAAC09D" w14:textId="025F7690" w:rsidR="002B169F" w:rsidRPr="00375059" w:rsidRDefault="002B169F" w:rsidP="001463C8">
      <w:pPr>
        <w:pStyle w:val="a3"/>
        <w:widowControl w:val="0"/>
        <w:numPr>
          <w:ilvl w:val="0"/>
          <w:numId w:val="3"/>
        </w:numPr>
        <w:tabs>
          <w:tab w:val="left" w:pos="851"/>
        </w:tabs>
        <w:spacing w:after="0" w:line="240" w:lineRule="auto"/>
        <w:ind w:left="0" w:firstLine="567"/>
        <w:jc w:val="both"/>
        <w:rPr>
          <w:rFonts w:ascii="Times New Roman" w:hAnsi="Times New Roman"/>
          <w:bCs/>
          <w:sz w:val="28"/>
          <w:szCs w:val="28"/>
        </w:rPr>
      </w:pPr>
      <w:r w:rsidRPr="00375059">
        <w:rPr>
          <w:rFonts w:ascii="Times New Roman" w:hAnsi="Times New Roman"/>
          <w:sz w:val="28"/>
          <w:szCs w:val="28"/>
        </w:rPr>
        <w:t xml:space="preserve">С целью расширения торгово-экономических отношений с Российской Федерацией продолжено взаимодействие с ее субъектами; осуществлялась работа по оказанию содействия экспорту в Российскую Федерацию приднестровских товаров, подпадающих под действие Постановления Правительства Российской Федерации от 31 июля 2014 года № 736 </w:t>
      </w:r>
      <w:r w:rsidR="00B538AD" w:rsidRPr="00375059">
        <w:rPr>
          <w:rFonts w:ascii="Times New Roman" w:hAnsi="Times New Roman"/>
          <w:sz w:val="28"/>
          <w:szCs w:val="28"/>
        </w:rPr>
        <w:br/>
      </w:r>
      <w:r w:rsidRPr="00375059">
        <w:rPr>
          <w:rFonts w:ascii="Times New Roman" w:hAnsi="Times New Roman"/>
          <w:sz w:val="28"/>
          <w:szCs w:val="28"/>
        </w:rPr>
        <w:t xml:space="preserve">«О введении ввозных таможенных пошлин в отношении товаров, страной происхождения которых является Республика Молдова»; было подготовлено обращение с просьбой о неприменении повышенной ставки вывозной таможенной пошлины на отходы и лом черных металлов при их экспорте в Приднестровье или ее уменьшения до возможно минимального уровня; </w:t>
      </w:r>
      <w:r w:rsidRPr="00375059">
        <w:rPr>
          <w:rFonts w:ascii="Times New Roman" w:hAnsi="Times New Roman"/>
          <w:sz w:val="28"/>
          <w:szCs w:val="28"/>
        </w:rPr>
        <w:lastRenderedPageBreak/>
        <w:t>продолжена работа по информированию приднестровских экономических агентов о проводимых форумах и ярмарках.</w:t>
      </w:r>
    </w:p>
    <w:p w14:paraId="64AC1855" w14:textId="77777777" w:rsidR="002B169F" w:rsidRPr="00375059" w:rsidRDefault="002B169F" w:rsidP="001463C8">
      <w:pPr>
        <w:widowControl w:val="0"/>
        <w:numPr>
          <w:ilvl w:val="0"/>
          <w:numId w:val="3"/>
        </w:numPr>
        <w:tabs>
          <w:tab w:val="left" w:pos="851"/>
        </w:tabs>
        <w:spacing w:after="0" w:line="240" w:lineRule="auto"/>
        <w:ind w:left="0" w:firstLine="567"/>
        <w:contextualSpacing/>
        <w:jc w:val="both"/>
        <w:rPr>
          <w:rFonts w:ascii="Times New Roman" w:hAnsi="Times New Roman"/>
          <w:bCs/>
          <w:sz w:val="28"/>
          <w:szCs w:val="28"/>
        </w:rPr>
      </w:pPr>
      <w:r w:rsidRPr="00375059">
        <w:rPr>
          <w:rFonts w:ascii="Times New Roman" w:hAnsi="Times New Roman"/>
          <w:sz w:val="28"/>
          <w:szCs w:val="28"/>
        </w:rPr>
        <w:t xml:space="preserve">В рамках работы экспертных групп по вопросам внешнеэкономической деятельности решалась проблема задержки со стороны Республики Молдовы грузов, в том числе медицинского назначения, следующих в Приднестровье; достигнута договоренность о переносе срока </w:t>
      </w:r>
      <w:r w:rsidRPr="00375059">
        <w:rPr>
          <w:rFonts w:ascii="Times New Roman" w:hAnsi="Times New Roman"/>
          <w:bCs/>
          <w:sz w:val="28"/>
          <w:szCs w:val="28"/>
        </w:rPr>
        <w:t xml:space="preserve">введения второй фазы функционирования совместного </w:t>
      </w:r>
      <w:proofErr w:type="spellStart"/>
      <w:r w:rsidRPr="00375059">
        <w:rPr>
          <w:rFonts w:ascii="Times New Roman" w:hAnsi="Times New Roman"/>
          <w:bCs/>
          <w:sz w:val="28"/>
          <w:szCs w:val="28"/>
        </w:rPr>
        <w:t>молдо</w:t>
      </w:r>
      <w:proofErr w:type="spellEnd"/>
      <w:r w:rsidRPr="00375059">
        <w:rPr>
          <w:rFonts w:ascii="Times New Roman" w:hAnsi="Times New Roman"/>
          <w:bCs/>
          <w:sz w:val="28"/>
          <w:szCs w:val="28"/>
        </w:rPr>
        <w:t xml:space="preserve">-украинского контроля на </w:t>
      </w:r>
      <w:proofErr w:type="spellStart"/>
      <w:r w:rsidRPr="00375059">
        <w:rPr>
          <w:rFonts w:ascii="Times New Roman" w:hAnsi="Times New Roman"/>
          <w:bCs/>
          <w:sz w:val="28"/>
          <w:szCs w:val="28"/>
        </w:rPr>
        <w:t>приднестровско</w:t>
      </w:r>
      <w:proofErr w:type="spellEnd"/>
      <w:r w:rsidRPr="00375059">
        <w:rPr>
          <w:rFonts w:ascii="Times New Roman" w:hAnsi="Times New Roman"/>
          <w:bCs/>
          <w:sz w:val="28"/>
          <w:szCs w:val="28"/>
        </w:rPr>
        <w:t>-украинской границе.</w:t>
      </w:r>
    </w:p>
    <w:p w14:paraId="444B97C4" w14:textId="230A0941" w:rsidR="002B169F" w:rsidRPr="00375059" w:rsidRDefault="002B169F" w:rsidP="002B169F">
      <w:pPr>
        <w:tabs>
          <w:tab w:val="left" w:pos="709"/>
          <w:tab w:val="left" w:pos="851"/>
        </w:tabs>
        <w:spacing w:after="0" w:line="240" w:lineRule="auto"/>
        <w:ind w:firstLine="426"/>
        <w:jc w:val="both"/>
        <w:rPr>
          <w:rFonts w:ascii="Times New Roman" w:hAnsi="Times New Roman"/>
          <w:sz w:val="28"/>
          <w:szCs w:val="28"/>
        </w:rPr>
      </w:pPr>
    </w:p>
    <w:p w14:paraId="6D23D841" w14:textId="77777777" w:rsidR="002B169F" w:rsidRPr="00375059" w:rsidRDefault="002B169F" w:rsidP="00A83117">
      <w:pPr>
        <w:pStyle w:val="2"/>
        <w:spacing w:before="0" w:line="240" w:lineRule="auto"/>
        <w:ind w:firstLine="426"/>
        <w:rPr>
          <w:rFonts w:ascii="Times New Roman" w:hAnsi="Times New Roman" w:cs="Times New Roman"/>
          <w:b/>
          <w:color w:val="auto"/>
          <w:sz w:val="28"/>
        </w:rPr>
      </w:pPr>
      <w:bookmarkStart w:id="20" w:name="_Toc82074347"/>
      <w:bookmarkStart w:id="21" w:name="_Toc101441783"/>
      <w:r w:rsidRPr="00375059">
        <w:rPr>
          <w:rFonts w:ascii="Times New Roman" w:hAnsi="Times New Roman" w:cs="Times New Roman"/>
          <w:b/>
          <w:color w:val="auto"/>
          <w:sz w:val="28"/>
        </w:rPr>
        <w:t>Инвестиционная деятельность</w:t>
      </w:r>
      <w:bookmarkEnd w:id="20"/>
      <w:bookmarkEnd w:id="21"/>
    </w:p>
    <w:p w14:paraId="132C1A9F" w14:textId="77777777" w:rsidR="002B169F" w:rsidRPr="00375059" w:rsidRDefault="002B169F" w:rsidP="00A83117">
      <w:pPr>
        <w:widowControl w:val="0"/>
        <w:shd w:val="clear" w:color="auto" w:fill="FFFFFF"/>
        <w:spacing w:after="0" w:line="240" w:lineRule="auto"/>
        <w:ind w:firstLine="426"/>
        <w:jc w:val="both"/>
        <w:rPr>
          <w:rFonts w:ascii="Times New Roman" w:hAnsi="Times New Roman"/>
          <w:sz w:val="28"/>
          <w:szCs w:val="28"/>
        </w:rPr>
      </w:pPr>
      <w:r w:rsidRPr="00375059">
        <w:rPr>
          <w:rFonts w:ascii="Times New Roman" w:hAnsi="Times New Roman"/>
          <w:sz w:val="28"/>
          <w:szCs w:val="28"/>
        </w:rPr>
        <w:t>Рост экономической активности в 2021 году сопровождался наращиванием инвестиционных вложений как в реальный сектор, так и в социальную сферу.</w:t>
      </w:r>
    </w:p>
    <w:p w14:paraId="1E05F38C" w14:textId="5DD8D974" w:rsidR="002B169F" w:rsidRPr="00375059" w:rsidRDefault="002B169F" w:rsidP="002B169F">
      <w:pPr>
        <w:widowControl w:val="0"/>
        <w:spacing w:after="0" w:line="240" w:lineRule="auto"/>
        <w:ind w:firstLine="425"/>
        <w:jc w:val="both"/>
        <w:rPr>
          <w:rFonts w:ascii="Times New Roman" w:hAnsi="Times New Roman"/>
          <w:color w:val="000000"/>
          <w:sz w:val="28"/>
          <w:szCs w:val="28"/>
        </w:rPr>
      </w:pPr>
      <w:r w:rsidRPr="00375059">
        <w:rPr>
          <w:rFonts w:ascii="Times New Roman" w:hAnsi="Times New Roman"/>
          <w:noProof/>
          <w:sz w:val="24"/>
          <w:szCs w:val="24"/>
        </w:rPr>
        <w:drawing>
          <wp:anchor distT="0" distB="0" distL="114300" distR="114300" simplePos="0" relativeHeight="251715584" behindDoc="1" locked="0" layoutInCell="1" allowOverlap="1" wp14:anchorId="778D5710" wp14:editId="1A1C9F3B">
            <wp:simplePos x="0" y="0"/>
            <wp:positionH relativeFrom="column">
              <wp:posOffset>-3810</wp:posOffset>
            </wp:positionH>
            <wp:positionV relativeFrom="paragraph">
              <wp:posOffset>8255</wp:posOffset>
            </wp:positionV>
            <wp:extent cx="3105150" cy="2806700"/>
            <wp:effectExtent l="0" t="0" r="0" b="12700"/>
            <wp:wrapSquare wrapText="bothSides"/>
            <wp:docPr id="81" name="Диаграм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375059">
        <w:rPr>
          <w:rFonts w:ascii="Times New Roman" w:hAnsi="Times New Roman"/>
          <w:sz w:val="28"/>
          <w:szCs w:val="28"/>
        </w:rPr>
        <w:t>Совокупная величина вложений в основной капитал с учетом субъектов малого предпринимательства и индивидуальных застройщиков по итогам 2021 года возросла относительно базисного показателя на 27,4% и составила 2 263,8 млн</w:t>
      </w:r>
      <w:r w:rsidR="0086778A">
        <w:rPr>
          <w:rFonts w:ascii="Times New Roman" w:hAnsi="Times New Roman"/>
          <w:sz w:val="28"/>
          <w:szCs w:val="28"/>
        </w:rPr>
        <w:t> </w:t>
      </w:r>
      <w:r w:rsidRPr="00375059">
        <w:rPr>
          <w:rFonts w:ascii="Times New Roman" w:hAnsi="Times New Roman"/>
          <w:sz w:val="28"/>
          <w:szCs w:val="28"/>
        </w:rPr>
        <w:t>руб.</w:t>
      </w:r>
    </w:p>
    <w:p w14:paraId="655CF4A9" w14:textId="77777777" w:rsidR="002B169F" w:rsidRPr="00375059" w:rsidRDefault="002B169F" w:rsidP="00504995">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Инвестиции в развитие и обновление основных фондов по организациям всех форм собственности (в части новых и приобретенных по импорту основных средств) крупного и среднего бизнеса превысили 1 801,2 млн руб., что опережает базисный параметр в текущих ценах на 27,7%, в сопоставимых – на 23,1%.</w:t>
      </w:r>
    </w:p>
    <w:p w14:paraId="3A22D714" w14:textId="01935BC1"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При этом капитальные вложения в обновление машин, оборудования и транспортных средств возросли на 41,7% до 1 171,5 млн руб., сформировав порядка 65,0% совокупного показателя (рис. 2</w:t>
      </w:r>
      <w:r w:rsidR="00504995" w:rsidRPr="00375059">
        <w:rPr>
          <w:rFonts w:ascii="Times New Roman" w:hAnsi="Times New Roman"/>
          <w:sz w:val="28"/>
          <w:szCs w:val="28"/>
        </w:rPr>
        <w:t>8</w:t>
      </w:r>
      <w:r w:rsidRPr="00375059">
        <w:rPr>
          <w:rFonts w:ascii="Times New Roman" w:hAnsi="Times New Roman"/>
          <w:sz w:val="28"/>
          <w:szCs w:val="28"/>
        </w:rPr>
        <w:t>).</w:t>
      </w:r>
    </w:p>
    <w:p w14:paraId="65A1F261"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Затраты на строительно-монтажные работы, учитывая рост ценовой составляющей, в текущих ценах увеличились на 8,9% до 606,4 млн руб., при фактическом снижении показателя в сопоставимой оценке на 0,3%.</w:t>
      </w:r>
    </w:p>
    <w:p w14:paraId="10DC6475" w14:textId="12A3C9B2"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 структуре источников финансирования (рис. 2</w:t>
      </w:r>
      <w:r w:rsidR="00504995" w:rsidRPr="00375059">
        <w:rPr>
          <w:rFonts w:ascii="Times New Roman" w:hAnsi="Times New Roman"/>
          <w:sz w:val="28"/>
          <w:szCs w:val="28"/>
        </w:rPr>
        <w:t>9</w:t>
      </w:r>
      <w:r w:rsidRPr="00375059">
        <w:rPr>
          <w:rFonts w:ascii="Times New Roman" w:hAnsi="Times New Roman"/>
          <w:sz w:val="28"/>
          <w:szCs w:val="28"/>
        </w:rPr>
        <w:t xml:space="preserve">) возросла роль собственных средств организаций (+3,1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xml:space="preserve">. до 84,6%,) и кредитных ресурсов (+0,4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до 1,9%).</w:t>
      </w:r>
    </w:p>
    <w:p w14:paraId="21E1B6CF" w14:textId="77777777" w:rsidR="00504995" w:rsidRPr="00375059" w:rsidRDefault="00504995">
      <w:pPr>
        <w:spacing w:after="160" w:line="259" w:lineRule="auto"/>
        <w:rPr>
          <w:rFonts w:ascii="Times New Roman" w:hAnsi="Times New Roman"/>
          <w:b/>
          <w:i/>
          <w:sz w:val="28"/>
          <w:szCs w:val="28"/>
        </w:rPr>
      </w:pPr>
      <w:r w:rsidRPr="00375059">
        <w:rPr>
          <w:rFonts w:ascii="Times New Roman" w:hAnsi="Times New Roman"/>
          <w:b/>
          <w:i/>
          <w:sz w:val="28"/>
          <w:szCs w:val="28"/>
        </w:rPr>
        <w:br w:type="page"/>
      </w:r>
    </w:p>
    <w:p w14:paraId="7206A196" w14:textId="3AB737BA" w:rsidR="002B169F" w:rsidRPr="00375059" w:rsidRDefault="002B169F" w:rsidP="002B169F">
      <w:pPr>
        <w:widowControl w:val="0"/>
        <w:spacing w:after="0" w:line="240" w:lineRule="auto"/>
        <w:ind w:firstLine="425"/>
        <w:jc w:val="right"/>
        <w:rPr>
          <w:rFonts w:ascii="Times New Roman" w:hAnsi="Times New Roman"/>
          <w:b/>
          <w:i/>
          <w:sz w:val="28"/>
          <w:szCs w:val="28"/>
        </w:rPr>
      </w:pPr>
      <w:r w:rsidRPr="00375059">
        <w:rPr>
          <w:rFonts w:ascii="Times New Roman" w:hAnsi="Times New Roman"/>
          <w:b/>
          <w:i/>
          <w:sz w:val="28"/>
          <w:szCs w:val="28"/>
        </w:rPr>
        <w:lastRenderedPageBreak/>
        <w:t xml:space="preserve">Рисунок </w:t>
      </w:r>
      <w:r w:rsidR="00504995" w:rsidRPr="00375059">
        <w:rPr>
          <w:rFonts w:ascii="Times New Roman" w:hAnsi="Times New Roman"/>
          <w:b/>
          <w:i/>
          <w:sz w:val="28"/>
          <w:szCs w:val="28"/>
        </w:rPr>
        <w:t>29</w:t>
      </w:r>
    </w:p>
    <w:p w14:paraId="0371E378" w14:textId="77777777" w:rsidR="002B169F" w:rsidRPr="00375059" w:rsidRDefault="002B169F" w:rsidP="002B169F">
      <w:pPr>
        <w:widowControl w:val="0"/>
        <w:spacing w:after="0" w:line="240" w:lineRule="auto"/>
        <w:jc w:val="center"/>
        <w:rPr>
          <w:rFonts w:ascii="Times New Roman" w:eastAsia="Calibri" w:hAnsi="Times New Roman"/>
          <w:b/>
          <w:sz w:val="28"/>
          <w:szCs w:val="28"/>
        </w:rPr>
      </w:pPr>
      <w:r w:rsidRPr="00375059">
        <w:rPr>
          <w:rFonts w:ascii="Times New Roman" w:eastAsia="Calibri" w:hAnsi="Times New Roman"/>
          <w:b/>
          <w:sz w:val="28"/>
          <w:szCs w:val="28"/>
        </w:rPr>
        <w:t>Структура инвестиций в основной капитал</w:t>
      </w:r>
    </w:p>
    <w:p w14:paraId="43301C54" w14:textId="77777777" w:rsidR="002B169F" w:rsidRPr="00375059" w:rsidRDefault="002B169F" w:rsidP="002B169F">
      <w:pPr>
        <w:widowControl w:val="0"/>
        <w:spacing w:after="0" w:line="240" w:lineRule="auto"/>
        <w:jc w:val="center"/>
        <w:rPr>
          <w:rFonts w:ascii="Times New Roman" w:eastAsia="Calibri" w:hAnsi="Times New Roman"/>
          <w:b/>
          <w:sz w:val="28"/>
          <w:szCs w:val="28"/>
        </w:rPr>
      </w:pPr>
      <w:r w:rsidRPr="00375059">
        <w:rPr>
          <w:rFonts w:ascii="Times New Roman" w:eastAsia="Calibri" w:hAnsi="Times New Roman"/>
          <w:b/>
          <w:sz w:val="28"/>
          <w:szCs w:val="28"/>
        </w:rPr>
        <w:t>по источникам финансирования</w:t>
      </w:r>
    </w:p>
    <w:p w14:paraId="27BBA306" w14:textId="77777777" w:rsidR="002B169F" w:rsidRPr="00375059" w:rsidRDefault="002B169F" w:rsidP="002B169F">
      <w:pPr>
        <w:widowControl w:val="0"/>
        <w:spacing w:after="0" w:line="240" w:lineRule="auto"/>
        <w:jc w:val="center"/>
        <w:rPr>
          <w:rFonts w:ascii="Times New Roman" w:hAnsi="Times New Roman"/>
          <w:b/>
          <w:sz w:val="28"/>
          <w:szCs w:val="28"/>
        </w:rPr>
      </w:pPr>
      <w:r w:rsidRPr="00375059">
        <w:rPr>
          <w:rFonts w:ascii="Times New Roman" w:hAnsi="Times New Roman"/>
          <w:b/>
          <w:noProof/>
          <w:sz w:val="28"/>
          <w:szCs w:val="28"/>
        </w:rPr>
        <w:drawing>
          <wp:inline distT="0" distB="0" distL="0" distR="0" wp14:anchorId="556031D8" wp14:editId="27949410">
            <wp:extent cx="5943600" cy="2103120"/>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69F538" w14:textId="5C9CD03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разрезе форм собственности 67,0% (+6,5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xml:space="preserve">.) инвестиционных вложений осуществили организации, находящиеся в частной собственности (рис. </w:t>
      </w:r>
      <w:r w:rsidR="00504995" w:rsidRPr="00375059">
        <w:rPr>
          <w:rFonts w:ascii="Times New Roman" w:hAnsi="Times New Roman"/>
          <w:sz w:val="28"/>
          <w:szCs w:val="28"/>
        </w:rPr>
        <w:t>30</w:t>
      </w:r>
      <w:r w:rsidRPr="00375059">
        <w:rPr>
          <w:rFonts w:ascii="Times New Roman" w:hAnsi="Times New Roman"/>
          <w:sz w:val="28"/>
          <w:szCs w:val="28"/>
        </w:rPr>
        <w:t>).</w:t>
      </w:r>
    </w:p>
    <w:p w14:paraId="7787436C" w14:textId="2D56C3F1" w:rsidR="002B169F" w:rsidRPr="00375059" w:rsidRDefault="002B169F" w:rsidP="00504995">
      <w:pPr>
        <w:spacing w:after="0"/>
        <w:jc w:val="right"/>
        <w:rPr>
          <w:rFonts w:ascii="Times New Roman" w:hAnsi="Times New Roman"/>
          <w:i/>
          <w:sz w:val="28"/>
          <w:szCs w:val="28"/>
        </w:rPr>
      </w:pPr>
      <w:r w:rsidRPr="00375059">
        <w:rPr>
          <w:rFonts w:ascii="Times New Roman" w:hAnsi="Times New Roman"/>
          <w:b/>
          <w:i/>
          <w:sz w:val="28"/>
          <w:szCs w:val="28"/>
        </w:rPr>
        <w:t xml:space="preserve">Рисунок </w:t>
      </w:r>
      <w:r w:rsidR="00504995" w:rsidRPr="00375059">
        <w:rPr>
          <w:rFonts w:ascii="Times New Roman" w:hAnsi="Times New Roman"/>
          <w:b/>
          <w:i/>
          <w:sz w:val="28"/>
          <w:szCs w:val="28"/>
        </w:rPr>
        <w:t>30</w:t>
      </w:r>
    </w:p>
    <w:p w14:paraId="1B3271D5" w14:textId="77777777" w:rsidR="002B169F" w:rsidRPr="00375059" w:rsidRDefault="002B169F" w:rsidP="00504995">
      <w:pPr>
        <w:widowControl w:val="0"/>
        <w:spacing w:after="0" w:line="240" w:lineRule="auto"/>
        <w:jc w:val="center"/>
        <w:rPr>
          <w:rFonts w:ascii="Times New Roman" w:eastAsia="Calibri" w:hAnsi="Times New Roman"/>
          <w:b/>
          <w:sz w:val="28"/>
          <w:szCs w:val="28"/>
        </w:rPr>
      </w:pPr>
      <w:r w:rsidRPr="00375059">
        <w:rPr>
          <w:rFonts w:ascii="Times New Roman" w:eastAsia="Calibri" w:hAnsi="Times New Roman"/>
          <w:b/>
          <w:sz w:val="28"/>
          <w:szCs w:val="28"/>
        </w:rPr>
        <w:t>Структура инвестиций в основной капитал</w:t>
      </w:r>
    </w:p>
    <w:p w14:paraId="7945CBEC" w14:textId="77777777" w:rsidR="002B169F" w:rsidRPr="00375059" w:rsidRDefault="002B169F" w:rsidP="002B169F">
      <w:pPr>
        <w:widowControl w:val="0"/>
        <w:spacing w:after="0" w:line="240" w:lineRule="auto"/>
        <w:jc w:val="center"/>
        <w:rPr>
          <w:rFonts w:ascii="Times New Roman" w:eastAsia="Calibri" w:hAnsi="Times New Roman"/>
          <w:b/>
          <w:sz w:val="28"/>
          <w:szCs w:val="28"/>
        </w:rPr>
      </w:pPr>
      <w:r w:rsidRPr="00375059">
        <w:rPr>
          <w:rFonts w:ascii="Times New Roman" w:eastAsia="Calibri" w:hAnsi="Times New Roman"/>
          <w:b/>
          <w:sz w:val="28"/>
          <w:szCs w:val="28"/>
        </w:rPr>
        <w:t>по формам собственности</w:t>
      </w:r>
    </w:p>
    <w:p w14:paraId="05AD0AE2" w14:textId="77777777" w:rsidR="002B169F" w:rsidRPr="00375059" w:rsidRDefault="002B169F" w:rsidP="002B169F">
      <w:pPr>
        <w:spacing w:after="0" w:line="240" w:lineRule="auto"/>
        <w:jc w:val="both"/>
        <w:rPr>
          <w:rFonts w:ascii="Times New Roman" w:hAnsi="Times New Roman"/>
          <w:noProof/>
          <w:sz w:val="24"/>
          <w:szCs w:val="24"/>
        </w:rPr>
      </w:pPr>
      <w:r w:rsidRPr="00375059">
        <w:rPr>
          <w:rFonts w:ascii="Times New Roman" w:hAnsi="Times New Roman"/>
          <w:b/>
          <w:noProof/>
          <w:sz w:val="28"/>
          <w:szCs w:val="28"/>
        </w:rPr>
        <w:drawing>
          <wp:inline distT="0" distB="0" distL="0" distR="0" wp14:anchorId="4B27E947" wp14:editId="697025CC">
            <wp:extent cx="5969479" cy="2520315"/>
            <wp:effectExtent l="0" t="0" r="0" b="0"/>
            <wp:docPr id="393" name="Диаграмма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87342D"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На строительство, реконструкцию и техническое перевооружение объектов производственного назначения было направлено 1 463,6 млн руб. (81,3% совокупного показателя), что на 36,1% выше значения 2020 года.</w:t>
      </w:r>
    </w:p>
    <w:p w14:paraId="0FE98568"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объекты непроизводственного назначения, принимая во внимание государственные вложения в модернизацию социальной сферы, было инвестировано 337,6 млн руб. (+0,6% относительно значения 2020 года). Учитывая состояние сферы здравоохранения, в числе приоритетных проектов Фонда капитальных вложений было строительство и ремонт больниц, поликлиник, </w:t>
      </w:r>
      <w:r w:rsidRPr="00375059">
        <w:rPr>
          <w:rFonts w:ascii="Times New Roman" w:hAnsi="Times New Roman"/>
          <w:bCs/>
          <w:sz w:val="28"/>
          <w:szCs w:val="28"/>
        </w:rPr>
        <w:t>фельдшерско-акушерских пунктов</w:t>
      </w:r>
      <w:r w:rsidRPr="00375059">
        <w:rPr>
          <w:rFonts w:ascii="Times New Roman" w:hAnsi="Times New Roman"/>
          <w:sz w:val="28"/>
          <w:szCs w:val="28"/>
        </w:rPr>
        <w:t>, сельских врачебных амбулаторий. Также за счет Фонда капитальных вложений профинансированы работы на объектах сферы образования, социальной инфраструктуры.</w:t>
      </w:r>
    </w:p>
    <w:p w14:paraId="0CAF9F35" w14:textId="31EDDE2C"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pacing w:val="3"/>
          <w:sz w:val="28"/>
          <w:szCs w:val="28"/>
        </w:rPr>
        <w:lastRenderedPageBreak/>
        <w:t xml:space="preserve">В отраслевом разрезе наиболее </w:t>
      </w:r>
      <w:r w:rsidRPr="00375059">
        <w:rPr>
          <w:rFonts w:ascii="Times New Roman" w:hAnsi="Times New Roman"/>
          <w:sz w:val="28"/>
          <w:szCs w:val="28"/>
        </w:rPr>
        <w:t xml:space="preserve">существенные объемы инвестирования, как и ранее, приходились на предприятия промышленности – 820,0 млн руб., рост в 1,6 раза (рис. </w:t>
      </w:r>
      <w:r w:rsidR="00504995" w:rsidRPr="00375059">
        <w:rPr>
          <w:rFonts w:ascii="Times New Roman" w:hAnsi="Times New Roman"/>
          <w:sz w:val="28"/>
          <w:szCs w:val="28"/>
        </w:rPr>
        <w:t>31</w:t>
      </w:r>
      <w:r w:rsidRPr="00375059">
        <w:rPr>
          <w:rFonts w:ascii="Times New Roman" w:hAnsi="Times New Roman"/>
          <w:sz w:val="28"/>
          <w:szCs w:val="28"/>
        </w:rPr>
        <w:t>).</w:t>
      </w:r>
    </w:p>
    <w:p w14:paraId="487B5F1D" w14:textId="180162A7" w:rsidR="002B169F" w:rsidRPr="00375059" w:rsidRDefault="00A83117" w:rsidP="001463C8">
      <w:pPr>
        <w:spacing w:after="0" w:line="240" w:lineRule="auto"/>
        <w:ind w:firstLine="567"/>
        <w:jc w:val="both"/>
        <w:rPr>
          <w:rFonts w:ascii="Times New Roman" w:hAnsi="Times New Roman"/>
          <w:sz w:val="28"/>
          <w:szCs w:val="28"/>
        </w:rPr>
      </w:pPr>
      <w:r>
        <w:rPr>
          <w:rFonts w:ascii="Times New Roman" w:hAnsi="Times New Roman"/>
          <w:sz w:val="28"/>
          <w:szCs w:val="28"/>
        </w:rPr>
        <w:t>М</w:t>
      </w:r>
      <w:r w:rsidR="002B169F" w:rsidRPr="00375059">
        <w:rPr>
          <w:rFonts w:ascii="Times New Roman" w:hAnsi="Times New Roman"/>
          <w:sz w:val="28"/>
          <w:szCs w:val="28"/>
        </w:rPr>
        <w:t>асштабные программы модернизации осуществлялись на предприятиях энергетического сектора (ЗАО «Молдавская ГРЭС», ГУП ГК «</w:t>
      </w:r>
      <w:proofErr w:type="spellStart"/>
      <w:r w:rsidR="002B169F" w:rsidRPr="00375059">
        <w:rPr>
          <w:rFonts w:ascii="Times New Roman" w:hAnsi="Times New Roman"/>
          <w:sz w:val="28"/>
          <w:szCs w:val="28"/>
        </w:rPr>
        <w:t>Днестрэнерго</w:t>
      </w:r>
      <w:proofErr w:type="spellEnd"/>
      <w:r w:rsidR="002B169F" w:rsidRPr="00375059">
        <w:rPr>
          <w:rFonts w:ascii="Times New Roman" w:hAnsi="Times New Roman"/>
          <w:sz w:val="28"/>
          <w:szCs w:val="28"/>
        </w:rPr>
        <w:t>» и ГУП «Единые распределительные сети») – 45,8% инвестиционных вложений индустриального комплекса.</w:t>
      </w:r>
    </w:p>
    <w:p w14:paraId="3FFCB17A" w14:textId="3D0A0771" w:rsidR="002B169F" w:rsidRPr="00375059" w:rsidRDefault="002B169F" w:rsidP="002B169F">
      <w:pPr>
        <w:widowControl w:val="0"/>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 xml:space="preserve">Рисунок </w:t>
      </w:r>
      <w:r w:rsidR="00504995" w:rsidRPr="00375059">
        <w:rPr>
          <w:rFonts w:ascii="Times New Roman" w:hAnsi="Times New Roman"/>
          <w:b/>
          <w:i/>
          <w:sz w:val="28"/>
          <w:szCs w:val="28"/>
        </w:rPr>
        <w:t>31</w:t>
      </w:r>
    </w:p>
    <w:p w14:paraId="5C317C45" w14:textId="62438E48" w:rsidR="002B169F" w:rsidRDefault="002B169F" w:rsidP="002B169F">
      <w:pPr>
        <w:widowControl w:val="0"/>
        <w:spacing w:after="0" w:line="240" w:lineRule="auto"/>
        <w:jc w:val="center"/>
        <w:rPr>
          <w:rFonts w:ascii="Times New Roman" w:eastAsia="Calibri" w:hAnsi="Times New Roman"/>
          <w:b/>
          <w:bCs/>
          <w:sz w:val="28"/>
          <w:szCs w:val="28"/>
        </w:rPr>
      </w:pPr>
      <w:r w:rsidRPr="00375059">
        <w:rPr>
          <w:rFonts w:ascii="Times New Roman" w:eastAsia="Calibri" w:hAnsi="Times New Roman"/>
          <w:b/>
          <w:sz w:val="28"/>
          <w:szCs w:val="28"/>
        </w:rPr>
        <w:t xml:space="preserve">Динамика инвестиций в основной капитал по основным отраслям экономики </w:t>
      </w:r>
      <w:r w:rsidRPr="00375059">
        <w:rPr>
          <w:rFonts w:ascii="Times New Roman" w:eastAsia="Calibri" w:hAnsi="Times New Roman"/>
          <w:b/>
          <w:bCs/>
          <w:sz w:val="28"/>
          <w:szCs w:val="28"/>
        </w:rPr>
        <w:t>(без субъектов малого предпринимательства), млн руб.</w:t>
      </w:r>
    </w:p>
    <w:p w14:paraId="717952EF" w14:textId="2280292F" w:rsidR="002B169F" w:rsidRPr="008F12E3" w:rsidRDefault="000A6577" w:rsidP="008F12E3">
      <w:pPr>
        <w:widowControl w:val="0"/>
        <w:spacing w:after="0" w:line="240" w:lineRule="auto"/>
        <w:jc w:val="center"/>
        <w:rPr>
          <w:rFonts w:ascii="Times New Roman" w:eastAsia="Calibri" w:hAnsi="Times New Roman"/>
          <w:b/>
          <w:bCs/>
          <w:sz w:val="28"/>
          <w:szCs w:val="28"/>
        </w:rPr>
      </w:pPr>
      <w:r w:rsidRPr="005A178C">
        <w:rPr>
          <w:rFonts w:ascii="Times New Roman" w:hAnsi="Times New Roman"/>
          <w:noProof/>
          <w:sz w:val="28"/>
          <w:szCs w:val="28"/>
        </w:rPr>
        <w:drawing>
          <wp:inline distT="0" distB="0" distL="0" distR="0" wp14:anchorId="46A30B1E" wp14:editId="273AEDCF">
            <wp:extent cx="5940425" cy="3933825"/>
            <wp:effectExtent l="0" t="0" r="0" b="0"/>
            <wp:docPr id="1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6F7BEE" w14:textId="3C197B14" w:rsidR="002B169F" w:rsidRPr="00375059" w:rsidRDefault="002B169F" w:rsidP="00863ADB">
      <w:pPr>
        <w:widowControl w:val="0"/>
        <w:tabs>
          <w:tab w:val="left" w:pos="993"/>
        </w:tabs>
        <w:spacing w:after="0" w:line="240" w:lineRule="auto"/>
        <w:ind w:firstLine="567"/>
        <w:jc w:val="both"/>
        <w:rPr>
          <w:rFonts w:ascii="Times New Roman" w:hAnsi="Times New Roman"/>
          <w:sz w:val="28"/>
          <w:szCs w:val="28"/>
        </w:rPr>
      </w:pPr>
      <w:r w:rsidRPr="00375059">
        <w:rPr>
          <w:rFonts w:ascii="Times New Roman" w:hAnsi="Times New Roman"/>
          <w:sz w:val="28"/>
          <w:szCs w:val="28"/>
        </w:rPr>
        <w:t>В рамках льготного кредитования посредством субсидирования государством части процентной ставки в 2021 году 7 промышленных предприятий получили банковские кредиты в сумме, эквивалентной</w:t>
      </w:r>
      <w:r w:rsidR="008021EF" w:rsidRPr="00375059">
        <w:rPr>
          <w:rFonts w:ascii="Times New Roman" w:hAnsi="Times New Roman"/>
          <w:sz w:val="28"/>
          <w:szCs w:val="28"/>
        </w:rPr>
        <w:br/>
      </w:r>
      <w:r w:rsidRPr="00375059">
        <w:rPr>
          <w:rFonts w:ascii="Times New Roman" w:hAnsi="Times New Roman"/>
          <w:sz w:val="28"/>
          <w:szCs w:val="28"/>
        </w:rPr>
        <w:t>16,1 млн руб.</w:t>
      </w:r>
    </w:p>
    <w:p w14:paraId="0DF242E3" w14:textId="77777777" w:rsidR="002B169F" w:rsidRPr="00375059" w:rsidRDefault="002B169F"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сельское хозяйство в 2021 году было инвестировано 225,8 млн руб. </w:t>
      </w:r>
      <w:r w:rsidRPr="00375059">
        <w:rPr>
          <w:rFonts w:ascii="Times New Roman" w:hAnsi="Times New Roman"/>
          <w:sz w:val="28"/>
          <w:szCs w:val="28"/>
        </w:rPr>
        <w:br/>
        <w:t>(-18,1% к уровню 2020 года). Так, при поддержке со стороны государства посредством субсидирования части процентной ставки были прокредитованы проекты 20 сельхозпроизводителей (включая крестьянские (фермерские) хозяйства) на общую сумму, эквивалентную 100,3 млн руб.</w:t>
      </w:r>
    </w:p>
    <w:p w14:paraId="21FCC7BF" w14:textId="77777777" w:rsidR="002B169F" w:rsidRPr="00375059" w:rsidRDefault="002B169F"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Среди сельскохозяйственных предприятий, инвестировавших финансовые средства в перспективные направления, наибольшая доля пришлась на:</w:t>
      </w:r>
    </w:p>
    <w:p w14:paraId="7987B696" w14:textId="46FD05BA" w:rsidR="002B169F" w:rsidRPr="00375059" w:rsidRDefault="00504995"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ООО «</w:t>
      </w:r>
      <w:proofErr w:type="spellStart"/>
      <w:r w:rsidR="002B169F" w:rsidRPr="00375059">
        <w:rPr>
          <w:rFonts w:ascii="Times New Roman" w:hAnsi="Times New Roman"/>
          <w:sz w:val="28"/>
          <w:szCs w:val="28"/>
        </w:rPr>
        <w:t>Фиальт</w:t>
      </w:r>
      <w:proofErr w:type="spellEnd"/>
      <w:r w:rsidR="002B169F" w:rsidRPr="00375059">
        <w:rPr>
          <w:rFonts w:ascii="Times New Roman" w:hAnsi="Times New Roman"/>
          <w:sz w:val="28"/>
          <w:szCs w:val="28"/>
        </w:rPr>
        <w:t xml:space="preserve">-Агро» </w:t>
      </w:r>
      <w:r w:rsidRPr="00375059">
        <w:rPr>
          <w:rFonts w:ascii="Times New Roman" w:hAnsi="Times New Roman"/>
          <w:sz w:val="28"/>
          <w:szCs w:val="28"/>
        </w:rPr>
        <w:t>–</w:t>
      </w:r>
      <w:r w:rsidR="002B169F" w:rsidRPr="00375059">
        <w:rPr>
          <w:rFonts w:ascii="Times New Roman" w:hAnsi="Times New Roman"/>
          <w:sz w:val="28"/>
          <w:szCs w:val="28"/>
        </w:rPr>
        <w:t xml:space="preserve"> 24,5% всех вложений по аграрному сектору, +20,7% в абсолютном выражении;</w:t>
      </w:r>
    </w:p>
    <w:p w14:paraId="66748E47" w14:textId="03F28E98" w:rsidR="002B169F" w:rsidRPr="00375059" w:rsidRDefault="00504995"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ЗАО «Тираспольский комбинат хлебопродуктов» </w:t>
      </w:r>
      <w:r w:rsidRPr="00375059">
        <w:rPr>
          <w:rFonts w:ascii="Times New Roman" w:hAnsi="Times New Roman"/>
          <w:sz w:val="28"/>
          <w:szCs w:val="28"/>
        </w:rPr>
        <w:t>–</w:t>
      </w:r>
      <w:r w:rsidR="002B169F" w:rsidRPr="00375059">
        <w:rPr>
          <w:rFonts w:ascii="Times New Roman" w:hAnsi="Times New Roman"/>
          <w:sz w:val="28"/>
          <w:szCs w:val="28"/>
        </w:rPr>
        <w:t xml:space="preserve"> 14,9%, +8,6% </w:t>
      </w:r>
      <w:r w:rsidR="002B169F" w:rsidRPr="00375059">
        <w:rPr>
          <w:rFonts w:ascii="Times New Roman" w:hAnsi="Times New Roman"/>
          <w:sz w:val="28"/>
          <w:szCs w:val="28"/>
        </w:rPr>
        <w:lastRenderedPageBreak/>
        <w:t>соответственно;</w:t>
      </w:r>
    </w:p>
    <w:p w14:paraId="20832850" w14:textId="32D9834C" w:rsidR="002B169F" w:rsidRPr="00375059" w:rsidRDefault="00504995"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ООО «Агро Компакт» </w:t>
      </w:r>
      <w:r w:rsidRPr="00375059">
        <w:rPr>
          <w:rFonts w:ascii="Times New Roman" w:hAnsi="Times New Roman"/>
          <w:sz w:val="28"/>
          <w:szCs w:val="28"/>
        </w:rPr>
        <w:t>–</w:t>
      </w:r>
      <w:r w:rsidR="002B169F" w:rsidRPr="00375059">
        <w:rPr>
          <w:rFonts w:ascii="Times New Roman" w:hAnsi="Times New Roman"/>
          <w:sz w:val="28"/>
          <w:szCs w:val="28"/>
        </w:rPr>
        <w:t xml:space="preserve"> 14,7%, +18,9% соответственно;</w:t>
      </w:r>
    </w:p>
    <w:p w14:paraId="62AE5BD4" w14:textId="05D71E26" w:rsidR="002B169F" w:rsidRPr="00375059" w:rsidRDefault="00504995" w:rsidP="00863ADB">
      <w:pPr>
        <w:widowControl w:val="0"/>
        <w:spacing w:after="0" w:line="240" w:lineRule="auto"/>
        <w:ind w:firstLine="567"/>
        <w:jc w:val="both"/>
        <w:rPr>
          <w:rFonts w:ascii="Times New Roman" w:hAnsi="Times New Roman"/>
          <w:b/>
          <w:bCs/>
          <w:sz w:val="28"/>
          <w:szCs w:val="28"/>
          <w:u w:val="single"/>
        </w:rPr>
      </w:pPr>
      <w:r w:rsidRPr="00375059">
        <w:rPr>
          <w:rFonts w:ascii="Times New Roman" w:hAnsi="Times New Roman"/>
          <w:sz w:val="28"/>
          <w:szCs w:val="28"/>
        </w:rPr>
        <w:t>–</w:t>
      </w:r>
      <w:r w:rsidR="002B169F" w:rsidRPr="00375059">
        <w:rPr>
          <w:rFonts w:ascii="Times New Roman" w:hAnsi="Times New Roman"/>
          <w:sz w:val="28"/>
          <w:szCs w:val="28"/>
        </w:rPr>
        <w:t xml:space="preserve"> ЗАО «Каменский консервный завод» </w:t>
      </w:r>
      <w:r w:rsidRPr="00375059">
        <w:rPr>
          <w:rFonts w:ascii="Times New Roman" w:hAnsi="Times New Roman"/>
          <w:sz w:val="28"/>
          <w:szCs w:val="28"/>
        </w:rPr>
        <w:t>–</w:t>
      </w:r>
      <w:r w:rsidR="002B169F" w:rsidRPr="00375059">
        <w:rPr>
          <w:rFonts w:ascii="Times New Roman" w:hAnsi="Times New Roman"/>
          <w:sz w:val="28"/>
          <w:szCs w:val="28"/>
        </w:rPr>
        <w:t xml:space="preserve"> 7,8%, в 126 раз.</w:t>
      </w:r>
    </w:p>
    <w:p w14:paraId="5605BAE4" w14:textId="77777777" w:rsidR="002B169F" w:rsidRPr="00375059" w:rsidRDefault="002B169F"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сопоставлении с урезанными в </w:t>
      </w:r>
      <w:proofErr w:type="spellStart"/>
      <w:r w:rsidRPr="00375059">
        <w:rPr>
          <w:rFonts w:ascii="Times New Roman" w:hAnsi="Times New Roman"/>
          <w:sz w:val="28"/>
          <w:szCs w:val="28"/>
        </w:rPr>
        <w:t>пандемийное</w:t>
      </w:r>
      <w:proofErr w:type="spellEnd"/>
      <w:r w:rsidRPr="00375059">
        <w:rPr>
          <w:rFonts w:ascii="Times New Roman" w:hAnsi="Times New Roman"/>
          <w:sz w:val="28"/>
          <w:szCs w:val="28"/>
        </w:rPr>
        <w:t xml:space="preserve"> время инвестиционными сметами шла интенсивная модернизация организаций связи (рост в 1,9 раза до 107,4 млн руб.) и строительства (+28,0% до 9,2 млн руб.). Объем льготного кредитования строительных организаций в 2021 году составил 2,3 млн руб.               (2 льготных кредита).</w:t>
      </w:r>
    </w:p>
    <w:p w14:paraId="34DFA5BB" w14:textId="083265E8" w:rsidR="002B169F" w:rsidRPr="00375059" w:rsidRDefault="002B169F" w:rsidP="00863ADB">
      <w:pPr>
        <w:tabs>
          <w:tab w:val="left" w:pos="993"/>
        </w:tabs>
        <w:spacing w:after="0" w:line="240" w:lineRule="auto"/>
        <w:ind w:firstLine="567"/>
        <w:jc w:val="both"/>
        <w:rPr>
          <w:rFonts w:ascii="Times New Roman" w:hAnsi="Times New Roman"/>
          <w:sz w:val="28"/>
          <w:szCs w:val="28"/>
          <w:lang w:eastAsia="en-US"/>
        </w:rPr>
      </w:pPr>
      <w:r w:rsidRPr="00375059">
        <w:rPr>
          <w:rFonts w:ascii="Times New Roman" w:hAnsi="Times New Roman"/>
          <w:spacing w:val="2"/>
          <w:sz w:val="28"/>
          <w:szCs w:val="28"/>
        </w:rPr>
        <w:t>В целях развития и расширения своих торговых площадей, субъекты торговли и общественного питания в 2021 году направили на долгосрочное развитие 203,6 млн руб. (+48,4% к уровню 2020 года)</w:t>
      </w:r>
      <w:r w:rsidRPr="00375059">
        <w:rPr>
          <w:rFonts w:ascii="Times New Roman" w:hAnsi="Times New Roman"/>
          <w:sz w:val="28"/>
          <w:szCs w:val="28"/>
          <w:lang w:eastAsia="en-US"/>
        </w:rPr>
        <w:t xml:space="preserve">. </w:t>
      </w:r>
      <w:r w:rsidRPr="00375059">
        <w:rPr>
          <w:rFonts w:ascii="Times New Roman" w:hAnsi="Times New Roman"/>
          <w:spacing w:val="2"/>
          <w:sz w:val="28"/>
          <w:szCs w:val="28"/>
        </w:rPr>
        <w:t xml:space="preserve">При этом </w:t>
      </w:r>
      <w:r w:rsidRPr="00375059">
        <w:rPr>
          <w:rFonts w:ascii="Times New Roman" w:hAnsi="Times New Roman"/>
          <w:sz w:val="28"/>
          <w:szCs w:val="28"/>
          <w:lang w:eastAsia="en-US"/>
        </w:rPr>
        <w:t xml:space="preserve">наибольший объем освоен ООО «Шериф» (75,1% всех инвестиций по отрасли, рост в </w:t>
      </w:r>
      <w:r w:rsidR="00A83117">
        <w:rPr>
          <w:rFonts w:ascii="Times New Roman" w:hAnsi="Times New Roman"/>
          <w:sz w:val="28"/>
          <w:szCs w:val="28"/>
          <w:lang w:eastAsia="en-US"/>
        </w:rPr>
        <w:br/>
      </w:r>
      <w:r w:rsidRPr="00375059">
        <w:rPr>
          <w:rFonts w:ascii="Times New Roman" w:hAnsi="Times New Roman"/>
          <w:sz w:val="28"/>
          <w:szCs w:val="28"/>
          <w:lang w:eastAsia="en-US"/>
        </w:rPr>
        <w:t xml:space="preserve">1,8 раза </w:t>
      </w:r>
      <w:r w:rsidRPr="00375059">
        <w:rPr>
          <w:rFonts w:ascii="Times New Roman" w:hAnsi="Times New Roman"/>
          <w:sz w:val="28"/>
          <w:szCs w:val="28"/>
        </w:rPr>
        <w:t>к базисной отметке</w:t>
      </w:r>
      <w:r w:rsidRPr="00375059">
        <w:rPr>
          <w:rFonts w:ascii="Times New Roman" w:hAnsi="Times New Roman"/>
          <w:sz w:val="28"/>
          <w:szCs w:val="28"/>
          <w:lang w:eastAsia="en-US"/>
        </w:rPr>
        <w:t>), ООО «Хайтек» (9,1%, снижение</w:t>
      </w:r>
      <w:r w:rsidRPr="00375059">
        <w:rPr>
          <w:rFonts w:ascii="Times New Roman" w:hAnsi="Times New Roman"/>
          <w:sz w:val="28"/>
          <w:szCs w:val="28"/>
        </w:rPr>
        <w:t xml:space="preserve"> на 22,4%</w:t>
      </w:r>
      <w:r w:rsidRPr="00375059">
        <w:rPr>
          <w:rFonts w:ascii="Times New Roman" w:hAnsi="Times New Roman"/>
          <w:sz w:val="28"/>
          <w:szCs w:val="28"/>
          <w:lang w:eastAsia="en-US"/>
        </w:rPr>
        <w:t>).</w:t>
      </w:r>
    </w:p>
    <w:p w14:paraId="02E5B5CD" w14:textId="77777777" w:rsidR="002B169F" w:rsidRPr="00375059" w:rsidRDefault="002B169F" w:rsidP="00863ADB">
      <w:pPr>
        <w:spacing w:after="0" w:line="240" w:lineRule="auto"/>
        <w:ind w:firstLine="567"/>
        <w:jc w:val="both"/>
        <w:rPr>
          <w:rFonts w:ascii="Times New Roman" w:hAnsi="Times New Roman"/>
          <w:sz w:val="28"/>
          <w:szCs w:val="28"/>
        </w:rPr>
      </w:pPr>
      <w:r w:rsidRPr="00375059">
        <w:rPr>
          <w:rFonts w:ascii="Times New Roman" w:hAnsi="Times New Roman"/>
          <w:color w:val="000000"/>
          <w:sz w:val="28"/>
          <w:szCs w:val="28"/>
        </w:rPr>
        <w:t xml:space="preserve">При сохранении высокого приоритета социальных проектов на государственном уровне была </w:t>
      </w:r>
      <w:r w:rsidRPr="00375059">
        <w:rPr>
          <w:rFonts w:ascii="Times New Roman" w:hAnsi="Times New Roman"/>
          <w:sz w:val="28"/>
          <w:szCs w:val="28"/>
        </w:rPr>
        <w:t xml:space="preserve">продолжена работа по вводу в действие и ремонту объектов </w:t>
      </w:r>
      <w:r w:rsidRPr="00375059">
        <w:rPr>
          <w:rFonts w:ascii="Times New Roman" w:hAnsi="Times New Roman"/>
          <w:spacing w:val="2"/>
          <w:sz w:val="28"/>
          <w:szCs w:val="28"/>
        </w:rPr>
        <w:t xml:space="preserve">здравоохранения – </w:t>
      </w:r>
      <w:r w:rsidRPr="00375059">
        <w:rPr>
          <w:rFonts w:ascii="Times New Roman" w:hAnsi="Times New Roman"/>
          <w:sz w:val="28"/>
          <w:szCs w:val="28"/>
        </w:rPr>
        <w:t>инвестиции в отрасли сложились на уровне 77,1 млн руб. (+21,3%).</w:t>
      </w:r>
    </w:p>
    <w:p w14:paraId="417C3C29" w14:textId="28AC5074" w:rsidR="002B169F" w:rsidRPr="00375059" w:rsidRDefault="002B169F" w:rsidP="00863ADB">
      <w:pPr>
        <w:spacing w:after="0" w:line="240" w:lineRule="auto"/>
        <w:ind w:firstLine="567"/>
        <w:jc w:val="both"/>
        <w:rPr>
          <w:rFonts w:ascii="Times New Roman" w:hAnsi="Times New Roman"/>
          <w:sz w:val="28"/>
          <w:szCs w:val="28"/>
        </w:rPr>
      </w:pPr>
      <w:r w:rsidRPr="00375059">
        <w:rPr>
          <w:rFonts w:ascii="Times New Roman" w:hAnsi="Times New Roman"/>
          <w:color w:val="000000"/>
          <w:sz w:val="28"/>
          <w:szCs w:val="28"/>
        </w:rPr>
        <w:t xml:space="preserve">После реализации в базисном году </w:t>
      </w:r>
      <w:r w:rsidRPr="00375059">
        <w:rPr>
          <w:rFonts w:ascii="Times New Roman" w:hAnsi="Times New Roman"/>
          <w:sz w:val="28"/>
          <w:szCs w:val="28"/>
        </w:rPr>
        <w:t xml:space="preserve">комплекса мероприятий, направленных на </w:t>
      </w:r>
      <w:r w:rsidRPr="00375059">
        <w:rPr>
          <w:rFonts w:ascii="Times New Roman" w:hAnsi="Times New Roman"/>
          <w:spacing w:val="2"/>
          <w:sz w:val="28"/>
          <w:szCs w:val="28"/>
        </w:rPr>
        <w:t xml:space="preserve">развитие инфраструктуры </w:t>
      </w:r>
      <w:r w:rsidRPr="00375059">
        <w:rPr>
          <w:rFonts w:ascii="Times New Roman" w:hAnsi="Times New Roman"/>
          <w:sz w:val="28"/>
          <w:szCs w:val="28"/>
        </w:rPr>
        <w:t>сферы образования, необходимой для обеспечения дистанционного обучения (рост вложений в 2020 году составил 2,4 раза), в отчетном периоде было зафиксировано снижение вложений в отрасль на 41,2% до 49,9 млн руб.</w:t>
      </w:r>
    </w:p>
    <w:p w14:paraId="561CBDB3" w14:textId="77777777" w:rsidR="002B169F" w:rsidRPr="00375059" w:rsidRDefault="002B169F" w:rsidP="00863AD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2021 году в сфере транспорта на капитальные вложения направлено 67,7 млн руб. </w:t>
      </w:r>
      <w:r w:rsidRPr="00375059">
        <w:rPr>
          <w:rFonts w:ascii="Times New Roman" w:hAnsi="Times New Roman"/>
          <w:spacing w:val="2"/>
          <w:sz w:val="28"/>
          <w:szCs w:val="28"/>
        </w:rPr>
        <w:t>(-</w:t>
      </w:r>
      <w:r w:rsidRPr="00375059">
        <w:rPr>
          <w:rFonts w:ascii="Times New Roman" w:hAnsi="Times New Roman"/>
          <w:sz w:val="28"/>
          <w:szCs w:val="28"/>
        </w:rPr>
        <w:t>6,7%).</w:t>
      </w:r>
    </w:p>
    <w:p w14:paraId="27A64D7A" w14:textId="77777777" w:rsidR="002B169F" w:rsidRPr="00375059" w:rsidRDefault="002B169F" w:rsidP="00863ADB">
      <w:pPr>
        <w:widowControl w:val="0"/>
        <w:tabs>
          <w:tab w:val="left" w:pos="993"/>
        </w:tabs>
        <w:spacing w:after="0" w:line="240" w:lineRule="auto"/>
        <w:ind w:firstLine="567"/>
        <w:jc w:val="both"/>
        <w:rPr>
          <w:rFonts w:ascii="Times New Roman" w:hAnsi="Times New Roman"/>
          <w:sz w:val="28"/>
          <w:szCs w:val="28"/>
        </w:rPr>
      </w:pPr>
      <w:r w:rsidRPr="00375059">
        <w:rPr>
          <w:rFonts w:ascii="Times New Roman" w:hAnsi="Times New Roman"/>
          <w:sz w:val="28"/>
          <w:szCs w:val="28"/>
        </w:rPr>
        <w:t>В рамках поиска источников внешних инвестиций и прямой работы с инвесторами в 2021 году было заключено 3 инвестиционных договора на общую сумму 2,8 млн евро, реализация которых предполагает создание 30 новых рабочих мест:</w:t>
      </w:r>
    </w:p>
    <w:p w14:paraId="31F705CE" w14:textId="77777777" w:rsidR="002B169F" w:rsidRPr="00375059" w:rsidRDefault="002B169F" w:rsidP="00863ADB">
      <w:pPr>
        <w:pStyle w:val="a3"/>
        <w:widowControl w:val="0"/>
        <w:numPr>
          <w:ilvl w:val="0"/>
          <w:numId w:val="4"/>
        </w:numPr>
        <w:tabs>
          <w:tab w:val="left" w:pos="993"/>
        </w:tabs>
        <w:spacing w:after="0" w:line="240" w:lineRule="auto"/>
        <w:ind w:left="0" w:firstLine="567"/>
        <w:jc w:val="both"/>
        <w:rPr>
          <w:rFonts w:ascii="Times New Roman" w:hAnsi="Times New Roman"/>
          <w:sz w:val="28"/>
          <w:szCs w:val="28"/>
        </w:rPr>
      </w:pPr>
      <w:r w:rsidRPr="00375059">
        <w:rPr>
          <w:rFonts w:ascii="Times New Roman" w:hAnsi="Times New Roman"/>
          <w:sz w:val="28"/>
          <w:szCs w:val="28"/>
        </w:rPr>
        <w:t>строительство завода по производству цинкового концентрата, сумма инвестиционных вложений – 2,1 млн евро;</w:t>
      </w:r>
    </w:p>
    <w:p w14:paraId="6CA68A6C" w14:textId="77777777" w:rsidR="002B169F" w:rsidRPr="00375059" w:rsidRDefault="002B169F" w:rsidP="00863ADB">
      <w:pPr>
        <w:pStyle w:val="a3"/>
        <w:widowControl w:val="0"/>
        <w:numPr>
          <w:ilvl w:val="0"/>
          <w:numId w:val="4"/>
        </w:numPr>
        <w:tabs>
          <w:tab w:val="left" w:pos="993"/>
        </w:tabs>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производство свай из железобетона предполагает инвестиционные вложения в сумме 300 тыс. евро;</w:t>
      </w:r>
    </w:p>
    <w:p w14:paraId="4C19423A" w14:textId="0B330F84" w:rsidR="002B169F" w:rsidRPr="00375059" w:rsidRDefault="002B169F" w:rsidP="00863ADB">
      <w:pPr>
        <w:pStyle w:val="a3"/>
        <w:widowControl w:val="0"/>
        <w:numPr>
          <w:ilvl w:val="0"/>
          <w:numId w:val="4"/>
        </w:numPr>
        <w:tabs>
          <w:tab w:val="left" w:pos="993"/>
        </w:tabs>
        <w:spacing w:after="0" w:line="240" w:lineRule="auto"/>
        <w:ind w:left="0" w:firstLine="567"/>
        <w:jc w:val="both"/>
        <w:rPr>
          <w:rFonts w:ascii="Times New Roman" w:hAnsi="Times New Roman"/>
          <w:sz w:val="28"/>
          <w:szCs w:val="28"/>
        </w:rPr>
      </w:pPr>
      <w:r w:rsidRPr="00375059">
        <w:rPr>
          <w:rFonts w:ascii="Times New Roman" w:hAnsi="Times New Roman"/>
          <w:sz w:val="28"/>
          <w:szCs w:val="28"/>
        </w:rPr>
        <w:t xml:space="preserve">проект по производству фасованной арматуры и арматурных каркасов в качестве финансовых вложений – планируемая сумма инвестиции </w:t>
      </w:r>
      <w:r w:rsidR="008021EF" w:rsidRPr="00375059">
        <w:rPr>
          <w:rFonts w:ascii="Times New Roman" w:hAnsi="Times New Roman"/>
          <w:sz w:val="28"/>
          <w:szCs w:val="28"/>
        </w:rPr>
        <w:t>–</w:t>
      </w:r>
      <w:r w:rsidRPr="00375059">
        <w:rPr>
          <w:rFonts w:ascii="Times New Roman" w:hAnsi="Times New Roman"/>
          <w:sz w:val="28"/>
          <w:szCs w:val="28"/>
        </w:rPr>
        <w:t xml:space="preserve"> 311,7 тыс. евро.</w:t>
      </w:r>
    </w:p>
    <w:p w14:paraId="000E819E" w14:textId="77777777" w:rsidR="002B169F" w:rsidRPr="00375059" w:rsidRDefault="002B169F" w:rsidP="00863ADB">
      <w:pPr>
        <w:widowControl w:val="0"/>
        <w:tabs>
          <w:tab w:val="left" w:pos="0"/>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Весомый вклад в развитие экономики вносит реализация инвестиционных программ и мероприятий в рамках Фонда капитальных вложений. В соответствии с Законом Приднестровской Молдавской Республики </w:t>
      </w:r>
      <w:r w:rsidRPr="00375059">
        <w:rPr>
          <w:rFonts w:ascii="Times New Roman" w:hAnsi="Times New Roman"/>
          <w:sz w:val="28"/>
          <w:szCs w:val="28"/>
          <w:shd w:val="clear" w:color="auto" w:fill="FFFFFF"/>
        </w:rPr>
        <w:t xml:space="preserve">«О республиканском бюджете на 2021 год» </w:t>
      </w:r>
      <w:r w:rsidRPr="00375059">
        <w:rPr>
          <w:rFonts w:ascii="Times New Roman" w:hAnsi="Times New Roman"/>
          <w:sz w:val="28"/>
          <w:szCs w:val="28"/>
        </w:rPr>
        <w:t>смета расходов Фонда капитальных вложений Приднестровской Молдавской Республики была утверждена в сумме 316,4 млн руб. в разрезе следующих программ:</w:t>
      </w:r>
    </w:p>
    <w:p w14:paraId="478F3602" w14:textId="77777777" w:rsidR="002B169F" w:rsidRPr="00375059" w:rsidRDefault="002B169F" w:rsidP="00863ADB">
      <w:pPr>
        <w:spacing w:after="0" w:line="240" w:lineRule="auto"/>
        <w:ind w:firstLine="567"/>
        <w:jc w:val="both"/>
        <w:rPr>
          <w:rStyle w:val="a8"/>
          <w:rFonts w:ascii="Times New Roman" w:hAnsi="Times New Roman"/>
          <w:bCs/>
          <w:sz w:val="28"/>
          <w:szCs w:val="28"/>
        </w:rPr>
      </w:pPr>
      <w:r w:rsidRPr="00375059">
        <w:rPr>
          <w:rStyle w:val="a8"/>
          <w:rFonts w:ascii="Times New Roman" w:hAnsi="Times New Roman"/>
          <w:b w:val="0"/>
          <w:bCs/>
          <w:sz w:val="28"/>
          <w:szCs w:val="28"/>
        </w:rPr>
        <w:t>а) капитальных вложений и капитального ремонта – 259,5</w:t>
      </w:r>
      <w:r w:rsidRPr="00375059">
        <w:rPr>
          <w:rFonts w:ascii="Times New Roman" w:hAnsi="Times New Roman"/>
          <w:sz w:val="28"/>
          <w:szCs w:val="28"/>
        </w:rPr>
        <w:t xml:space="preserve"> млн руб. (фактически профинансировано 247,1 млн руб.);</w:t>
      </w:r>
    </w:p>
    <w:p w14:paraId="5C17B9A0" w14:textId="77777777" w:rsidR="002B169F" w:rsidRPr="00375059" w:rsidRDefault="002B169F" w:rsidP="00863ADB">
      <w:pPr>
        <w:spacing w:after="0" w:line="240" w:lineRule="auto"/>
        <w:ind w:firstLine="567"/>
        <w:jc w:val="both"/>
        <w:rPr>
          <w:rFonts w:ascii="Times New Roman" w:hAnsi="Times New Roman"/>
          <w:sz w:val="28"/>
          <w:szCs w:val="28"/>
        </w:rPr>
      </w:pPr>
      <w:r w:rsidRPr="00375059">
        <w:rPr>
          <w:rStyle w:val="a8"/>
          <w:rFonts w:ascii="Times New Roman" w:hAnsi="Times New Roman"/>
          <w:b w:val="0"/>
          <w:bCs/>
          <w:sz w:val="28"/>
          <w:szCs w:val="28"/>
        </w:rPr>
        <w:t>б) развития материально-технической базы – 44,4</w:t>
      </w:r>
      <w:r w:rsidRPr="00375059">
        <w:rPr>
          <w:rStyle w:val="a8"/>
          <w:rFonts w:ascii="Times New Roman" w:hAnsi="Times New Roman"/>
          <w:bCs/>
          <w:sz w:val="28"/>
          <w:szCs w:val="28"/>
        </w:rPr>
        <w:t xml:space="preserve"> </w:t>
      </w:r>
      <w:r w:rsidRPr="00375059">
        <w:rPr>
          <w:rFonts w:ascii="Times New Roman" w:hAnsi="Times New Roman"/>
          <w:sz w:val="28"/>
          <w:szCs w:val="28"/>
        </w:rPr>
        <w:t>млн руб. (фактически профинансировано 37,1 млн руб.);</w:t>
      </w:r>
    </w:p>
    <w:p w14:paraId="153920DE" w14:textId="77777777" w:rsidR="002B169F" w:rsidRPr="00375059" w:rsidRDefault="002B169F" w:rsidP="00863ADB">
      <w:pPr>
        <w:widowControl w:val="0"/>
        <w:shd w:val="clear" w:color="auto" w:fill="FFFFFF"/>
        <w:spacing w:after="0" w:line="240" w:lineRule="auto"/>
        <w:ind w:firstLine="567"/>
        <w:jc w:val="both"/>
        <w:rPr>
          <w:rFonts w:ascii="Times New Roman" w:hAnsi="Times New Roman"/>
          <w:sz w:val="28"/>
          <w:szCs w:val="28"/>
        </w:rPr>
      </w:pPr>
      <w:r w:rsidRPr="00375059">
        <w:rPr>
          <w:rStyle w:val="a8"/>
          <w:rFonts w:ascii="Times New Roman" w:hAnsi="Times New Roman"/>
          <w:b w:val="0"/>
          <w:bCs/>
          <w:sz w:val="28"/>
          <w:szCs w:val="28"/>
        </w:rPr>
        <w:lastRenderedPageBreak/>
        <w:t>в) исполнения наказов избирателей – 11,7</w:t>
      </w:r>
      <w:r w:rsidRPr="00375059">
        <w:rPr>
          <w:rStyle w:val="a8"/>
          <w:rFonts w:ascii="Times New Roman" w:hAnsi="Times New Roman"/>
          <w:bCs/>
          <w:sz w:val="28"/>
          <w:szCs w:val="28"/>
        </w:rPr>
        <w:t> </w:t>
      </w:r>
      <w:r w:rsidRPr="00375059">
        <w:rPr>
          <w:rFonts w:ascii="Times New Roman" w:hAnsi="Times New Roman"/>
          <w:sz w:val="28"/>
          <w:szCs w:val="28"/>
        </w:rPr>
        <w:t>млн руб. (фактически профинансировано 11,5 млн руб.);</w:t>
      </w:r>
    </w:p>
    <w:p w14:paraId="4BAEB426" w14:textId="77777777" w:rsidR="002B169F" w:rsidRPr="00375059" w:rsidRDefault="002B169F" w:rsidP="00863ADB">
      <w:pPr>
        <w:widowControl w:val="0"/>
        <w:shd w:val="clear" w:color="auto" w:fill="FFFFFF"/>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 xml:space="preserve">г) пожарной безопасности объектов социально-культурного назначения - 0,8 млн руб. </w:t>
      </w:r>
      <w:r w:rsidRPr="00375059">
        <w:rPr>
          <w:rFonts w:ascii="Times New Roman" w:hAnsi="Times New Roman"/>
          <w:sz w:val="28"/>
          <w:szCs w:val="28"/>
        </w:rPr>
        <w:t>(фактически профинансировано 0,7 млн руб.).</w:t>
      </w:r>
    </w:p>
    <w:p w14:paraId="0841E4EF" w14:textId="77777777" w:rsidR="002B169F" w:rsidRPr="00375059" w:rsidRDefault="002B169F" w:rsidP="00863ADB">
      <w:pPr>
        <w:widowControl w:val="0"/>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В рамках наиболее масштабной программы Фонда капитальных вложений в 2021 году было предусмотрено финансирование строительства и ремонта социальных объектов, в числе которых:</w:t>
      </w:r>
    </w:p>
    <w:p w14:paraId="62F8511B" w14:textId="6879DAA3" w:rsidR="002B169F" w:rsidRPr="00375059" w:rsidRDefault="00504995" w:rsidP="00863ADB">
      <w:pPr>
        <w:widowControl w:val="0"/>
        <w:tabs>
          <w:tab w:val="left" w:pos="993"/>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72 объектов здравоохранения на 44,4 млн руб.;</w:t>
      </w:r>
    </w:p>
    <w:p w14:paraId="6B4C600F" w14:textId="3DC34F9F" w:rsidR="002B169F" w:rsidRPr="00375059" w:rsidRDefault="00504995" w:rsidP="00863ADB">
      <w:pPr>
        <w:widowControl w:val="0"/>
        <w:tabs>
          <w:tab w:val="left" w:pos="993"/>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26 объектов образования на 85,3 млн руб.;</w:t>
      </w:r>
    </w:p>
    <w:p w14:paraId="6C0E04D3" w14:textId="629A41F5" w:rsidR="002B169F" w:rsidRPr="00375059" w:rsidRDefault="00504995" w:rsidP="00863ADB">
      <w:pPr>
        <w:widowControl w:val="0"/>
        <w:tabs>
          <w:tab w:val="left" w:pos="993"/>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20 объектов культуры, спорта, детских площадок на 28,5 млн руб.; </w:t>
      </w:r>
    </w:p>
    <w:p w14:paraId="70DC09B6" w14:textId="00429EC1" w:rsidR="002B169F" w:rsidRPr="00375059" w:rsidRDefault="00504995" w:rsidP="00863ADB">
      <w:pPr>
        <w:widowControl w:val="0"/>
        <w:tabs>
          <w:tab w:val="left" w:pos="567"/>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 </w:t>
      </w:r>
      <w:r w:rsidR="002B169F" w:rsidRPr="00375059">
        <w:rPr>
          <w:rFonts w:ascii="Times New Roman" w:hAnsi="Times New Roman"/>
          <w:sz w:val="28"/>
          <w:szCs w:val="28"/>
        </w:rPr>
        <w:t>19 объектов социальной инфраструктуры (парки, зоны отдыха) на 69,6 млн руб.;</w:t>
      </w:r>
    </w:p>
    <w:p w14:paraId="446D7D15" w14:textId="16D0F0C3" w:rsidR="002B169F" w:rsidRPr="00375059" w:rsidRDefault="00504995" w:rsidP="00863ADB">
      <w:pPr>
        <w:widowControl w:val="0"/>
        <w:tabs>
          <w:tab w:val="left" w:pos="567"/>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ab/>
      </w:r>
      <w:r w:rsidRPr="00375059">
        <w:rPr>
          <w:rFonts w:ascii="Times New Roman" w:hAnsi="Times New Roman"/>
          <w:sz w:val="28"/>
          <w:szCs w:val="28"/>
        </w:rPr>
        <w:t xml:space="preserve"> </w:t>
      </w:r>
      <w:r w:rsidR="002B169F" w:rsidRPr="00375059">
        <w:rPr>
          <w:rFonts w:ascii="Times New Roman" w:hAnsi="Times New Roman"/>
          <w:sz w:val="28"/>
          <w:szCs w:val="28"/>
        </w:rPr>
        <w:t>7 объектов социальной реабилитации на 6,5 млн руб.;</w:t>
      </w:r>
    </w:p>
    <w:p w14:paraId="3764731C" w14:textId="75C32A3A" w:rsidR="002B169F" w:rsidRPr="00375059" w:rsidRDefault="008021EF" w:rsidP="00863ADB">
      <w:pPr>
        <w:widowControl w:val="0"/>
        <w:tabs>
          <w:tab w:val="left" w:pos="567"/>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B169F" w:rsidRPr="00375059">
        <w:rPr>
          <w:rFonts w:ascii="Times New Roman" w:hAnsi="Times New Roman"/>
          <w:sz w:val="28"/>
          <w:szCs w:val="28"/>
        </w:rPr>
        <w:t xml:space="preserve"> 3 объекта инфраструктуры на 1,5 млн руб.</w:t>
      </w:r>
    </w:p>
    <w:p w14:paraId="23A0C2E7" w14:textId="77777777" w:rsidR="002B169F" w:rsidRPr="00375059" w:rsidRDefault="002B169F" w:rsidP="00863ADB">
      <w:pPr>
        <w:widowControl w:val="0"/>
        <w:tabs>
          <w:tab w:val="left" w:pos="567"/>
        </w:tabs>
        <w:spacing w:after="0" w:line="240" w:lineRule="auto"/>
        <w:ind w:firstLine="567"/>
        <w:jc w:val="both"/>
        <w:rPr>
          <w:rFonts w:ascii="Times New Roman" w:hAnsi="Times New Roman"/>
          <w:sz w:val="28"/>
          <w:szCs w:val="28"/>
        </w:rPr>
      </w:pPr>
      <w:r w:rsidRPr="00375059">
        <w:rPr>
          <w:rFonts w:ascii="Times New Roman" w:hAnsi="Times New Roman"/>
          <w:sz w:val="28"/>
          <w:szCs w:val="28"/>
        </w:rPr>
        <w:t>Кроме того, продолжилась реализация второго этапа Программы «Завершение строительства недостроенных жилых объектов на долевом участии в Приднестровской Молдавской Республике на 2019-2025 годы», в рамках которой в 2021 году были сданы в эксплуатацию 2 дома:</w:t>
      </w:r>
    </w:p>
    <w:p w14:paraId="6961E791" w14:textId="38FC4E15" w:rsidR="002B169F" w:rsidRPr="00375059" w:rsidRDefault="002B169F" w:rsidP="00863ADB">
      <w:pPr>
        <w:widowControl w:val="0"/>
        <w:tabs>
          <w:tab w:val="left" w:pos="567"/>
        </w:tabs>
        <w:spacing w:after="0" w:line="240" w:lineRule="auto"/>
        <w:ind w:firstLine="567"/>
        <w:jc w:val="both"/>
        <w:rPr>
          <w:rFonts w:ascii="Times New Roman" w:hAnsi="Times New Roman"/>
          <w:sz w:val="28"/>
          <w:szCs w:val="28"/>
        </w:rPr>
      </w:pPr>
      <w:r w:rsidRPr="00375059">
        <w:rPr>
          <w:rFonts w:ascii="Times New Roman" w:hAnsi="Times New Roman"/>
          <w:sz w:val="28"/>
          <w:szCs w:val="28"/>
        </w:rPr>
        <w:t>1)</w:t>
      </w:r>
      <w:r w:rsidR="00504995" w:rsidRPr="00375059">
        <w:rPr>
          <w:rFonts w:ascii="Times New Roman" w:hAnsi="Times New Roman"/>
          <w:sz w:val="28"/>
          <w:szCs w:val="28"/>
        </w:rPr>
        <w:t xml:space="preserve"> </w:t>
      </w:r>
      <w:r w:rsidRPr="00375059">
        <w:rPr>
          <w:rFonts w:ascii="Times New Roman" w:hAnsi="Times New Roman"/>
          <w:sz w:val="28"/>
          <w:szCs w:val="28"/>
        </w:rPr>
        <w:t>город Бендеры, улица Кишиневская, дом 117, ПК «ЖСК Юг-2» – 60 квартир - общая площадь 3 423 кв. м, что обеспечит потребность в жилье 198 человек;</w:t>
      </w:r>
    </w:p>
    <w:p w14:paraId="6BFD82BC" w14:textId="77777777" w:rsidR="002B169F" w:rsidRPr="00375059" w:rsidRDefault="002B169F" w:rsidP="00863ADB">
      <w:pPr>
        <w:widowControl w:val="0"/>
        <w:tabs>
          <w:tab w:val="left" w:pos="567"/>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2) город </w:t>
      </w:r>
      <w:proofErr w:type="spellStart"/>
      <w:r w:rsidRPr="00375059">
        <w:rPr>
          <w:rFonts w:ascii="Times New Roman" w:hAnsi="Times New Roman"/>
          <w:sz w:val="28"/>
          <w:szCs w:val="28"/>
        </w:rPr>
        <w:t>Днестровск</w:t>
      </w:r>
      <w:proofErr w:type="spellEnd"/>
      <w:r w:rsidRPr="00375059">
        <w:rPr>
          <w:rFonts w:ascii="Times New Roman" w:hAnsi="Times New Roman"/>
          <w:sz w:val="28"/>
          <w:szCs w:val="28"/>
        </w:rPr>
        <w:t xml:space="preserve"> ПК «ЖСК «Днестровский Прометей», улица Комсомольская, дом 3 – 30 квартир, общая площадь 3 240 кв. м, что обеспечит потребность в жилье 99 человек.</w:t>
      </w:r>
    </w:p>
    <w:p w14:paraId="5311CE4A" w14:textId="7A5D948C" w:rsidR="002B169F" w:rsidRDefault="002B169F" w:rsidP="00863ADB">
      <w:pPr>
        <w:tabs>
          <w:tab w:val="left" w:pos="709"/>
          <w:tab w:val="left" w:pos="851"/>
        </w:tabs>
        <w:spacing w:after="0" w:line="240" w:lineRule="auto"/>
        <w:ind w:firstLine="567"/>
        <w:jc w:val="both"/>
        <w:rPr>
          <w:rFonts w:ascii="Times New Roman" w:hAnsi="Times New Roman"/>
          <w:sz w:val="28"/>
          <w:szCs w:val="28"/>
        </w:rPr>
      </w:pPr>
    </w:p>
    <w:p w14:paraId="2703F5B1" w14:textId="77777777" w:rsidR="00540656" w:rsidRPr="00634718" w:rsidRDefault="00540656" w:rsidP="00540656">
      <w:pPr>
        <w:pStyle w:val="2"/>
        <w:spacing w:before="0" w:line="240" w:lineRule="auto"/>
        <w:ind w:firstLine="567"/>
        <w:rPr>
          <w:rFonts w:ascii="Times New Roman" w:hAnsi="Times New Roman" w:cs="Times New Roman"/>
          <w:b/>
          <w:color w:val="auto"/>
          <w:sz w:val="28"/>
        </w:rPr>
      </w:pPr>
      <w:bookmarkStart w:id="22" w:name="_Toc82074348"/>
      <w:bookmarkStart w:id="23" w:name="_Toc101441784"/>
      <w:r w:rsidRPr="00634718">
        <w:rPr>
          <w:rFonts w:ascii="Times New Roman" w:hAnsi="Times New Roman" w:cs="Times New Roman"/>
          <w:b/>
          <w:color w:val="auto"/>
          <w:sz w:val="28"/>
        </w:rPr>
        <w:t>Малое предпринимательство</w:t>
      </w:r>
      <w:bookmarkEnd w:id="22"/>
      <w:bookmarkEnd w:id="23"/>
    </w:p>
    <w:p w14:paraId="5DF56170" w14:textId="77777777" w:rsidR="00540656" w:rsidRPr="00634718" w:rsidRDefault="00540656" w:rsidP="00540656">
      <w:pPr>
        <w:spacing w:after="0" w:line="240" w:lineRule="auto"/>
        <w:ind w:firstLine="567"/>
        <w:jc w:val="both"/>
        <w:rPr>
          <w:rFonts w:ascii="Times New Roman" w:hAnsi="Times New Roman"/>
          <w:sz w:val="28"/>
          <w:szCs w:val="28"/>
        </w:rPr>
      </w:pPr>
      <w:bookmarkStart w:id="24" w:name="_Hlk101359523"/>
      <w:r w:rsidRPr="00634718">
        <w:rPr>
          <w:rFonts w:ascii="Times New Roman" w:hAnsi="Times New Roman"/>
          <w:sz w:val="28"/>
          <w:szCs w:val="28"/>
        </w:rPr>
        <w:t xml:space="preserve">Адаптация к функционированию в новых условиях хозяйствования, рост внутреннего потребления, снятие ряда ограничений в совокупности с поступательным </w:t>
      </w:r>
      <w:r>
        <w:rPr>
          <w:rFonts w:ascii="Times New Roman" w:hAnsi="Times New Roman"/>
          <w:sz w:val="28"/>
          <w:szCs w:val="28"/>
        </w:rPr>
        <w:t>восстановлением деловой активности</w:t>
      </w:r>
      <w:r w:rsidRPr="00634718">
        <w:rPr>
          <w:rFonts w:ascii="Times New Roman" w:hAnsi="Times New Roman"/>
          <w:sz w:val="28"/>
          <w:szCs w:val="28"/>
        </w:rPr>
        <w:t xml:space="preserve"> </w:t>
      </w:r>
      <w:r>
        <w:rPr>
          <w:rFonts w:ascii="Times New Roman" w:hAnsi="Times New Roman"/>
          <w:sz w:val="28"/>
          <w:szCs w:val="28"/>
        </w:rPr>
        <w:t xml:space="preserve">в </w:t>
      </w:r>
      <w:r w:rsidRPr="00634718">
        <w:rPr>
          <w:rFonts w:ascii="Times New Roman" w:hAnsi="Times New Roman"/>
          <w:sz w:val="28"/>
          <w:szCs w:val="28"/>
        </w:rPr>
        <w:t>ряд</w:t>
      </w:r>
      <w:r>
        <w:rPr>
          <w:rFonts w:ascii="Times New Roman" w:hAnsi="Times New Roman"/>
          <w:sz w:val="28"/>
          <w:szCs w:val="28"/>
        </w:rPr>
        <w:t>е</w:t>
      </w:r>
      <w:r w:rsidRPr="00634718">
        <w:rPr>
          <w:rFonts w:ascii="Times New Roman" w:hAnsi="Times New Roman"/>
          <w:sz w:val="28"/>
          <w:szCs w:val="28"/>
        </w:rPr>
        <w:t xml:space="preserve"> отраслей</w:t>
      </w:r>
      <w:r>
        <w:rPr>
          <w:rFonts w:ascii="Times New Roman" w:hAnsi="Times New Roman"/>
          <w:sz w:val="28"/>
          <w:szCs w:val="28"/>
        </w:rPr>
        <w:t xml:space="preserve"> </w:t>
      </w:r>
      <w:r w:rsidRPr="00634718">
        <w:rPr>
          <w:rFonts w:ascii="Times New Roman" w:hAnsi="Times New Roman"/>
          <w:sz w:val="28"/>
          <w:szCs w:val="28"/>
        </w:rPr>
        <w:t>сформировали предпосылки для налаживания ситуации в сфере малого бизнеса и частичного выхода на докризисный уровень.</w:t>
      </w:r>
    </w:p>
    <w:p w14:paraId="29A7F33C" w14:textId="77777777" w:rsidR="00540656" w:rsidRPr="00634718" w:rsidRDefault="00540656" w:rsidP="00540656">
      <w:pPr>
        <w:widowControl w:val="0"/>
        <w:spacing w:after="0" w:line="240" w:lineRule="auto"/>
        <w:ind w:firstLine="567"/>
        <w:jc w:val="both"/>
        <w:rPr>
          <w:rFonts w:ascii="Times New Roman" w:eastAsia="Calibri" w:hAnsi="Times New Roman"/>
          <w:sz w:val="28"/>
          <w:szCs w:val="28"/>
        </w:rPr>
      </w:pPr>
      <w:bookmarkStart w:id="25" w:name="_Hlk101359674"/>
      <w:bookmarkEnd w:id="24"/>
      <w:r w:rsidRPr="00634718">
        <w:rPr>
          <w:rFonts w:ascii="Times New Roman" w:eastAsia="Calibri" w:hAnsi="Times New Roman"/>
          <w:sz w:val="28"/>
          <w:szCs w:val="28"/>
        </w:rPr>
        <w:t xml:space="preserve">По итогам 2021 года количество субъектов малого бизнеса составило 3 857 ед. (-1,7%), из которых 91,7% являются микропредприятиями. В отраслевой структуре основной удельный вес, как и ранее, пришелся на субъекты торговли и общепита – 45,3% организаций (-0,6 </w:t>
      </w:r>
      <w:proofErr w:type="spellStart"/>
      <w:r w:rsidRPr="00634718">
        <w:rPr>
          <w:rFonts w:ascii="Times New Roman" w:eastAsia="Calibri" w:hAnsi="Times New Roman"/>
          <w:sz w:val="28"/>
          <w:szCs w:val="28"/>
        </w:rPr>
        <w:t>п.п</w:t>
      </w:r>
      <w:proofErr w:type="spellEnd"/>
      <w:r w:rsidRPr="00634718">
        <w:rPr>
          <w:rFonts w:ascii="Times New Roman" w:eastAsia="Calibri" w:hAnsi="Times New Roman"/>
          <w:sz w:val="28"/>
          <w:szCs w:val="28"/>
        </w:rPr>
        <w:t xml:space="preserve">.). </w:t>
      </w:r>
      <w:r>
        <w:rPr>
          <w:rFonts w:ascii="Times New Roman" w:eastAsia="Calibri" w:hAnsi="Times New Roman"/>
          <w:sz w:val="28"/>
          <w:szCs w:val="28"/>
        </w:rPr>
        <w:t>В производственном секторе (</w:t>
      </w:r>
      <w:r w:rsidRPr="00634718">
        <w:rPr>
          <w:rFonts w:ascii="Times New Roman" w:eastAsia="Calibri" w:hAnsi="Times New Roman"/>
          <w:sz w:val="28"/>
          <w:szCs w:val="28"/>
        </w:rPr>
        <w:t>промышленност</w:t>
      </w:r>
      <w:r>
        <w:rPr>
          <w:rFonts w:ascii="Times New Roman" w:eastAsia="Calibri" w:hAnsi="Times New Roman"/>
          <w:sz w:val="28"/>
          <w:szCs w:val="28"/>
        </w:rPr>
        <w:t>ь</w:t>
      </w:r>
      <w:r w:rsidRPr="00634718">
        <w:rPr>
          <w:rFonts w:ascii="Times New Roman" w:eastAsia="Calibri" w:hAnsi="Times New Roman"/>
          <w:sz w:val="28"/>
          <w:szCs w:val="28"/>
        </w:rPr>
        <w:t>, строительств</w:t>
      </w:r>
      <w:r>
        <w:rPr>
          <w:rFonts w:ascii="Times New Roman" w:eastAsia="Calibri" w:hAnsi="Times New Roman"/>
          <w:sz w:val="28"/>
          <w:szCs w:val="28"/>
        </w:rPr>
        <w:t>о</w:t>
      </w:r>
      <w:r w:rsidRPr="00634718">
        <w:rPr>
          <w:rFonts w:ascii="Times New Roman" w:eastAsia="Calibri" w:hAnsi="Times New Roman"/>
          <w:sz w:val="28"/>
          <w:szCs w:val="28"/>
        </w:rPr>
        <w:t xml:space="preserve"> и сельско</w:t>
      </w:r>
      <w:r>
        <w:rPr>
          <w:rFonts w:ascii="Times New Roman" w:eastAsia="Calibri" w:hAnsi="Times New Roman"/>
          <w:sz w:val="28"/>
          <w:szCs w:val="28"/>
        </w:rPr>
        <w:t>е</w:t>
      </w:r>
      <w:r w:rsidRPr="00634718">
        <w:rPr>
          <w:rFonts w:ascii="Times New Roman" w:eastAsia="Calibri" w:hAnsi="Times New Roman"/>
          <w:sz w:val="28"/>
          <w:szCs w:val="28"/>
        </w:rPr>
        <w:t xml:space="preserve"> хозяйств</w:t>
      </w:r>
      <w:r>
        <w:rPr>
          <w:rFonts w:ascii="Times New Roman" w:eastAsia="Calibri" w:hAnsi="Times New Roman"/>
          <w:sz w:val="28"/>
          <w:szCs w:val="28"/>
        </w:rPr>
        <w:t xml:space="preserve">о) </w:t>
      </w:r>
      <w:r w:rsidRPr="00634718">
        <w:rPr>
          <w:rFonts w:ascii="Times New Roman" w:eastAsia="Calibri" w:hAnsi="Times New Roman"/>
          <w:sz w:val="28"/>
          <w:szCs w:val="28"/>
        </w:rPr>
        <w:t xml:space="preserve">функционировало 27,9% (-0,2 </w:t>
      </w:r>
      <w:proofErr w:type="spellStart"/>
      <w:r w:rsidRPr="00634718">
        <w:rPr>
          <w:rFonts w:ascii="Times New Roman" w:eastAsia="Calibri" w:hAnsi="Times New Roman"/>
          <w:sz w:val="28"/>
          <w:szCs w:val="28"/>
        </w:rPr>
        <w:t>п.п</w:t>
      </w:r>
      <w:proofErr w:type="spellEnd"/>
      <w:r w:rsidRPr="00634718">
        <w:rPr>
          <w:rFonts w:ascii="Times New Roman" w:eastAsia="Calibri" w:hAnsi="Times New Roman"/>
          <w:sz w:val="28"/>
          <w:szCs w:val="28"/>
        </w:rPr>
        <w:t>.) организаций.</w:t>
      </w:r>
    </w:p>
    <w:p w14:paraId="2B2B0DB4" w14:textId="77777777" w:rsidR="00540656" w:rsidRPr="00634718" w:rsidRDefault="00540656" w:rsidP="00540656">
      <w:pPr>
        <w:widowControl w:val="0"/>
        <w:spacing w:after="0" w:line="240" w:lineRule="auto"/>
        <w:ind w:firstLine="567"/>
        <w:jc w:val="both"/>
        <w:rPr>
          <w:rFonts w:ascii="Times New Roman" w:hAnsi="Times New Roman"/>
          <w:sz w:val="28"/>
          <w:szCs w:val="28"/>
        </w:rPr>
      </w:pPr>
      <w:bookmarkStart w:id="26" w:name="_Hlk101359781"/>
      <w:bookmarkEnd w:id="25"/>
      <w:r w:rsidRPr="00634718">
        <w:rPr>
          <w:rFonts w:ascii="Times New Roman" w:hAnsi="Times New Roman"/>
          <w:sz w:val="28"/>
          <w:szCs w:val="28"/>
        </w:rPr>
        <w:t xml:space="preserve">Средняя численность работников (включая внешних совместителей и работающих по договорам гражданско-правового характера) увеличилась на </w:t>
      </w:r>
      <w:r>
        <w:rPr>
          <w:rFonts w:ascii="Times New Roman" w:hAnsi="Times New Roman"/>
          <w:sz w:val="28"/>
          <w:szCs w:val="28"/>
        </w:rPr>
        <w:t xml:space="preserve"> </w:t>
      </w:r>
      <w:r w:rsidRPr="00634718">
        <w:rPr>
          <w:rFonts w:ascii="Times New Roman" w:hAnsi="Times New Roman"/>
          <w:sz w:val="28"/>
          <w:szCs w:val="28"/>
        </w:rPr>
        <w:t>1,5% до 20 209 чел. Из их общего числа 7 022 чел. (+0,8%</w:t>
      </w:r>
      <w:r>
        <w:rPr>
          <w:rFonts w:ascii="Times New Roman" w:hAnsi="Times New Roman"/>
          <w:sz w:val="28"/>
          <w:szCs w:val="28"/>
        </w:rPr>
        <w:t xml:space="preserve"> к прошлому году</w:t>
      </w:r>
      <w:r w:rsidRPr="00634718">
        <w:rPr>
          <w:rFonts w:ascii="Times New Roman" w:hAnsi="Times New Roman"/>
          <w:sz w:val="28"/>
          <w:szCs w:val="28"/>
        </w:rPr>
        <w:t>) заняты в сфере торговли и общепита</w:t>
      </w:r>
      <w:r>
        <w:rPr>
          <w:rFonts w:ascii="Times New Roman" w:hAnsi="Times New Roman"/>
          <w:sz w:val="28"/>
          <w:szCs w:val="28"/>
        </w:rPr>
        <w:t>,</w:t>
      </w:r>
      <w:r w:rsidRPr="00634718">
        <w:rPr>
          <w:rFonts w:ascii="Times New Roman" w:hAnsi="Times New Roman"/>
          <w:sz w:val="28"/>
          <w:szCs w:val="28"/>
        </w:rPr>
        <w:t xml:space="preserve"> 3 085 чел. (-0,9%) – в промышленности</w:t>
      </w:r>
      <w:r>
        <w:rPr>
          <w:rFonts w:ascii="Times New Roman" w:hAnsi="Times New Roman"/>
          <w:sz w:val="28"/>
          <w:szCs w:val="28"/>
        </w:rPr>
        <w:t>,</w:t>
      </w:r>
      <w:r w:rsidRPr="00634718">
        <w:rPr>
          <w:rFonts w:ascii="Times New Roman" w:hAnsi="Times New Roman"/>
          <w:sz w:val="28"/>
          <w:szCs w:val="28"/>
        </w:rPr>
        <w:t xml:space="preserve"> 2 311 чел. (+7,8%) – в строительстве</w:t>
      </w:r>
      <w:r>
        <w:rPr>
          <w:rFonts w:ascii="Times New Roman" w:hAnsi="Times New Roman"/>
          <w:sz w:val="28"/>
          <w:szCs w:val="28"/>
        </w:rPr>
        <w:t xml:space="preserve"> и </w:t>
      </w:r>
      <w:r w:rsidRPr="00634718">
        <w:rPr>
          <w:rFonts w:ascii="Times New Roman" w:hAnsi="Times New Roman"/>
          <w:sz w:val="28"/>
          <w:szCs w:val="28"/>
        </w:rPr>
        <w:t>2 261 чел. (+3,9%) – в сельском хозяйстве. В целом</w:t>
      </w:r>
      <w:r>
        <w:rPr>
          <w:rFonts w:ascii="Times New Roman" w:hAnsi="Times New Roman"/>
          <w:sz w:val="28"/>
          <w:szCs w:val="28"/>
        </w:rPr>
        <w:t>,</w:t>
      </w:r>
      <w:r w:rsidRPr="00634718">
        <w:rPr>
          <w:rFonts w:ascii="Times New Roman" w:hAnsi="Times New Roman"/>
          <w:sz w:val="28"/>
          <w:szCs w:val="28"/>
        </w:rPr>
        <w:t xml:space="preserve"> доля работающих в организациях малого предпринимательства в общей численности занятых в экономике составляла 15,7% (+0,5 </w:t>
      </w:r>
      <w:proofErr w:type="spellStart"/>
      <w:r w:rsidRPr="00634718">
        <w:rPr>
          <w:rFonts w:ascii="Times New Roman" w:hAnsi="Times New Roman"/>
          <w:sz w:val="28"/>
          <w:szCs w:val="28"/>
        </w:rPr>
        <w:t>п.п</w:t>
      </w:r>
      <w:proofErr w:type="spellEnd"/>
      <w:r w:rsidRPr="00634718">
        <w:rPr>
          <w:rFonts w:ascii="Times New Roman" w:hAnsi="Times New Roman"/>
          <w:sz w:val="28"/>
          <w:szCs w:val="28"/>
        </w:rPr>
        <w:t>.).</w:t>
      </w:r>
    </w:p>
    <w:p w14:paraId="2DB9821E" w14:textId="30AAFFF6" w:rsidR="00540656" w:rsidRDefault="00540656" w:rsidP="00540656">
      <w:pPr>
        <w:widowControl w:val="0"/>
        <w:shd w:val="clear" w:color="auto" w:fill="FFFFFF"/>
        <w:spacing w:after="0" w:line="240" w:lineRule="auto"/>
        <w:ind w:firstLine="567"/>
        <w:jc w:val="both"/>
        <w:rPr>
          <w:rFonts w:ascii="Times New Roman" w:eastAsia="Calibri" w:hAnsi="Times New Roman"/>
          <w:sz w:val="28"/>
          <w:szCs w:val="28"/>
        </w:rPr>
      </w:pPr>
      <w:bookmarkStart w:id="27" w:name="_Hlk101359899"/>
      <w:bookmarkEnd w:id="26"/>
      <w:r w:rsidRPr="00634718">
        <w:rPr>
          <w:rFonts w:ascii="Times New Roman" w:eastAsia="Calibri" w:hAnsi="Times New Roman"/>
          <w:sz w:val="28"/>
          <w:szCs w:val="28"/>
        </w:rPr>
        <w:lastRenderedPageBreak/>
        <w:t xml:space="preserve">Среднемесячная номинальная начисленная заработная плата одного работника списочного состава в организациях малого бизнеса выросла относительно показателя 2020 года на 8,6% до 4 599,3 руб. Таким образом, ее размер </w:t>
      </w:r>
      <w:r w:rsidR="00570BE4">
        <w:rPr>
          <w:rFonts w:ascii="Times New Roman" w:eastAsia="Calibri" w:hAnsi="Times New Roman"/>
          <w:sz w:val="28"/>
          <w:szCs w:val="28"/>
        </w:rPr>
        <w:t>составил</w:t>
      </w:r>
      <w:r w:rsidRPr="00634718">
        <w:rPr>
          <w:rFonts w:ascii="Times New Roman" w:eastAsia="Calibri" w:hAnsi="Times New Roman"/>
          <w:sz w:val="28"/>
          <w:szCs w:val="28"/>
        </w:rPr>
        <w:t xml:space="preserve"> </w:t>
      </w:r>
      <w:r>
        <w:rPr>
          <w:rFonts w:ascii="Times New Roman" w:eastAsia="Calibri" w:hAnsi="Times New Roman"/>
          <w:sz w:val="28"/>
          <w:szCs w:val="28"/>
        </w:rPr>
        <w:t>86,0</w:t>
      </w:r>
      <w:r w:rsidRPr="00634718">
        <w:rPr>
          <w:rFonts w:ascii="Times New Roman" w:eastAsia="Calibri" w:hAnsi="Times New Roman"/>
          <w:sz w:val="28"/>
          <w:szCs w:val="28"/>
        </w:rPr>
        <w:t xml:space="preserve">% от </w:t>
      </w:r>
      <w:r>
        <w:rPr>
          <w:rFonts w:ascii="Times New Roman" w:eastAsia="Calibri" w:hAnsi="Times New Roman"/>
          <w:sz w:val="28"/>
          <w:szCs w:val="28"/>
        </w:rPr>
        <w:t>среднего уровня оплаты труда по экономике</w:t>
      </w:r>
      <w:r w:rsidRPr="00634718">
        <w:rPr>
          <w:rFonts w:ascii="Times New Roman" w:eastAsia="Calibri" w:hAnsi="Times New Roman"/>
          <w:sz w:val="28"/>
          <w:szCs w:val="28"/>
        </w:rPr>
        <w:t xml:space="preserve"> (5</w:t>
      </w:r>
      <w:r>
        <w:rPr>
          <w:rFonts w:ascii="Times New Roman" w:eastAsia="Calibri" w:hAnsi="Times New Roman"/>
          <w:sz w:val="28"/>
          <w:szCs w:val="28"/>
        </w:rPr>
        <w:t> 345 </w:t>
      </w:r>
      <w:r w:rsidRPr="00634718">
        <w:rPr>
          <w:rFonts w:ascii="Times New Roman" w:eastAsia="Calibri" w:hAnsi="Times New Roman"/>
          <w:sz w:val="28"/>
          <w:szCs w:val="28"/>
        </w:rPr>
        <w:t>руб.) и 67,6% от средней</w:t>
      </w:r>
      <w:r>
        <w:rPr>
          <w:rFonts w:ascii="Times New Roman" w:eastAsia="Calibri" w:hAnsi="Times New Roman"/>
          <w:sz w:val="28"/>
          <w:szCs w:val="28"/>
        </w:rPr>
        <w:t xml:space="preserve"> номинальной</w:t>
      </w:r>
      <w:r w:rsidRPr="00634718">
        <w:rPr>
          <w:rFonts w:ascii="Times New Roman" w:eastAsia="Calibri" w:hAnsi="Times New Roman"/>
          <w:sz w:val="28"/>
          <w:szCs w:val="28"/>
        </w:rPr>
        <w:t xml:space="preserve"> заработной платы во внебюджетном секторе (</w:t>
      </w:r>
      <w:r w:rsidRPr="00634718">
        <w:rPr>
          <w:rFonts w:ascii="Times New Roman" w:hAnsi="Times New Roman"/>
          <w:sz w:val="28"/>
          <w:szCs w:val="28"/>
        </w:rPr>
        <w:t>6</w:t>
      </w:r>
      <w:r>
        <w:rPr>
          <w:rFonts w:ascii="Times New Roman" w:hAnsi="Times New Roman"/>
          <w:sz w:val="28"/>
          <w:szCs w:val="28"/>
        </w:rPr>
        <w:t> </w:t>
      </w:r>
      <w:r w:rsidRPr="00634718">
        <w:rPr>
          <w:rFonts w:ascii="Times New Roman" w:hAnsi="Times New Roman"/>
          <w:sz w:val="28"/>
          <w:szCs w:val="28"/>
        </w:rPr>
        <w:t xml:space="preserve">807 </w:t>
      </w:r>
      <w:r w:rsidRPr="00634718">
        <w:rPr>
          <w:rFonts w:ascii="Times New Roman" w:eastAsia="Calibri" w:hAnsi="Times New Roman"/>
          <w:sz w:val="28"/>
          <w:szCs w:val="28"/>
        </w:rPr>
        <w:t xml:space="preserve">руб.). В реальном выражении (с учетом корректировки на инфляционный фактор) показатель вырос на 4,3%. </w:t>
      </w:r>
    </w:p>
    <w:bookmarkEnd w:id="27"/>
    <w:p w14:paraId="40C17691" w14:textId="504E09C3" w:rsidR="00540656" w:rsidRPr="00634718" w:rsidRDefault="00540656" w:rsidP="00540656">
      <w:pPr>
        <w:widowControl w:val="0"/>
        <w:shd w:val="clear" w:color="auto" w:fill="FFFFFF"/>
        <w:spacing w:after="0" w:line="240" w:lineRule="auto"/>
        <w:ind w:firstLine="567"/>
        <w:jc w:val="both"/>
        <w:rPr>
          <w:rFonts w:ascii="Times New Roman" w:eastAsia="Calibri" w:hAnsi="Times New Roman"/>
          <w:sz w:val="28"/>
          <w:szCs w:val="28"/>
        </w:rPr>
      </w:pPr>
      <w:r w:rsidRPr="00634718">
        <w:rPr>
          <w:rFonts w:ascii="Times New Roman" w:eastAsia="Calibri" w:hAnsi="Times New Roman"/>
          <w:sz w:val="28"/>
          <w:szCs w:val="28"/>
        </w:rPr>
        <w:t>Наиболее высокий уровень оплаты труда</w:t>
      </w:r>
      <w:r>
        <w:rPr>
          <w:rFonts w:ascii="Times New Roman" w:eastAsia="Calibri" w:hAnsi="Times New Roman"/>
          <w:sz w:val="28"/>
          <w:szCs w:val="28"/>
        </w:rPr>
        <w:t xml:space="preserve"> </w:t>
      </w:r>
      <w:r w:rsidRPr="00634718">
        <w:rPr>
          <w:rFonts w:ascii="Times New Roman" w:eastAsia="Calibri" w:hAnsi="Times New Roman"/>
          <w:sz w:val="28"/>
          <w:szCs w:val="28"/>
        </w:rPr>
        <w:t>(с превышением среднереспубликанского показателя</w:t>
      </w:r>
      <w:r>
        <w:rPr>
          <w:rFonts w:ascii="Times New Roman" w:eastAsia="Calibri" w:hAnsi="Times New Roman"/>
          <w:sz w:val="28"/>
          <w:szCs w:val="28"/>
        </w:rPr>
        <w:t xml:space="preserve"> по субъектам малого предпринимательства</w:t>
      </w:r>
      <w:r w:rsidRPr="00634718">
        <w:rPr>
          <w:rFonts w:ascii="Times New Roman" w:eastAsia="Calibri" w:hAnsi="Times New Roman"/>
          <w:sz w:val="28"/>
          <w:szCs w:val="28"/>
        </w:rPr>
        <w:t xml:space="preserve">) сложился в таких отраслях как «Информационно-вычислительное обслуживание», «Общая коммерческая деятельность», «Связь», «Здравоохранение и социальное обеспечение», «Строительство» </w:t>
      </w:r>
      <w:r w:rsidRPr="00540656">
        <w:rPr>
          <w:rFonts w:ascii="Times New Roman" w:eastAsia="Calibri" w:hAnsi="Times New Roman"/>
          <w:sz w:val="28"/>
          <w:szCs w:val="28"/>
        </w:rPr>
        <w:t>(рис. 32).</w:t>
      </w:r>
    </w:p>
    <w:p w14:paraId="4BBDC561" w14:textId="7E4523A3" w:rsidR="00540656" w:rsidRDefault="00540656" w:rsidP="00540656">
      <w:pPr>
        <w:widowControl w:val="0"/>
        <w:spacing w:after="0" w:line="240" w:lineRule="auto"/>
        <w:ind w:firstLine="426"/>
        <w:contextualSpacing/>
        <w:jc w:val="right"/>
        <w:rPr>
          <w:rFonts w:ascii="Times New Roman" w:hAnsi="Times New Roman"/>
          <w:b/>
          <w:i/>
          <w:sz w:val="28"/>
          <w:szCs w:val="28"/>
        </w:rPr>
      </w:pPr>
      <w:r w:rsidRPr="00634718">
        <w:rPr>
          <w:rFonts w:ascii="Times New Roman" w:hAnsi="Times New Roman"/>
          <w:b/>
          <w:i/>
          <w:sz w:val="28"/>
          <w:szCs w:val="28"/>
        </w:rPr>
        <w:t xml:space="preserve">Рисунок </w:t>
      </w:r>
      <w:r>
        <w:rPr>
          <w:rFonts w:ascii="Times New Roman" w:hAnsi="Times New Roman"/>
          <w:b/>
          <w:i/>
          <w:sz w:val="28"/>
          <w:szCs w:val="28"/>
        </w:rPr>
        <w:t>32</w:t>
      </w:r>
    </w:p>
    <w:p w14:paraId="4A49F50D" w14:textId="77777777" w:rsidR="00540656" w:rsidRPr="000E11C8" w:rsidRDefault="00540656" w:rsidP="00540656">
      <w:pPr>
        <w:widowControl w:val="0"/>
        <w:spacing w:after="0" w:line="240" w:lineRule="auto"/>
        <w:contextualSpacing/>
        <w:jc w:val="center"/>
        <w:rPr>
          <w:rFonts w:ascii="Times New Roman" w:hAnsi="Times New Roman"/>
          <w:b/>
          <w:sz w:val="28"/>
          <w:szCs w:val="28"/>
        </w:rPr>
      </w:pPr>
      <w:r w:rsidRPr="000E11C8">
        <w:rPr>
          <w:rFonts w:ascii="Times New Roman" w:hAnsi="Times New Roman"/>
          <w:b/>
          <w:bCs/>
          <w:sz w:val="28"/>
          <w:szCs w:val="28"/>
        </w:rPr>
        <w:t>Динамика оплаты труда организаций малого предпринимательства</w:t>
      </w:r>
      <w:r w:rsidRPr="000E11C8">
        <w:rPr>
          <w:rFonts w:ascii="Times New Roman" w:hAnsi="Times New Roman"/>
          <w:b/>
          <w:bCs/>
          <w:sz w:val="28"/>
          <w:szCs w:val="28"/>
        </w:rPr>
        <w:br/>
        <w:t xml:space="preserve"> в разрезе </w:t>
      </w:r>
      <w:r>
        <w:rPr>
          <w:rFonts w:ascii="Times New Roman" w:hAnsi="Times New Roman"/>
          <w:b/>
          <w:bCs/>
          <w:sz w:val="28"/>
          <w:szCs w:val="28"/>
        </w:rPr>
        <w:t>отраслей экономики</w:t>
      </w:r>
      <w:r w:rsidRPr="000E11C8">
        <w:rPr>
          <w:rFonts w:ascii="Times New Roman" w:hAnsi="Times New Roman"/>
          <w:b/>
          <w:bCs/>
          <w:sz w:val="28"/>
          <w:szCs w:val="28"/>
        </w:rPr>
        <w:t>, руб.</w:t>
      </w:r>
    </w:p>
    <w:p w14:paraId="124AD342" w14:textId="77777777" w:rsidR="00540656" w:rsidRDefault="00540656" w:rsidP="00540656">
      <w:pPr>
        <w:widowControl w:val="0"/>
        <w:spacing w:after="0" w:line="240" w:lineRule="auto"/>
        <w:contextualSpacing/>
        <w:jc w:val="right"/>
        <w:rPr>
          <w:rFonts w:ascii="Times New Roman" w:hAnsi="Times New Roman"/>
          <w:b/>
          <w:i/>
          <w:sz w:val="28"/>
          <w:szCs w:val="28"/>
        </w:rPr>
      </w:pPr>
      <w:r>
        <w:rPr>
          <w:rFonts w:ascii="Times New Roman" w:hAnsi="Times New Roman"/>
          <w:b/>
          <w:i/>
          <w:noProof/>
          <w:sz w:val="28"/>
          <w:szCs w:val="28"/>
        </w:rPr>
        <w:drawing>
          <wp:inline distT="0" distB="0" distL="0" distR="0" wp14:anchorId="69DC2569" wp14:editId="3D942D33">
            <wp:extent cx="6143625" cy="3886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975527" w14:textId="0F6F5BFC" w:rsidR="00540656" w:rsidRDefault="00540656" w:rsidP="00540656">
      <w:pPr>
        <w:spacing w:after="0" w:line="240" w:lineRule="auto"/>
        <w:ind w:firstLine="567"/>
        <w:jc w:val="both"/>
        <w:rPr>
          <w:rFonts w:ascii="Times New Roman" w:eastAsia="Calibri" w:hAnsi="Times New Roman"/>
          <w:sz w:val="28"/>
          <w:szCs w:val="28"/>
        </w:rPr>
      </w:pPr>
      <w:r w:rsidRPr="00F026C4">
        <w:rPr>
          <w:rFonts w:ascii="Times New Roman" w:eastAsia="Calibri" w:hAnsi="Times New Roman"/>
          <w:sz w:val="28"/>
          <w:szCs w:val="28"/>
        </w:rPr>
        <w:t xml:space="preserve">Эффективность мер государственной поддержки предпринимательства, </w:t>
      </w:r>
      <w:r w:rsidRPr="00F026C4">
        <w:rPr>
          <w:rFonts w:ascii="Times New Roman" w:hAnsi="Times New Roman"/>
          <w:spacing w:val="3"/>
          <w:sz w:val="28"/>
          <w:szCs w:val="28"/>
        </w:rPr>
        <w:t xml:space="preserve">в том числе в рамках механизма льготного кредитования предприятий </w:t>
      </w:r>
      <w:r w:rsidRPr="00F026C4">
        <w:rPr>
          <w:rFonts w:ascii="Times New Roman" w:hAnsi="Times New Roman"/>
          <w:sz w:val="28"/>
          <w:szCs w:val="28"/>
        </w:rPr>
        <w:t xml:space="preserve">реального сектора экономики (посредством субсидирования государством </w:t>
      </w:r>
      <w:r>
        <w:rPr>
          <w:rFonts w:ascii="Times New Roman" w:hAnsi="Times New Roman"/>
          <w:sz w:val="28"/>
          <w:szCs w:val="28"/>
        </w:rPr>
        <w:t>части процентной ставки</w:t>
      </w:r>
      <w:r w:rsidRPr="00F026C4">
        <w:rPr>
          <w:rFonts w:ascii="Times New Roman" w:hAnsi="Times New Roman"/>
          <w:sz w:val="28"/>
          <w:szCs w:val="28"/>
        </w:rPr>
        <w:t xml:space="preserve">), выступает одним из стимулов программ долгосрочного развития и </w:t>
      </w:r>
      <w:r w:rsidRPr="00F026C4">
        <w:rPr>
          <w:rFonts w:ascii="Times New Roman" w:eastAsia="Calibri" w:hAnsi="Times New Roman"/>
          <w:sz w:val="28"/>
          <w:szCs w:val="28"/>
        </w:rPr>
        <w:t xml:space="preserve">находит отражение в инвестиционных процессах. </w:t>
      </w:r>
      <w:r>
        <w:rPr>
          <w:rFonts w:ascii="Times New Roman" w:eastAsia="Calibri" w:hAnsi="Times New Roman"/>
          <w:sz w:val="28"/>
          <w:szCs w:val="28"/>
        </w:rPr>
        <w:t>На фоне активизаци</w:t>
      </w:r>
      <w:r w:rsidR="00570BE4">
        <w:rPr>
          <w:rFonts w:ascii="Times New Roman" w:eastAsia="Calibri" w:hAnsi="Times New Roman"/>
          <w:sz w:val="28"/>
          <w:szCs w:val="28"/>
        </w:rPr>
        <w:t>и</w:t>
      </w:r>
      <w:r>
        <w:rPr>
          <w:rFonts w:ascii="Times New Roman" w:eastAsia="Calibri" w:hAnsi="Times New Roman"/>
          <w:sz w:val="28"/>
          <w:szCs w:val="28"/>
        </w:rPr>
        <w:t xml:space="preserve"> деятельности субъектов малого бизнеса инвестиции в основной капитал (</w:t>
      </w:r>
      <w:r w:rsidRPr="00634718">
        <w:rPr>
          <w:rFonts w:ascii="Times New Roman" w:eastAsia="Calibri" w:hAnsi="Times New Roman"/>
          <w:sz w:val="28"/>
          <w:szCs w:val="28"/>
        </w:rPr>
        <w:t xml:space="preserve">в части новых и приобретенных по импорту основных средств) </w:t>
      </w:r>
      <w:r>
        <w:rPr>
          <w:rFonts w:ascii="Times New Roman" w:eastAsia="Calibri" w:hAnsi="Times New Roman"/>
          <w:sz w:val="28"/>
          <w:szCs w:val="28"/>
        </w:rPr>
        <w:t xml:space="preserve">выросли на 28,9% до </w:t>
      </w:r>
      <w:r w:rsidRPr="00634718">
        <w:rPr>
          <w:rFonts w:ascii="Times New Roman" w:eastAsia="Calibri" w:hAnsi="Times New Roman"/>
          <w:sz w:val="28"/>
          <w:szCs w:val="28"/>
        </w:rPr>
        <w:t>42</w:t>
      </w:r>
      <w:r>
        <w:rPr>
          <w:rFonts w:ascii="Times New Roman" w:eastAsia="Calibri" w:hAnsi="Times New Roman"/>
          <w:sz w:val="28"/>
          <w:szCs w:val="28"/>
        </w:rPr>
        <w:t>3</w:t>
      </w:r>
      <w:r w:rsidRPr="00634718">
        <w:rPr>
          <w:rFonts w:ascii="Times New Roman" w:eastAsia="Calibri" w:hAnsi="Times New Roman"/>
          <w:sz w:val="28"/>
          <w:szCs w:val="28"/>
        </w:rPr>
        <w:t>,8 млн руб.</w:t>
      </w:r>
    </w:p>
    <w:p w14:paraId="57AAB2A0" w14:textId="4C068F70" w:rsidR="00540656" w:rsidRPr="00634718" w:rsidRDefault="00540656" w:rsidP="00540656">
      <w:pPr>
        <w:spacing w:after="0" w:line="240" w:lineRule="auto"/>
        <w:ind w:firstLine="567"/>
        <w:jc w:val="both"/>
        <w:rPr>
          <w:rFonts w:ascii="Times New Roman" w:hAnsi="Times New Roman"/>
          <w:sz w:val="28"/>
          <w:szCs w:val="28"/>
        </w:rPr>
      </w:pPr>
      <w:r>
        <w:rPr>
          <w:rFonts w:ascii="Times New Roman" w:eastAsia="Calibri" w:hAnsi="Times New Roman"/>
          <w:sz w:val="28"/>
          <w:szCs w:val="28"/>
        </w:rPr>
        <w:t xml:space="preserve">Более половины всех инвестиций в основные средства (58,3% от общего объема) были сделаны сельскохозяйственными малыми организациями – </w:t>
      </w:r>
      <w:r w:rsidRPr="00634718">
        <w:rPr>
          <w:rFonts w:ascii="Times New Roman" w:hAnsi="Times New Roman"/>
          <w:sz w:val="28"/>
          <w:szCs w:val="28"/>
        </w:rPr>
        <w:lastRenderedPageBreak/>
        <w:t>246,9 млн руб. (+47,6%</w:t>
      </w:r>
      <w:r>
        <w:rPr>
          <w:rFonts w:ascii="Times New Roman" w:hAnsi="Times New Roman"/>
          <w:sz w:val="28"/>
          <w:szCs w:val="28"/>
        </w:rPr>
        <w:t xml:space="preserve"> к уровню 2020 года</w:t>
      </w:r>
      <w:r w:rsidRPr="00634718">
        <w:rPr>
          <w:rFonts w:ascii="Times New Roman" w:hAnsi="Times New Roman"/>
          <w:sz w:val="28"/>
          <w:szCs w:val="28"/>
        </w:rPr>
        <w:t>)</w:t>
      </w:r>
      <w:r>
        <w:rPr>
          <w:rFonts w:ascii="Times New Roman" w:hAnsi="Times New Roman"/>
          <w:sz w:val="28"/>
          <w:szCs w:val="28"/>
        </w:rPr>
        <w:t xml:space="preserve">. В отрасль </w:t>
      </w:r>
      <w:r w:rsidRPr="00634718">
        <w:rPr>
          <w:rFonts w:ascii="Times New Roman" w:hAnsi="Times New Roman"/>
          <w:sz w:val="28"/>
          <w:szCs w:val="28"/>
        </w:rPr>
        <w:t xml:space="preserve">«строительство» </w:t>
      </w:r>
      <w:r w:rsidRPr="00540656">
        <w:rPr>
          <w:rFonts w:ascii="Times New Roman" w:hAnsi="Times New Roman"/>
          <w:sz w:val="28"/>
          <w:szCs w:val="28"/>
        </w:rPr>
        <w:t>инвестировано 55,1 млн руб. (+35,3%), в «промышленность» – 44,4 млн руб. (+26,8%) (рис. 33). Из общего объема инвестиционных вложений 31,7% осуществлено микро</w:t>
      </w:r>
      <w:r w:rsidRPr="00634718">
        <w:rPr>
          <w:rFonts w:ascii="Times New Roman" w:hAnsi="Times New Roman"/>
          <w:sz w:val="28"/>
          <w:szCs w:val="28"/>
        </w:rPr>
        <w:t>предприятиями.</w:t>
      </w:r>
    </w:p>
    <w:p w14:paraId="19DB014F" w14:textId="1758592F" w:rsidR="00540656" w:rsidRPr="00634718" w:rsidRDefault="00540656" w:rsidP="00540656">
      <w:pPr>
        <w:widowControl w:val="0"/>
        <w:spacing w:after="0" w:line="240" w:lineRule="auto"/>
        <w:ind w:firstLine="426"/>
        <w:contextualSpacing/>
        <w:jc w:val="right"/>
        <w:rPr>
          <w:rFonts w:ascii="Times New Roman" w:hAnsi="Times New Roman"/>
          <w:b/>
          <w:i/>
          <w:sz w:val="28"/>
          <w:szCs w:val="28"/>
        </w:rPr>
      </w:pPr>
      <w:r w:rsidRPr="00634718">
        <w:rPr>
          <w:rFonts w:ascii="Times New Roman" w:hAnsi="Times New Roman"/>
          <w:b/>
          <w:i/>
          <w:sz w:val="28"/>
          <w:szCs w:val="28"/>
        </w:rPr>
        <w:t xml:space="preserve">Рисунок </w:t>
      </w:r>
      <w:r>
        <w:rPr>
          <w:rFonts w:ascii="Times New Roman" w:hAnsi="Times New Roman"/>
          <w:b/>
          <w:i/>
          <w:sz w:val="28"/>
          <w:szCs w:val="28"/>
        </w:rPr>
        <w:t>33</w:t>
      </w:r>
    </w:p>
    <w:p w14:paraId="01CDE036" w14:textId="77777777" w:rsidR="00540656" w:rsidRPr="00634718" w:rsidRDefault="00540656" w:rsidP="00540656">
      <w:pPr>
        <w:widowControl w:val="0"/>
        <w:spacing w:after="0" w:line="240" w:lineRule="auto"/>
        <w:ind w:firstLine="709"/>
        <w:jc w:val="center"/>
        <w:rPr>
          <w:rFonts w:ascii="Times New Roman" w:eastAsia="Calibri" w:hAnsi="Times New Roman"/>
          <w:b/>
          <w:sz w:val="24"/>
          <w:szCs w:val="24"/>
        </w:rPr>
      </w:pPr>
      <w:bookmarkStart w:id="28" w:name="_Hlk82073658"/>
      <w:r w:rsidRPr="00634718">
        <w:rPr>
          <w:rFonts w:ascii="Times New Roman" w:eastAsia="Calibri" w:hAnsi="Times New Roman"/>
          <w:b/>
          <w:sz w:val="24"/>
          <w:szCs w:val="24"/>
        </w:rPr>
        <w:t xml:space="preserve">Инвестиции в основной капитал </w:t>
      </w:r>
    </w:p>
    <w:p w14:paraId="521F270C" w14:textId="77777777" w:rsidR="00540656" w:rsidRDefault="00540656" w:rsidP="00540656">
      <w:pPr>
        <w:widowControl w:val="0"/>
        <w:spacing w:after="0" w:line="240" w:lineRule="auto"/>
        <w:ind w:firstLine="709"/>
        <w:jc w:val="center"/>
        <w:rPr>
          <w:rFonts w:ascii="Times New Roman" w:eastAsia="Calibri" w:hAnsi="Times New Roman"/>
          <w:b/>
          <w:sz w:val="24"/>
          <w:szCs w:val="24"/>
        </w:rPr>
      </w:pPr>
      <w:r w:rsidRPr="00634718">
        <w:rPr>
          <w:rFonts w:ascii="Times New Roman" w:eastAsia="Calibri" w:hAnsi="Times New Roman"/>
          <w:b/>
          <w:sz w:val="24"/>
          <w:szCs w:val="24"/>
        </w:rPr>
        <w:t>(в части новых и приобретенных по импорту основных средств), млн руб.</w:t>
      </w:r>
    </w:p>
    <w:p w14:paraId="1029D061" w14:textId="744ABE83" w:rsidR="00540656" w:rsidRDefault="00540656" w:rsidP="00540656">
      <w:pPr>
        <w:widowControl w:val="0"/>
        <w:spacing w:after="0" w:line="240" w:lineRule="auto"/>
        <w:jc w:val="center"/>
        <w:rPr>
          <w:rFonts w:ascii="Times New Roman" w:eastAsia="Calibri" w:hAnsi="Times New Roman"/>
          <w:sz w:val="24"/>
          <w:szCs w:val="24"/>
        </w:rPr>
      </w:pPr>
      <w:r>
        <w:rPr>
          <w:noProof/>
        </w:rPr>
        <mc:AlternateContent>
          <mc:Choice Requires="wps">
            <w:drawing>
              <wp:anchor distT="0" distB="0" distL="114300" distR="114300" simplePos="0" relativeHeight="251754496" behindDoc="0" locked="0" layoutInCell="1" allowOverlap="1" wp14:anchorId="53420602" wp14:editId="65F5D21E">
                <wp:simplePos x="0" y="0"/>
                <wp:positionH relativeFrom="column">
                  <wp:posOffset>4661853</wp:posOffset>
                </wp:positionH>
                <wp:positionV relativeFrom="paragraph">
                  <wp:posOffset>1097280</wp:posOffset>
                </wp:positionV>
                <wp:extent cx="866140" cy="214630"/>
                <wp:effectExtent l="0" t="0" r="0" b="0"/>
                <wp:wrapNone/>
                <wp:docPr id="390" name="Надпись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140" cy="214630"/>
                        </a:xfrm>
                        <a:prstGeom prst="rect">
                          <a:avLst/>
                        </a:prstGeom>
                      </wps:spPr>
                      <wps:txbx>
                        <w:txbxContent>
                          <w:p w14:paraId="56181338" w14:textId="77777777" w:rsidR="00540656" w:rsidRPr="00805DFD" w:rsidRDefault="00540656" w:rsidP="00540656">
                            <w:pPr>
                              <w:rPr>
                                <w:rFonts w:ascii="Times New Roman" w:hAnsi="Times New Roman"/>
                                <w:sz w:val="24"/>
                                <w:szCs w:val="24"/>
                              </w:rPr>
                            </w:pPr>
                            <w:r w:rsidRPr="00805DFD">
                              <w:rPr>
                                <w:rFonts w:ascii="Times New Roman" w:eastAsia="+mn-ea" w:hAnsi="Times New Roman"/>
                                <w:sz w:val="18"/>
                                <w:szCs w:val="18"/>
                              </w:rPr>
                              <w:t xml:space="preserve">масштаб </w:t>
                            </w:r>
                            <w:r w:rsidRPr="00805DFD">
                              <w:rPr>
                                <w:rFonts w:ascii="Times New Roman" w:eastAsia="+mn-ea" w:hAnsi="Times New Roman"/>
                                <w:sz w:val="18"/>
                                <w:szCs w:val="18"/>
                                <w:lang w:val="en-US"/>
                              </w:rPr>
                              <w:t>x</w:t>
                            </w:r>
                            <w:r>
                              <w:rPr>
                                <w:rFonts w:ascii="Times New Roman" w:eastAsia="+mn-ea" w:hAnsi="Times New Roman"/>
                                <w:sz w:val="18"/>
                                <w:szCs w:val="18"/>
                                <w:lang w:val="en-US"/>
                              </w:rPr>
                              <w:t>10</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3420602" id="Надпись 390" o:spid="_x0000_s1044" type="#_x0000_t202" style="position:absolute;left:0;text-align:left;margin-left:367.1pt;margin-top:86.4pt;width:68.2pt;height:16.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EtgEAAC0DAAAOAAAAZHJzL2Uyb0RvYy54bWysUsFuEzEQvSP1Hyzfm82mUVRW2VS0FVwq&#10;QCp8gOO1sxZrj/E42c2RO7/AP3DgwI1f2P4RYydNK7ghLt61Z+bNe/NmeTXYju1UQAOu5uVkyply&#10;EhrjNjX/+OH1+SVnGIVrRAdO1XyvkF+tzl4se1+pGbTQNSowAnFY9b7mbYy+KgqUrbICJ+CVo6CG&#10;YEWka9gUTRA9oduumE2ni6KH0PgAUiHS6+0hyFcZX2sl4zutUUXW1Zy4xXyGfK7TWayWotoE4Vsj&#10;jzTEP7CwwjhqeoK6FVGwbTB/QVkjAyDoOJFgC9DaSJU1kJpy+oea+1Z4lbXQcNCfxoT/D1a+3b0P&#10;zDQ1v3hJ83HCkknjt/H7+GP8Nf58+PLwlaUIzan3WFH6vaeCOFzDQH5nzejvQH5CSime5RwKkLLT&#10;XAYdbPqSYkaF1Gp/Gr8aIpP0eLlYlHOKSArNyvniIrctnop9wPhGgWXpp+aB3M0ExO4OY2ovqseU&#10;I5dD+8QqDush6yznj2LW0OxJS0/u1xw/b0VQnIXY3UBelkTXwattBG0yeoI51BzRyZPc9Lg/yfTn&#10;95z1tOWr3wAAAP//AwBQSwMEFAAGAAgAAAAhADS/rVHeAAAACwEAAA8AAABkcnMvZG93bnJldi54&#10;bWxMj8tOwzAQRfdI/IM1SOyoTShJCXGqCsQWRF8SOzeeJlHjcRS7Tfh7hhUsR/fozrnFcnKduOAQ&#10;Wk8a7mcKBFLlbUu1hu3m7W4BIkRD1nSeUMM3BliW11eFya0f6RMv61gLLqGQGw1NjH0uZagadCbM&#10;fI/E2dEPzkQ+h1rawYxc7jqZKJVKZ1riD43p8aXB6rQ+Ow279+PXfq4+6lf32I9+UpLck9T69mZa&#10;PYOIOMU/GH71WR1Kdjr4M9kgOg3ZwzxhlIMs4Q1MLDKVgjhoSFSagiwL+X9D+QMAAP//AwBQSwEC&#10;LQAUAAYACAAAACEAtoM4kv4AAADhAQAAEwAAAAAAAAAAAAAAAAAAAAAAW0NvbnRlbnRfVHlwZXNd&#10;LnhtbFBLAQItABQABgAIAAAAIQA4/SH/1gAAAJQBAAALAAAAAAAAAAAAAAAAAC8BAABfcmVscy8u&#10;cmVsc1BLAQItABQABgAIAAAAIQC0l+pEtgEAAC0DAAAOAAAAAAAAAAAAAAAAAC4CAABkcnMvZTJv&#10;RG9jLnhtbFBLAQItABQABgAIAAAAIQA0v61R3gAAAAsBAAAPAAAAAAAAAAAAAAAAABAEAABkcnMv&#10;ZG93bnJldi54bWxQSwUGAAAAAAQABADzAAAAGwUAAAAA&#10;" filled="f" stroked="f">
                <v:textbox>
                  <w:txbxContent>
                    <w:p w14:paraId="56181338" w14:textId="77777777" w:rsidR="00540656" w:rsidRPr="00805DFD" w:rsidRDefault="00540656" w:rsidP="00540656">
                      <w:pPr>
                        <w:rPr>
                          <w:rFonts w:ascii="Times New Roman" w:hAnsi="Times New Roman"/>
                          <w:sz w:val="24"/>
                          <w:szCs w:val="24"/>
                        </w:rPr>
                      </w:pPr>
                      <w:r w:rsidRPr="00805DFD">
                        <w:rPr>
                          <w:rFonts w:ascii="Times New Roman" w:eastAsia="+mn-ea" w:hAnsi="Times New Roman"/>
                          <w:sz w:val="18"/>
                          <w:szCs w:val="18"/>
                        </w:rPr>
                        <w:t xml:space="preserve">масштаб </w:t>
                      </w:r>
                      <w:r w:rsidRPr="00805DFD">
                        <w:rPr>
                          <w:rFonts w:ascii="Times New Roman" w:eastAsia="+mn-ea" w:hAnsi="Times New Roman"/>
                          <w:sz w:val="18"/>
                          <w:szCs w:val="18"/>
                          <w:lang w:val="en-US"/>
                        </w:rPr>
                        <w:t>x</w:t>
                      </w:r>
                      <w:r>
                        <w:rPr>
                          <w:rFonts w:ascii="Times New Roman" w:eastAsia="+mn-ea" w:hAnsi="Times New Roman"/>
                          <w:sz w:val="18"/>
                          <w:szCs w:val="18"/>
                          <w:lang w:val="en-US"/>
                        </w:rPr>
                        <w:t>10</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7896C142" wp14:editId="7709A8AF">
                <wp:simplePos x="0" y="0"/>
                <wp:positionH relativeFrom="column">
                  <wp:posOffset>4603115</wp:posOffset>
                </wp:positionH>
                <wp:positionV relativeFrom="paragraph">
                  <wp:posOffset>1163320</wp:posOffset>
                </wp:positionV>
                <wp:extent cx="107315" cy="96520"/>
                <wp:effectExtent l="0" t="0" r="26035" b="17780"/>
                <wp:wrapNone/>
                <wp:docPr id="391" name="Прямоугольник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96520"/>
                        </a:xfrm>
                        <a:prstGeom prst="rect">
                          <a:avLst/>
                        </a:prstGeom>
                        <a:noFill/>
                        <a:ln w="6350" cap="flat" cmpd="sng" algn="ctr">
                          <a:solidFill>
                            <a:srgbClr val="4F81BD">
                              <a:shade val="50000"/>
                            </a:srgbClr>
                          </a:solidFill>
                          <a:prstDash val="sysDash"/>
                        </a:ln>
                        <a:effectLst/>
                      </wps:spPr>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21BF546" id="Прямоугольник 391" o:spid="_x0000_s1026" style="position:absolute;margin-left:362.45pt;margin-top:91.6pt;width:8.45pt;height:7.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HR+AEAAKgDAAAOAAAAZHJzL2Uyb0RvYy54bWysU0uOEzEQ3SNxB8t70t0JCTOtdEaCKGxG&#10;EGngAI7b/RH+yWXSyQ6JLRJH4BBsEJ85Q+dGlN1JCLBD9MKqclU916t6Pb/ZKUm2wkFrdEGzUUqJ&#10;0NyUra4L+vrV6tEVJeCZLpk0WhR0L4DeLB4+mHc2F2PTGFkKRxBEQ97Zgjbe2zxJgDdCMRgZKzQG&#10;K+MU8+i6Oikd6xBdyWScprOkM660znABgLfLIUgXEb+qBPcvqwqEJ7Kg2JuPp4vnJpzJYs7y2jHb&#10;tPzYBvuHLhRrNT56hloyz8hb1/4FpVruDJjKj7hRiamqlovIAdlk6R9s7hpmReSCwwF7HhP8P1j+&#10;Yrt2pC0LOrnOKNFM4ZL6T4d3h4/99/7+8L7/3N/33w4f+h/9l/4rCVk4s85CjqV3du0Ca7C3hr8B&#10;DCS/RYIDx5xd5VTIRc5kFxewPy9A7DzheJmlTybZlBKOoevZdBz3k7D8VGsd+OfCKBKMgjpcb5w6&#10;296CD6+z/JQSntJm1UoZVyw16Qo6m0xRBJyh0CrJPJrKInXQNSVM1qhg7l1EBCPbMlRHeq7ePJOO&#10;bBmq6PHqKnu6HJIaVorhdpriFyaDLcCQPtiXOKG3JYNmKIE9BOdYJHV4SUTJHsn8ml6wNqbcr91p&#10;xCiHiH+UbtDbpY/25Q+2+AkAAP//AwBQSwMEFAAGAAgAAAAhAJfOtdHhAAAACwEAAA8AAABkcnMv&#10;ZG93bnJldi54bWxMj8FOwzAQRO9I/IO1SNyo0zTQNMSpEBVSDkiIhg9w4yUJxOs0dtrA17Oc4Lgz&#10;T7Mz+Xa2vTjh6DtHCpaLCARS7UxHjYK36ukmBeGDJqN7R6jgCz1si8uLXGfGnekVT/vQCA4hn2kF&#10;bQhDJqWvW7TaL9yAxN67G60OfI6NNKM+c7jtZRxFd9LqjvhDqwd8bLH+3E9WwdGXfbm6PX4/Y2XK&#10;3UAfL1O1U+r6an64BxFwDn8w/Nbn6lBwp4ObyHjRK1jHyYZRNtJVDIKJdbLkMQdWNmkCssjl/w3F&#10;DwAAAP//AwBQSwECLQAUAAYACAAAACEAtoM4kv4AAADhAQAAEwAAAAAAAAAAAAAAAAAAAAAAW0Nv&#10;bnRlbnRfVHlwZXNdLnhtbFBLAQItABQABgAIAAAAIQA4/SH/1gAAAJQBAAALAAAAAAAAAAAAAAAA&#10;AC8BAABfcmVscy8ucmVsc1BLAQItABQABgAIAAAAIQBtaeHR+AEAAKgDAAAOAAAAAAAAAAAAAAAA&#10;AC4CAABkcnMvZTJvRG9jLnhtbFBLAQItABQABgAIAAAAIQCXzrXR4QAAAAsBAAAPAAAAAAAAAAAA&#10;AAAAAFIEAABkcnMvZG93bnJldi54bWxQSwUGAAAAAAQABADzAAAAYAUAAAAA&#10;" filled="f" strokecolor="#385d8a" strokeweight=".5pt">
                <v:stroke dashstyle="3 1"/>
                <v:path arrowok="t"/>
              </v:rect>
            </w:pict>
          </mc:Fallback>
        </mc:AlternateContent>
      </w:r>
      <w:r>
        <w:rPr>
          <w:rFonts w:ascii="Times New Roman" w:hAnsi="Times New Roman"/>
          <w:noProof/>
          <w:sz w:val="28"/>
          <w:szCs w:val="28"/>
        </w:rPr>
        <mc:AlternateContent>
          <mc:Choice Requires="wps">
            <w:drawing>
              <wp:anchor distT="0" distB="0" distL="114300" distR="114300" simplePos="0" relativeHeight="251753472" behindDoc="0" locked="0" layoutInCell="1" allowOverlap="1" wp14:anchorId="79CF3079" wp14:editId="5FD0D722">
                <wp:simplePos x="0" y="0"/>
                <wp:positionH relativeFrom="column">
                  <wp:posOffset>2509879</wp:posOffset>
                </wp:positionH>
                <wp:positionV relativeFrom="paragraph">
                  <wp:posOffset>1128091</wp:posOffset>
                </wp:positionV>
                <wp:extent cx="2954702" cy="1648772"/>
                <wp:effectExtent l="0" t="0" r="17145" b="2794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4702" cy="1648772"/>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160EFF5" id="Прямоугольник 123" o:spid="_x0000_s1026" style="position:absolute;margin-left:197.65pt;margin-top:88.85pt;width:232.65pt;height:129.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1mvwIAAJsFAAAOAAAAZHJzL2Uyb0RvYy54bWysVM1O3DAQvlfqO1i+l2TThYWILFqBqCqt&#10;ABUqzsaxSVTHdm3vX0+VuFbqI/Qheqn6wzNk36hjOxsooB6q5mBlPN988+OZ2T9YNgLNmbG1kgUe&#10;bKUYMUlVWcvrAr+9OH6xi5F1RJZEKMkKvGIWH4yfP9tf6JxlqlKiZAYBibT5Qhe4ck7nSWJpxRpi&#10;t5RmEpRcmYY4EM11UhqyAPZGJFma7iQLZUptFGXWwu1RVOJx4OecUXfKuWUOiQJDbC6cJpxX/kzG&#10;+yS/NkRXNe3CIP8QRUNqCU57qiPiCJqZ+hFVU1OjrOJui6omUZzXlIUcIJtB+iCb84poFnKB4ljd&#10;l8n+P1p6Mj8zqC7h7bKXGEnSwCO1X9Yf15/bn+3t+qb92t62P9af2l/tt/Y78iio2ULbHEzP9Znx&#10;WVs9VfSdBUXyh8YLtsMsuWk8FnJGy/AAq/4B2NIhCpfZ3vZwlGYYUdANdoa7o1Hm3SUk35hrY90r&#10;phrkfwps4IVD4cl8al2EbiDem1THtRBwT3Ih/emVR8RWaE6gJezKeqHz4REhgRhziN6tBIvWbxiH&#10;Qvkog8PQouxQmMhEKGXSDaKqIiWL19spfB19bxESEhIIPTOHAHvujsC3/2PumF6H96YsdHhvnP4t&#10;sGjcWwTPSrreuKmlMk8RCMiq8xzxmyLF0vgqXalyBW1kVJwvq+lxDXWeEuvOiIGBgtGDJeFO4eBC&#10;LQqsuj+MKmU+PHXv8dDnoMVoAQMKj/V+RgzDSLyWMAF7g+HQT3QQhtujDARzX3N1XyNnzaGCBx/A&#10;OtI0/Hq8E5tfblRzCbtk4r2CikgKvgtMndkIhy4uDthGlE0mAQZTrImbynNNPbmvqu+wi+UlMbrr&#10;UQftfaI2w0zyB60asd5SqsnMKV6HPr6ra1dv2AChcbpt5VfMfTmg7nbq+DcAAAD//wMAUEsDBBQA&#10;BgAIAAAAIQCV9y7Y3wAAAAsBAAAPAAAAZHJzL2Rvd25yZXYueG1sTI/BTsMwEETvSPyDtUhcEHXa&#10;QFLSOFUEQuJKQRVHN16cqPE6it00/XuWExxX8zTzttzOrhcTjqHzpGC5SEAgNd50ZBV8frzer0GE&#10;qMno3hMquGCAbXV9VerC+DO947SLVnAJhUIraGMcCilD06LTYeEHJM6+/eh05HO00oz6zOWul6sk&#10;yaTTHfFCqwd8brE57k5OwT5Sd/diJ7y87W2Yva3rL1srdXsz1xsQEef4B8OvPqtDxU4HfyITRK8g&#10;fXpMGeUgz3MQTKyzJANxUPCQ5inIqpT/f6h+AAAA//8DAFBLAQItABQABgAIAAAAIQC2gziS/gAA&#10;AOEBAAATAAAAAAAAAAAAAAAAAAAAAABbQ29udGVudF9UeXBlc10ueG1sUEsBAi0AFAAGAAgAAAAh&#10;ADj9If/WAAAAlAEAAAsAAAAAAAAAAAAAAAAALwEAAF9yZWxzLy5yZWxzUEsBAi0AFAAGAAgAAAAh&#10;ADguDWa/AgAAmwUAAA4AAAAAAAAAAAAAAAAALgIAAGRycy9lMm9Eb2MueG1sUEsBAi0AFAAGAAgA&#10;AAAhAJX3LtjfAAAACwEAAA8AAAAAAAAAAAAAAAAAGQUAAGRycy9kb3ducmV2LnhtbFBLBQYAAAAA&#10;BAAEAPMAAAAlBgAAAAA=&#10;" filled="f" strokecolor="#1f3763 [1604]" strokeweight="1pt">
                <v:stroke dashstyle="3 1"/>
                <v:path arrowok="t"/>
              </v:rect>
            </w:pict>
          </mc:Fallback>
        </mc:AlternateContent>
      </w:r>
      <w:r>
        <w:rPr>
          <w:rFonts w:ascii="Times New Roman" w:eastAsia="Calibri" w:hAnsi="Times New Roman"/>
          <w:noProof/>
          <w:sz w:val="24"/>
          <w:szCs w:val="24"/>
        </w:rPr>
        <w:drawing>
          <wp:inline distT="0" distB="0" distL="0" distR="0" wp14:anchorId="7F17DA3A" wp14:editId="3359BA1C">
            <wp:extent cx="5796501" cy="32004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F2BDBA0" w14:textId="77777777" w:rsidR="00540656" w:rsidRDefault="00540656" w:rsidP="00540656">
      <w:pPr>
        <w:widowControl w:val="0"/>
        <w:spacing w:after="0" w:line="240" w:lineRule="auto"/>
        <w:ind w:firstLine="709"/>
        <w:jc w:val="center"/>
        <w:rPr>
          <w:rFonts w:ascii="Times New Roman" w:eastAsia="Calibri" w:hAnsi="Times New Roman"/>
          <w:sz w:val="24"/>
          <w:szCs w:val="24"/>
        </w:rPr>
      </w:pPr>
    </w:p>
    <w:bookmarkEnd w:id="28"/>
    <w:p w14:paraId="4095606B" w14:textId="77777777" w:rsidR="00540656" w:rsidRPr="007B297F" w:rsidRDefault="00540656" w:rsidP="00540656">
      <w:pPr>
        <w:widowControl w:val="0"/>
        <w:shd w:val="clear" w:color="auto" w:fill="FFFFFF"/>
        <w:spacing w:after="0" w:line="240" w:lineRule="auto"/>
        <w:ind w:firstLine="567"/>
        <w:contextualSpacing/>
        <w:jc w:val="both"/>
        <w:rPr>
          <w:rFonts w:ascii="Times New Roman" w:eastAsia="Calibri" w:hAnsi="Times New Roman"/>
          <w:sz w:val="28"/>
          <w:szCs w:val="28"/>
        </w:rPr>
      </w:pPr>
      <w:r w:rsidRPr="00540656">
        <w:rPr>
          <w:rFonts w:ascii="Times New Roman" w:hAnsi="Times New Roman"/>
          <w:sz w:val="28"/>
          <w:szCs w:val="28"/>
        </w:rPr>
        <w:t>В 2021 году организациями малого бизнеса произведено продукции (товаров, работ,</w:t>
      </w:r>
      <w:r w:rsidRPr="007B297F">
        <w:rPr>
          <w:rFonts w:ascii="Times New Roman" w:hAnsi="Times New Roman"/>
          <w:sz w:val="28"/>
          <w:szCs w:val="28"/>
        </w:rPr>
        <w:t xml:space="preserve"> услуг) на сумму 3 962,4 млн руб. (+45,0%), из которых 48,7% приходится на микропредприятия. Полученный доход от продаж (</w:t>
      </w:r>
      <w:r w:rsidRPr="007B297F">
        <w:rPr>
          <w:rFonts w:ascii="Times New Roman" w:eastAsia="Calibri" w:hAnsi="Times New Roman"/>
          <w:sz w:val="28"/>
          <w:szCs w:val="28"/>
        </w:rPr>
        <w:t>выручка) превысил базисный уровень на 34,6%, составив 6 924,2 млн руб., из которых 3 815,2 млн руб. – доход от продажи товаров (+32,7%).</w:t>
      </w:r>
    </w:p>
    <w:p w14:paraId="3DA0B3CD" w14:textId="77777777" w:rsidR="00540656" w:rsidRPr="007B297F" w:rsidRDefault="00540656" w:rsidP="00540656">
      <w:pPr>
        <w:widowControl w:val="0"/>
        <w:shd w:val="clear" w:color="auto" w:fill="FFFFFF"/>
        <w:spacing w:after="0" w:line="240" w:lineRule="auto"/>
        <w:ind w:firstLine="567"/>
        <w:jc w:val="both"/>
        <w:rPr>
          <w:rFonts w:ascii="Times New Roman" w:eastAsia="Calibri" w:hAnsi="Times New Roman"/>
          <w:sz w:val="28"/>
          <w:szCs w:val="28"/>
        </w:rPr>
      </w:pPr>
      <w:r w:rsidRPr="007B297F">
        <w:rPr>
          <w:rFonts w:ascii="Times New Roman" w:eastAsia="Calibri" w:hAnsi="Times New Roman"/>
          <w:sz w:val="28"/>
          <w:szCs w:val="28"/>
        </w:rPr>
        <w:t xml:space="preserve">Совокупным результатом финансово-хозяйственной деятельности субъектов малого предпринимательства (без физических лиц) по итогам 2021 года сформировался убыток в размере 198,8 млн руб., а доля нерентабельных предприятий в общем числе </w:t>
      </w:r>
      <w:r w:rsidRPr="007B297F">
        <w:rPr>
          <w:rFonts w:ascii="Times New Roman" w:hAnsi="Times New Roman"/>
          <w:sz w:val="28"/>
          <w:szCs w:val="28"/>
        </w:rPr>
        <w:t>отчитавшихся субъектов составила 32,3% (1 201,1 млн руб. суммарного убытка). Прибыль получили 49,6% компаний, при этом величина сгенерированной прибыла составила 1 002,3 млн руб. В общей сумме сформированной прибыли 37,3</w:t>
      </w:r>
      <w:r w:rsidRPr="007B297F">
        <w:rPr>
          <w:rFonts w:ascii="Times New Roman" w:eastAsia="Calibri" w:hAnsi="Times New Roman"/>
          <w:sz w:val="28"/>
          <w:szCs w:val="28"/>
        </w:rPr>
        <w:t xml:space="preserve">% приходится на организации </w:t>
      </w:r>
      <w:r w:rsidRPr="007B297F">
        <w:rPr>
          <w:rFonts w:ascii="Times New Roman" w:hAnsi="Times New Roman"/>
          <w:sz w:val="28"/>
          <w:szCs w:val="28"/>
        </w:rPr>
        <w:t>сельского хозяйства</w:t>
      </w:r>
      <w:r w:rsidRPr="007B297F">
        <w:rPr>
          <w:rFonts w:ascii="Times New Roman" w:eastAsia="Calibri" w:hAnsi="Times New Roman"/>
          <w:sz w:val="28"/>
          <w:szCs w:val="28"/>
        </w:rPr>
        <w:t>, 23,6% – торговли и общепита и 13,5% – промышленности.</w:t>
      </w:r>
    </w:p>
    <w:p w14:paraId="591E8B86" w14:textId="0B9294A8" w:rsidR="00540656" w:rsidRPr="00634718" w:rsidRDefault="00540656" w:rsidP="00540656">
      <w:pPr>
        <w:widowControl w:val="0"/>
        <w:shd w:val="clear" w:color="auto" w:fill="FFFFFF"/>
        <w:spacing w:after="0" w:line="240" w:lineRule="auto"/>
        <w:ind w:firstLine="567"/>
        <w:jc w:val="both"/>
        <w:rPr>
          <w:rFonts w:ascii="Times New Roman" w:hAnsi="Times New Roman"/>
          <w:sz w:val="28"/>
          <w:szCs w:val="28"/>
        </w:rPr>
      </w:pPr>
      <w:r w:rsidRPr="007B297F">
        <w:rPr>
          <w:rFonts w:ascii="Times New Roman" w:hAnsi="Times New Roman"/>
          <w:sz w:val="28"/>
          <w:szCs w:val="28"/>
        </w:rPr>
        <w:t>В бюджеты всех уровней и внебюджетные фонды фактически внесено налогов и платежей в сумме 494,2 млн руб. (+25,3%). Практически каждый второй рубль перечислен микропредприятиями (48,2% в общей структуре) или 238,4 млн руб., превысив на +33,4% показател</w:t>
      </w:r>
      <w:r>
        <w:rPr>
          <w:rFonts w:ascii="Times New Roman" w:hAnsi="Times New Roman"/>
          <w:sz w:val="28"/>
          <w:szCs w:val="28"/>
        </w:rPr>
        <w:t>ь</w:t>
      </w:r>
      <w:r w:rsidRPr="007B297F">
        <w:rPr>
          <w:rFonts w:ascii="Times New Roman" w:hAnsi="Times New Roman"/>
          <w:sz w:val="28"/>
          <w:szCs w:val="28"/>
        </w:rPr>
        <w:t xml:space="preserve"> прошлого года.</w:t>
      </w:r>
      <w:r w:rsidRPr="00634718">
        <w:rPr>
          <w:rFonts w:ascii="Times New Roman" w:hAnsi="Times New Roman"/>
          <w:sz w:val="28"/>
          <w:szCs w:val="28"/>
        </w:rPr>
        <w:t xml:space="preserve"> В структуре платежей основной объем приходится на налог на доходы организаций –34,9%, или 172,6 млн руб. (+16,3%), а также единый социальный налог – 22,</w:t>
      </w:r>
      <w:r>
        <w:rPr>
          <w:rFonts w:ascii="Times New Roman" w:hAnsi="Times New Roman"/>
          <w:sz w:val="28"/>
          <w:szCs w:val="28"/>
        </w:rPr>
        <w:t>7</w:t>
      </w:r>
      <w:r w:rsidRPr="00634718">
        <w:rPr>
          <w:rFonts w:ascii="Times New Roman" w:hAnsi="Times New Roman"/>
          <w:sz w:val="28"/>
          <w:szCs w:val="28"/>
        </w:rPr>
        <w:t>%, или 112,1 млн руб. (+14,1%).</w:t>
      </w:r>
    </w:p>
    <w:p w14:paraId="03DB7B89" w14:textId="4A337653" w:rsidR="00540656" w:rsidRPr="00634718" w:rsidRDefault="00540656" w:rsidP="00540656">
      <w:pPr>
        <w:spacing w:after="0" w:line="240" w:lineRule="auto"/>
        <w:ind w:firstLine="567"/>
        <w:jc w:val="both"/>
        <w:rPr>
          <w:rFonts w:ascii="Times New Roman" w:hAnsi="Times New Roman"/>
          <w:sz w:val="28"/>
          <w:szCs w:val="28"/>
        </w:rPr>
      </w:pPr>
      <w:r w:rsidRPr="00634718">
        <w:rPr>
          <w:rFonts w:ascii="Times New Roman" w:eastAsia="Calibri" w:hAnsi="Times New Roman"/>
          <w:sz w:val="28"/>
          <w:szCs w:val="28"/>
        </w:rPr>
        <w:lastRenderedPageBreak/>
        <w:t xml:space="preserve">Свойственная деятельности </w:t>
      </w:r>
      <w:r w:rsidRPr="00540656">
        <w:rPr>
          <w:rFonts w:ascii="Times New Roman" w:eastAsia="Calibri" w:hAnsi="Times New Roman"/>
          <w:b/>
          <w:sz w:val="28"/>
          <w:szCs w:val="28"/>
        </w:rPr>
        <w:t xml:space="preserve">индивидуального предпринимательства </w:t>
      </w:r>
      <w:r w:rsidRPr="00540656">
        <w:rPr>
          <w:rFonts w:ascii="Times New Roman" w:eastAsia="Calibri" w:hAnsi="Times New Roman"/>
          <w:sz w:val="28"/>
          <w:szCs w:val="28"/>
        </w:rPr>
        <w:t>г</w:t>
      </w:r>
      <w:r w:rsidRPr="00540656">
        <w:rPr>
          <w:rFonts w:ascii="Times New Roman" w:hAnsi="Times New Roman"/>
          <w:sz w:val="28"/>
          <w:szCs w:val="28"/>
        </w:rPr>
        <w:t>ибкость, а также меры антикризисной и системной поддержки от государства сглажива</w:t>
      </w:r>
      <w:r w:rsidR="00570BE4">
        <w:rPr>
          <w:rFonts w:ascii="Times New Roman" w:hAnsi="Times New Roman"/>
          <w:sz w:val="28"/>
          <w:szCs w:val="28"/>
        </w:rPr>
        <w:t>ли</w:t>
      </w:r>
      <w:r w:rsidRPr="00540656">
        <w:rPr>
          <w:rFonts w:ascii="Times New Roman" w:hAnsi="Times New Roman"/>
          <w:sz w:val="28"/>
          <w:szCs w:val="28"/>
        </w:rPr>
        <w:t xml:space="preserve"> эффект негативных</w:t>
      </w:r>
      <w:r w:rsidRPr="00634718">
        <w:rPr>
          <w:rFonts w:ascii="Times New Roman" w:hAnsi="Times New Roman"/>
          <w:sz w:val="28"/>
          <w:szCs w:val="28"/>
        </w:rPr>
        <w:t xml:space="preserve"> последствий распространения новых штаммов коронавирусной инфекции.</w:t>
      </w:r>
    </w:p>
    <w:p w14:paraId="161EE0CF" w14:textId="7B4F8660" w:rsidR="00540656" w:rsidRPr="00634718" w:rsidRDefault="00540656" w:rsidP="00540656">
      <w:pPr>
        <w:spacing w:after="0" w:line="240" w:lineRule="auto"/>
        <w:ind w:firstLine="567"/>
        <w:jc w:val="both"/>
        <w:rPr>
          <w:rFonts w:ascii="Times New Roman" w:hAnsi="Times New Roman"/>
          <w:sz w:val="28"/>
          <w:szCs w:val="28"/>
        </w:rPr>
      </w:pPr>
      <w:r w:rsidRPr="00CC49F3">
        <w:rPr>
          <w:rFonts w:ascii="Times New Roman" w:hAnsi="Times New Roman"/>
          <w:sz w:val="28"/>
          <w:szCs w:val="28"/>
        </w:rPr>
        <w:t>Согласно статистическим данным Министерства финансов Приднестровской Молдавской Республики</w:t>
      </w:r>
      <w:r w:rsidR="00CC49F3">
        <w:rPr>
          <w:rFonts w:ascii="Times New Roman" w:hAnsi="Times New Roman"/>
          <w:sz w:val="28"/>
          <w:szCs w:val="28"/>
        </w:rPr>
        <w:t>,</w:t>
      </w:r>
      <w:r w:rsidRPr="00CC49F3">
        <w:rPr>
          <w:rFonts w:ascii="Times New Roman" w:hAnsi="Times New Roman"/>
          <w:sz w:val="28"/>
          <w:szCs w:val="28"/>
        </w:rPr>
        <w:t xml:space="preserve"> количество физических лиц, фактически осуществлявших деятельность по специальным налоговым режимам, </w:t>
      </w:r>
      <w:r w:rsidR="00CE4F65">
        <w:rPr>
          <w:rFonts w:ascii="Times New Roman" w:hAnsi="Times New Roman"/>
          <w:sz w:val="28"/>
          <w:szCs w:val="28"/>
        </w:rPr>
        <w:t>–</w:t>
      </w:r>
      <w:r w:rsidRPr="00CC49F3">
        <w:rPr>
          <w:rFonts w:ascii="Times New Roman" w:hAnsi="Times New Roman"/>
          <w:sz w:val="28"/>
          <w:szCs w:val="28"/>
        </w:rPr>
        <w:t xml:space="preserve"> 22 315 человек, в том числе по патентной системе налогообложения – 20 019 чел. (89,7% в общей структуре), по упрощенной системе налогообложения – 2 076 человек и в качестве самозанятых – 220 человек.</w:t>
      </w:r>
    </w:p>
    <w:p w14:paraId="39A314DB" w14:textId="77777777" w:rsidR="00540656" w:rsidRPr="00634718" w:rsidRDefault="00540656" w:rsidP="00540656">
      <w:pPr>
        <w:widowControl w:val="0"/>
        <w:shd w:val="clear" w:color="auto" w:fill="FFFFFF"/>
        <w:spacing w:after="0" w:line="240" w:lineRule="auto"/>
        <w:ind w:firstLine="567"/>
        <w:jc w:val="both"/>
        <w:rPr>
          <w:rFonts w:ascii="Times New Roman" w:hAnsi="Times New Roman"/>
          <w:sz w:val="28"/>
          <w:szCs w:val="28"/>
        </w:rPr>
      </w:pPr>
      <w:r w:rsidRPr="00634718">
        <w:rPr>
          <w:rFonts w:ascii="Times New Roman" w:hAnsi="Times New Roman"/>
          <w:sz w:val="28"/>
          <w:szCs w:val="28"/>
        </w:rPr>
        <w:t xml:space="preserve">В рамках специальных налоговых режимов субъектами данной категории произведены отчисления в республиканский и местные бюджеты, а также в Единый государственный фонд социального страхования </w:t>
      </w:r>
      <w:r>
        <w:rPr>
          <w:rFonts w:ascii="Times New Roman" w:hAnsi="Times New Roman"/>
          <w:sz w:val="28"/>
          <w:szCs w:val="28"/>
        </w:rPr>
        <w:t xml:space="preserve">Приднестровской Молдавской Республики </w:t>
      </w:r>
      <w:r w:rsidRPr="00634718">
        <w:rPr>
          <w:rFonts w:ascii="Times New Roman" w:hAnsi="Times New Roman"/>
          <w:sz w:val="28"/>
          <w:szCs w:val="28"/>
        </w:rPr>
        <w:t>в размере 95,9 млн руб., или 2,4% от всех налоговых доходов государственного бюджета республики.</w:t>
      </w:r>
    </w:p>
    <w:p w14:paraId="4063DD1E" w14:textId="77777777" w:rsidR="00540656" w:rsidRPr="00014975" w:rsidRDefault="00540656" w:rsidP="00540656">
      <w:pPr>
        <w:spacing w:after="0" w:line="240" w:lineRule="auto"/>
        <w:ind w:firstLine="567"/>
        <w:jc w:val="both"/>
        <w:rPr>
          <w:rFonts w:ascii="Times New Roman" w:hAnsi="Times New Roman"/>
          <w:sz w:val="28"/>
          <w:szCs w:val="28"/>
        </w:rPr>
      </w:pPr>
      <w:r w:rsidRPr="00014975">
        <w:rPr>
          <w:rFonts w:ascii="Times New Roman" w:hAnsi="Times New Roman"/>
          <w:sz w:val="28"/>
          <w:szCs w:val="28"/>
        </w:rPr>
        <w:t>В целях развития предпринимательства и обеспечения стабильно высокого уровня занятости населения и экономического роста в отчетном периоде была продолжена реализация проектов «Функционирование «Бизнес-Школы» и  «Покупай приднестровское!», в рамках утверждённой Государственной целевой программы «Поддержка и развитие предпринимательства в Приднестровской Молдавской Республике на 2019-2021 годы» в соответствии с Законом Приднестровской Молдавской Республики от 29 мая 2019 года № 98-З-VI.</w:t>
      </w:r>
    </w:p>
    <w:p w14:paraId="52268D48" w14:textId="77777777" w:rsidR="00540656" w:rsidRPr="00634718" w:rsidRDefault="00540656" w:rsidP="00540656">
      <w:pPr>
        <w:spacing w:after="0" w:line="240" w:lineRule="auto"/>
        <w:ind w:firstLine="567"/>
        <w:jc w:val="both"/>
        <w:rPr>
          <w:rFonts w:ascii="Times New Roman" w:hAnsi="Times New Roman"/>
          <w:sz w:val="28"/>
          <w:szCs w:val="28"/>
        </w:rPr>
      </w:pPr>
      <w:r w:rsidRPr="00634718">
        <w:rPr>
          <w:rFonts w:ascii="Times New Roman" w:hAnsi="Times New Roman"/>
          <w:sz w:val="28"/>
          <w:szCs w:val="28"/>
        </w:rPr>
        <w:t>В рамках улучшения ведения предпринимательской деятельности реализован комплекс мероприятий по улучшению внутренних условий ведения предпринимательской деятельности (исполнено 16 мероприятий, в стадии исполнения – 14).</w:t>
      </w:r>
    </w:p>
    <w:p w14:paraId="2C06E4A4" w14:textId="77777777" w:rsidR="00540656" w:rsidRPr="00634718" w:rsidRDefault="00540656" w:rsidP="00540656">
      <w:pPr>
        <w:spacing w:after="0" w:line="240" w:lineRule="auto"/>
        <w:ind w:firstLine="567"/>
        <w:contextualSpacing/>
        <w:jc w:val="both"/>
        <w:rPr>
          <w:rFonts w:ascii="Times New Roman" w:hAnsi="Times New Roman"/>
          <w:sz w:val="28"/>
          <w:szCs w:val="28"/>
        </w:rPr>
      </w:pPr>
      <w:r w:rsidRPr="00634718">
        <w:rPr>
          <w:rFonts w:ascii="Times New Roman" w:hAnsi="Times New Roman"/>
          <w:sz w:val="28"/>
          <w:szCs w:val="28"/>
        </w:rPr>
        <w:t>В целях усовершенствования форм электронной отчетности проводилась координация работы в рамках ГИС «Электронная отчетность», в части форм электронной отчетности, принимающей стороной которых является Министерство экономического развития Приднестровской Молдавской Республики.</w:t>
      </w:r>
    </w:p>
    <w:p w14:paraId="1F7E271F" w14:textId="77777777" w:rsidR="00540656" w:rsidRPr="00634718" w:rsidRDefault="00540656" w:rsidP="00540656">
      <w:pPr>
        <w:spacing w:after="0" w:line="240" w:lineRule="auto"/>
        <w:ind w:firstLine="567"/>
        <w:contextualSpacing/>
        <w:jc w:val="both"/>
        <w:rPr>
          <w:rFonts w:ascii="Times New Roman" w:hAnsi="Times New Roman"/>
          <w:sz w:val="28"/>
          <w:szCs w:val="28"/>
        </w:rPr>
      </w:pPr>
      <w:r w:rsidRPr="00634718">
        <w:rPr>
          <w:rFonts w:ascii="Times New Roman" w:hAnsi="Times New Roman"/>
          <w:sz w:val="28"/>
          <w:szCs w:val="28"/>
        </w:rPr>
        <w:t>Упрощена процедура ликвидации юридических лиц, независимо от организационно-правовой формы юридического лица, посредством разработки нового нормативно-правового акта, регламентирующего порядок ликвидации организаций.</w:t>
      </w:r>
    </w:p>
    <w:p w14:paraId="45AF84F0" w14:textId="77777777" w:rsidR="00540656" w:rsidRPr="00634718" w:rsidRDefault="00540656" w:rsidP="00540656">
      <w:pPr>
        <w:spacing w:after="0" w:line="240" w:lineRule="auto"/>
        <w:ind w:firstLine="567"/>
        <w:jc w:val="both"/>
        <w:rPr>
          <w:rFonts w:ascii="Times New Roman" w:hAnsi="Times New Roman"/>
          <w:sz w:val="28"/>
          <w:szCs w:val="28"/>
        </w:rPr>
      </w:pPr>
      <w:r w:rsidRPr="00634718">
        <w:rPr>
          <w:rFonts w:ascii="Times New Roman" w:hAnsi="Times New Roman"/>
          <w:sz w:val="28"/>
          <w:szCs w:val="28"/>
        </w:rPr>
        <w:t>В целях стимулирования потребительского интереса к товарам отечественного производства и для передачи прав на использование товарных знаков и знаков обслуживания, разработанных в целях стимулирования потребительского интереса к товарам отечественного производства утвержден порядок выдачи письменного заключения, подтверждающего право на совершение регистрационных действий в отношении товарных знаков и знаков обслуживания.</w:t>
      </w:r>
    </w:p>
    <w:p w14:paraId="798BB942" w14:textId="77777777" w:rsidR="00540656" w:rsidRPr="00634718" w:rsidRDefault="00540656" w:rsidP="00540656">
      <w:pPr>
        <w:spacing w:after="0" w:line="240" w:lineRule="auto"/>
        <w:ind w:firstLine="567"/>
        <w:jc w:val="both"/>
        <w:rPr>
          <w:rFonts w:ascii="Times New Roman" w:hAnsi="Times New Roman"/>
          <w:sz w:val="28"/>
          <w:szCs w:val="28"/>
        </w:rPr>
      </w:pPr>
      <w:r w:rsidRPr="00634718">
        <w:rPr>
          <w:rFonts w:ascii="Times New Roman" w:hAnsi="Times New Roman"/>
          <w:sz w:val="28"/>
          <w:szCs w:val="28"/>
        </w:rPr>
        <w:lastRenderedPageBreak/>
        <w:t>В целях повышени</w:t>
      </w:r>
      <w:r>
        <w:rPr>
          <w:rFonts w:ascii="Times New Roman" w:hAnsi="Times New Roman"/>
          <w:sz w:val="28"/>
          <w:szCs w:val="28"/>
        </w:rPr>
        <w:t>я</w:t>
      </w:r>
      <w:r w:rsidRPr="00634718">
        <w:rPr>
          <w:rFonts w:ascii="Times New Roman" w:hAnsi="Times New Roman"/>
          <w:sz w:val="28"/>
          <w:szCs w:val="28"/>
        </w:rPr>
        <w:t xml:space="preserve"> интереса молодежи к экономическому развитию республики и отражения через создание художественных работ видения ее развития и популяризации национальных традиций реализован конкурс рисунков и картин «Хочу жить в Приднестровье. Взгляд в будущее».</w:t>
      </w:r>
    </w:p>
    <w:p w14:paraId="004F2386" w14:textId="77777777" w:rsidR="00540656" w:rsidRPr="00634718" w:rsidRDefault="00540656" w:rsidP="00540656">
      <w:pPr>
        <w:spacing w:after="0" w:line="240" w:lineRule="auto"/>
        <w:ind w:firstLine="567"/>
        <w:contextualSpacing/>
        <w:jc w:val="both"/>
        <w:rPr>
          <w:rFonts w:ascii="Times New Roman" w:hAnsi="Times New Roman"/>
          <w:sz w:val="28"/>
          <w:szCs w:val="28"/>
        </w:rPr>
      </w:pPr>
    </w:p>
    <w:p w14:paraId="7712799C" w14:textId="77777777" w:rsidR="00540656" w:rsidRPr="006833F7" w:rsidRDefault="00540656" w:rsidP="00540656">
      <w:pPr>
        <w:pStyle w:val="2"/>
        <w:spacing w:before="0" w:line="240" w:lineRule="auto"/>
        <w:ind w:firstLine="567"/>
        <w:rPr>
          <w:rFonts w:ascii="Times New Roman" w:eastAsia="Times New Roman" w:hAnsi="Times New Roman" w:cs="Times New Roman"/>
          <w:b/>
          <w:color w:val="auto"/>
          <w:sz w:val="28"/>
          <w:szCs w:val="28"/>
        </w:rPr>
      </w:pPr>
      <w:bookmarkStart w:id="29" w:name="_Toc101441785"/>
      <w:r w:rsidRPr="006833F7">
        <w:rPr>
          <w:rFonts w:ascii="Times New Roman" w:eastAsia="Times New Roman" w:hAnsi="Times New Roman" w:cs="Times New Roman"/>
          <w:b/>
          <w:color w:val="auto"/>
          <w:sz w:val="28"/>
          <w:szCs w:val="28"/>
        </w:rPr>
        <w:t>Туризм</w:t>
      </w:r>
      <w:bookmarkEnd w:id="29"/>
    </w:p>
    <w:p w14:paraId="1AD03CC7" w14:textId="42EE5EBB" w:rsidR="00540656" w:rsidRPr="00634718" w:rsidRDefault="00540656" w:rsidP="00540656">
      <w:pPr>
        <w:spacing w:after="0" w:line="240" w:lineRule="auto"/>
        <w:ind w:firstLine="567"/>
        <w:jc w:val="both"/>
        <w:rPr>
          <w:rFonts w:ascii="Times New Roman" w:hAnsi="Times New Roman"/>
          <w:sz w:val="28"/>
          <w:szCs w:val="28"/>
        </w:rPr>
      </w:pPr>
      <w:r w:rsidRPr="00634718">
        <w:rPr>
          <w:rFonts w:ascii="Times New Roman" w:hAnsi="Times New Roman"/>
          <w:sz w:val="28"/>
          <w:szCs w:val="28"/>
        </w:rPr>
        <w:t xml:space="preserve">В условиях выявления необходимости реализации дополнительных мероприятий для развития туризма, в частности создания зон </w:t>
      </w:r>
      <w:proofErr w:type="spellStart"/>
      <w:r w:rsidRPr="00634718">
        <w:rPr>
          <w:rFonts w:ascii="Times New Roman" w:hAnsi="Times New Roman"/>
          <w:sz w:val="28"/>
          <w:szCs w:val="28"/>
        </w:rPr>
        <w:t>Wi-Fi</w:t>
      </w:r>
      <w:proofErr w:type="spellEnd"/>
      <w:r w:rsidRPr="00634718">
        <w:rPr>
          <w:rFonts w:ascii="Times New Roman" w:hAnsi="Times New Roman"/>
          <w:sz w:val="28"/>
          <w:szCs w:val="28"/>
        </w:rPr>
        <w:t xml:space="preserve"> на основны</w:t>
      </w:r>
      <w:r>
        <w:rPr>
          <w:rFonts w:ascii="Times New Roman" w:hAnsi="Times New Roman"/>
          <w:sz w:val="28"/>
          <w:szCs w:val="28"/>
        </w:rPr>
        <w:t>х</w:t>
      </w:r>
      <w:r w:rsidRPr="00634718">
        <w:rPr>
          <w:rFonts w:ascii="Times New Roman" w:hAnsi="Times New Roman"/>
          <w:sz w:val="28"/>
          <w:szCs w:val="28"/>
        </w:rPr>
        <w:t xml:space="preserve"> туристски</w:t>
      </w:r>
      <w:r>
        <w:rPr>
          <w:rFonts w:ascii="Times New Roman" w:hAnsi="Times New Roman"/>
          <w:sz w:val="28"/>
          <w:szCs w:val="28"/>
        </w:rPr>
        <w:t>х</w:t>
      </w:r>
      <w:r w:rsidRPr="00634718">
        <w:rPr>
          <w:rFonts w:ascii="Times New Roman" w:hAnsi="Times New Roman"/>
          <w:sz w:val="28"/>
          <w:szCs w:val="28"/>
        </w:rPr>
        <w:t xml:space="preserve"> достопримечательнос</w:t>
      </w:r>
      <w:r>
        <w:rPr>
          <w:rFonts w:ascii="Times New Roman" w:hAnsi="Times New Roman"/>
          <w:sz w:val="28"/>
          <w:szCs w:val="28"/>
        </w:rPr>
        <w:t>тях,</w:t>
      </w:r>
      <w:r w:rsidRPr="00634718">
        <w:rPr>
          <w:rFonts w:ascii="Times New Roman" w:hAnsi="Times New Roman"/>
          <w:sz w:val="28"/>
          <w:szCs w:val="28"/>
        </w:rPr>
        <w:t xml:space="preserve"> была актуализирована государственная целевая программа «Поддержка и развитие туризма в Приднестровской Молдавской Республике» на 2019–2026 годы.</w:t>
      </w:r>
    </w:p>
    <w:p w14:paraId="41B85DC2" w14:textId="77777777" w:rsidR="00540656" w:rsidRPr="00634718" w:rsidRDefault="00540656" w:rsidP="00540656">
      <w:pPr>
        <w:spacing w:after="0" w:line="240" w:lineRule="auto"/>
        <w:ind w:firstLine="567"/>
        <w:jc w:val="both"/>
        <w:rPr>
          <w:rFonts w:ascii="Times New Roman" w:hAnsi="Times New Roman"/>
          <w:sz w:val="28"/>
          <w:szCs w:val="28"/>
        </w:rPr>
      </w:pPr>
      <w:r w:rsidRPr="00634718">
        <w:rPr>
          <w:rFonts w:ascii="Times New Roman" w:hAnsi="Times New Roman"/>
          <w:sz w:val="28"/>
          <w:szCs w:val="28"/>
        </w:rPr>
        <w:t>В целях реализации мероприятий социального туризма в республике, включая реализацию мероприятий по детско-юношескому туризму, как одному из направлений социального туризма, утвержден Комплексный план мероприятий по развитию социального и детско-юношеского туризма в Приднестровской Молдавской Республике на 2021-2023 годы».</w:t>
      </w:r>
    </w:p>
    <w:p w14:paraId="58F1AF8B" w14:textId="77777777" w:rsidR="00540656" w:rsidRPr="00634718" w:rsidRDefault="00540656" w:rsidP="00540656">
      <w:pPr>
        <w:spacing w:after="0" w:line="240" w:lineRule="auto"/>
        <w:ind w:firstLine="567"/>
        <w:jc w:val="both"/>
        <w:rPr>
          <w:rFonts w:ascii="Times New Roman" w:hAnsi="Times New Roman"/>
          <w:sz w:val="28"/>
          <w:szCs w:val="28"/>
        </w:rPr>
      </w:pPr>
      <w:r>
        <w:rPr>
          <w:rFonts w:ascii="Times New Roman" w:hAnsi="Times New Roman"/>
          <w:sz w:val="28"/>
          <w:szCs w:val="28"/>
        </w:rPr>
        <w:t>Для с</w:t>
      </w:r>
      <w:r w:rsidRPr="00634718">
        <w:rPr>
          <w:rFonts w:ascii="Times New Roman" w:hAnsi="Times New Roman"/>
          <w:sz w:val="28"/>
          <w:szCs w:val="28"/>
        </w:rPr>
        <w:t xml:space="preserve">одействия развитию </w:t>
      </w:r>
      <w:proofErr w:type="spellStart"/>
      <w:r w:rsidRPr="00634718">
        <w:rPr>
          <w:rFonts w:ascii="Times New Roman" w:hAnsi="Times New Roman"/>
          <w:sz w:val="28"/>
          <w:szCs w:val="28"/>
        </w:rPr>
        <w:t>велотранспорта</w:t>
      </w:r>
      <w:proofErr w:type="spellEnd"/>
      <w:r w:rsidRPr="00634718">
        <w:rPr>
          <w:rFonts w:ascii="Times New Roman" w:hAnsi="Times New Roman"/>
          <w:sz w:val="28"/>
          <w:szCs w:val="28"/>
        </w:rPr>
        <w:t xml:space="preserve"> и определени</w:t>
      </w:r>
      <w:r>
        <w:rPr>
          <w:rFonts w:ascii="Times New Roman" w:hAnsi="Times New Roman"/>
          <w:sz w:val="28"/>
          <w:szCs w:val="28"/>
        </w:rPr>
        <w:t>я</w:t>
      </w:r>
      <w:r w:rsidRPr="00634718">
        <w:rPr>
          <w:rFonts w:ascii="Times New Roman" w:hAnsi="Times New Roman"/>
          <w:sz w:val="28"/>
          <w:szCs w:val="28"/>
        </w:rPr>
        <w:t xml:space="preserve"> комплекса мероприятий для его обеспечения </w:t>
      </w:r>
      <w:r>
        <w:rPr>
          <w:rFonts w:ascii="Times New Roman" w:hAnsi="Times New Roman"/>
          <w:sz w:val="28"/>
          <w:szCs w:val="28"/>
        </w:rPr>
        <w:t>в столице республики была</w:t>
      </w:r>
      <w:r w:rsidRPr="00634718">
        <w:rPr>
          <w:rFonts w:ascii="Times New Roman" w:hAnsi="Times New Roman"/>
          <w:sz w:val="28"/>
          <w:szCs w:val="28"/>
        </w:rPr>
        <w:t xml:space="preserve"> утверждена Концепция развития </w:t>
      </w:r>
      <w:proofErr w:type="spellStart"/>
      <w:r w:rsidRPr="00634718">
        <w:rPr>
          <w:rFonts w:ascii="Times New Roman" w:hAnsi="Times New Roman"/>
          <w:sz w:val="28"/>
          <w:szCs w:val="28"/>
        </w:rPr>
        <w:t>велотранспортной</w:t>
      </w:r>
      <w:proofErr w:type="spellEnd"/>
      <w:r w:rsidRPr="00634718">
        <w:rPr>
          <w:rFonts w:ascii="Times New Roman" w:hAnsi="Times New Roman"/>
          <w:sz w:val="28"/>
          <w:szCs w:val="28"/>
        </w:rPr>
        <w:t xml:space="preserve"> инфраструктуры города Тирасполя до 2025 года.</w:t>
      </w:r>
    </w:p>
    <w:p w14:paraId="4AE8600E" w14:textId="77777777" w:rsidR="00540656" w:rsidRPr="00634718" w:rsidRDefault="00540656" w:rsidP="00540656">
      <w:pPr>
        <w:spacing w:after="0" w:line="240" w:lineRule="auto"/>
        <w:ind w:firstLine="567"/>
        <w:jc w:val="both"/>
        <w:rPr>
          <w:rFonts w:ascii="Times New Roman" w:hAnsi="Times New Roman"/>
          <w:sz w:val="28"/>
          <w:szCs w:val="28"/>
        </w:rPr>
      </w:pPr>
      <w:r w:rsidRPr="00634718">
        <w:rPr>
          <w:rFonts w:ascii="Times New Roman" w:hAnsi="Times New Roman"/>
          <w:sz w:val="28"/>
          <w:szCs w:val="28"/>
        </w:rPr>
        <w:t>В целях достижения устойчивого развития сельского туризма (агротуризма) в Приднестровской Молдавской Республики утверждена Концепция развития сельского туризма (агротуризма) в Приднестровской Молдавской Республики на 2021-2026 годы</w:t>
      </w:r>
      <w:r>
        <w:rPr>
          <w:rFonts w:ascii="Times New Roman" w:hAnsi="Times New Roman"/>
          <w:sz w:val="28"/>
          <w:szCs w:val="28"/>
        </w:rPr>
        <w:t>.</w:t>
      </w:r>
    </w:p>
    <w:p w14:paraId="4FB9DCE4" w14:textId="77777777" w:rsidR="00540656" w:rsidRDefault="00540656" w:rsidP="00540656">
      <w:pPr>
        <w:spacing w:after="0" w:line="240" w:lineRule="auto"/>
        <w:ind w:firstLine="567"/>
        <w:jc w:val="both"/>
        <w:rPr>
          <w:rFonts w:ascii="Times New Roman" w:hAnsi="Times New Roman"/>
          <w:sz w:val="28"/>
          <w:szCs w:val="28"/>
        </w:rPr>
      </w:pPr>
      <w:r w:rsidRPr="00634718">
        <w:rPr>
          <w:rFonts w:ascii="Times New Roman" w:hAnsi="Times New Roman"/>
          <w:sz w:val="28"/>
          <w:szCs w:val="28"/>
        </w:rPr>
        <w:t>В условиях создания и функционирования зон рекреационного назначения утверждена Программа мероприятий по развитию инфраструктуры рекреационных зон в городах (районах) Приднестровской Молдавской Республики на 2022-2026 годы.</w:t>
      </w:r>
    </w:p>
    <w:p w14:paraId="285BEE92" w14:textId="77777777" w:rsidR="00540656" w:rsidRDefault="00540656" w:rsidP="00540656">
      <w:pPr>
        <w:spacing w:after="0" w:line="240" w:lineRule="auto"/>
        <w:ind w:firstLine="567"/>
        <w:jc w:val="both"/>
        <w:rPr>
          <w:rFonts w:ascii="Times New Roman" w:hAnsi="Times New Roman"/>
          <w:sz w:val="28"/>
          <w:szCs w:val="28"/>
        </w:rPr>
      </w:pPr>
      <w:r>
        <w:rPr>
          <w:rFonts w:ascii="Times New Roman" w:hAnsi="Times New Roman"/>
          <w:sz w:val="28"/>
          <w:szCs w:val="28"/>
        </w:rPr>
        <w:t xml:space="preserve">Кроме того, в целях стимулирования развития внутреннего туризма на территории республики, организации, </w:t>
      </w:r>
      <w:r w:rsidRPr="001E0A47">
        <w:rPr>
          <w:rFonts w:ascii="Times New Roman" w:hAnsi="Times New Roman"/>
          <w:sz w:val="28"/>
          <w:szCs w:val="28"/>
        </w:rPr>
        <w:t>предоставляющие туристский продукт на территории Приднестровской Молдавской Республики</w:t>
      </w:r>
      <w:r>
        <w:rPr>
          <w:rFonts w:ascii="Times New Roman" w:hAnsi="Times New Roman"/>
          <w:sz w:val="28"/>
          <w:szCs w:val="28"/>
        </w:rPr>
        <w:t>, получили право участвовать в программе льготного кредитования на инвестиционные цели, предусматривающей субсидирование государством части процентной ставки.</w:t>
      </w:r>
    </w:p>
    <w:p w14:paraId="7318B6E4" w14:textId="4AB328D7" w:rsidR="00540656" w:rsidRDefault="00540656" w:rsidP="00863ADB">
      <w:pPr>
        <w:tabs>
          <w:tab w:val="left" w:pos="709"/>
          <w:tab w:val="left" w:pos="851"/>
        </w:tabs>
        <w:spacing w:after="0" w:line="240" w:lineRule="auto"/>
        <w:ind w:firstLine="567"/>
        <w:jc w:val="both"/>
        <w:rPr>
          <w:rFonts w:ascii="Times New Roman" w:hAnsi="Times New Roman"/>
          <w:sz w:val="28"/>
          <w:szCs w:val="28"/>
        </w:rPr>
      </w:pPr>
    </w:p>
    <w:p w14:paraId="337C37A4" w14:textId="77777777" w:rsidR="002B169F" w:rsidRPr="00375059" w:rsidRDefault="002B169F" w:rsidP="00863ADB">
      <w:pPr>
        <w:pStyle w:val="2"/>
        <w:spacing w:before="0" w:line="240" w:lineRule="auto"/>
        <w:ind w:firstLine="567"/>
        <w:rPr>
          <w:rFonts w:ascii="Times New Roman" w:hAnsi="Times New Roman" w:cs="Times New Roman"/>
          <w:b/>
          <w:color w:val="auto"/>
          <w:sz w:val="28"/>
        </w:rPr>
      </w:pPr>
      <w:bookmarkStart w:id="30" w:name="_Toc101441786"/>
      <w:r w:rsidRPr="00375059">
        <w:rPr>
          <w:rFonts w:ascii="Times New Roman" w:hAnsi="Times New Roman" w:cs="Times New Roman"/>
          <w:b/>
          <w:color w:val="auto"/>
          <w:sz w:val="28"/>
        </w:rPr>
        <w:t>Потребительский рынок</w:t>
      </w:r>
      <w:bookmarkEnd w:id="30"/>
    </w:p>
    <w:p w14:paraId="3F6F4EDE" w14:textId="5FB04029" w:rsidR="002B169F" w:rsidRPr="00375059" w:rsidRDefault="002B169F" w:rsidP="00863ADB">
      <w:pPr>
        <w:spacing w:after="0" w:line="240" w:lineRule="auto"/>
        <w:ind w:firstLine="567"/>
        <w:jc w:val="both"/>
        <w:rPr>
          <w:rFonts w:ascii="Times New Roman" w:hAnsi="Times New Roman"/>
          <w:sz w:val="28"/>
          <w:szCs w:val="28"/>
        </w:rPr>
      </w:pPr>
      <w:bookmarkStart w:id="31" w:name="_Hlk100835655"/>
      <w:r w:rsidRPr="00375059">
        <w:rPr>
          <w:rFonts w:ascii="Times New Roman" w:hAnsi="Times New Roman"/>
          <w:bCs/>
          <w:sz w:val="28"/>
          <w:szCs w:val="28"/>
        </w:rPr>
        <w:t xml:space="preserve">Ситуация на </w:t>
      </w:r>
      <w:r w:rsidRPr="00375059">
        <w:rPr>
          <w:rFonts w:ascii="Times New Roman" w:eastAsiaTheme="minorEastAsia" w:hAnsi="Times New Roman"/>
          <w:sz w:val="28"/>
          <w:szCs w:val="28"/>
        </w:rPr>
        <w:t xml:space="preserve">внутреннем </w:t>
      </w:r>
      <w:r w:rsidRPr="00375059">
        <w:rPr>
          <w:rFonts w:ascii="Times New Roman" w:hAnsi="Times New Roman"/>
          <w:bCs/>
          <w:sz w:val="28"/>
          <w:szCs w:val="28"/>
        </w:rPr>
        <w:t>потребительском рынке республики по итогам 2021 года</w:t>
      </w:r>
      <w:r w:rsidRPr="00375059">
        <w:rPr>
          <w:rFonts w:ascii="Times New Roman" w:eastAsiaTheme="minorEastAsia" w:hAnsi="Times New Roman"/>
          <w:sz w:val="28"/>
          <w:szCs w:val="28"/>
        </w:rPr>
        <w:t xml:space="preserve"> характеризовалась повышательным трендом, главным образом, вследствие расширения продаж в сфере </w:t>
      </w:r>
      <w:r w:rsidRPr="00375059">
        <w:rPr>
          <w:rFonts w:ascii="Times New Roman" w:eastAsiaTheme="minorEastAsia" w:hAnsi="Times New Roman"/>
          <w:b/>
          <w:bCs/>
          <w:sz w:val="28"/>
          <w:szCs w:val="28"/>
        </w:rPr>
        <w:t>розничной торговли</w:t>
      </w:r>
      <w:r w:rsidRPr="00375059">
        <w:rPr>
          <w:rFonts w:ascii="Times New Roman" w:eastAsiaTheme="minorEastAsia" w:hAnsi="Times New Roman"/>
          <w:sz w:val="28"/>
          <w:szCs w:val="28"/>
        </w:rPr>
        <w:t xml:space="preserve"> (+</w:t>
      </w:r>
      <w:r w:rsidRPr="00375059">
        <w:rPr>
          <w:rFonts w:ascii="Times New Roman" w:eastAsia="MS Mincho" w:hAnsi="Times New Roman"/>
          <w:sz w:val="28"/>
          <w:szCs w:val="28"/>
          <w:lang w:eastAsia="en-US"/>
        </w:rPr>
        <w:t>20,2% с учетом влияния ценового фактора до 9 077,4 млн руб.).</w:t>
      </w:r>
      <w:bookmarkEnd w:id="31"/>
      <w:r w:rsidRPr="00375059">
        <w:rPr>
          <w:rFonts w:ascii="Times New Roman" w:eastAsia="MS Mincho" w:hAnsi="Times New Roman"/>
          <w:sz w:val="28"/>
          <w:szCs w:val="28"/>
          <w:lang w:eastAsia="en-US"/>
        </w:rPr>
        <w:t xml:space="preserve"> Приоритет в расходах населения вновь начал смещаться в сторону непродовольственных товаров (до 58,7% в структуре продаж, или 5 327,2 млн руб., +18,8% в сопоставимых ценах). При этом в больших, чем год назад, объемах закупались и продовольственные товары (+9,5% в сопоставимых ценах до 3 750,2 млн руб.). </w:t>
      </w:r>
      <w:r w:rsidRPr="00375059">
        <w:rPr>
          <w:rFonts w:ascii="Times New Roman" w:hAnsi="Times New Roman"/>
          <w:sz w:val="28"/>
          <w:szCs w:val="28"/>
        </w:rPr>
        <w:t>Основным каналом реализации товаров и услуг выступал негосударственный сектор, обеспечивший 99,</w:t>
      </w:r>
      <w:r w:rsidR="002706DB">
        <w:rPr>
          <w:rFonts w:ascii="Times New Roman" w:hAnsi="Times New Roman"/>
          <w:sz w:val="28"/>
          <w:szCs w:val="28"/>
        </w:rPr>
        <w:t>1</w:t>
      </w:r>
      <w:r w:rsidRPr="00375059">
        <w:rPr>
          <w:rFonts w:ascii="Times New Roman" w:hAnsi="Times New Roman"/>
          <w:sz w:val="28"/>
          <w:szCs w:val="28"/>
        </w:rPr>
        <w:t>% емкости рынка.</w:t>
      </w:r>
    </w:p>
    <w:p w14:paraId="2C316EA5" w14:textId="77777777" w:rsidR="002B169F" w:rsidRPr="00375059" w:rsidRDefault="002B169F" w:rsidP="00863ADB">
      <w:pPr>
        <w:spacing w:after="0" w:line="240" w:lineRule="auto"/>
        <w:ind w:firstLine="567"/>
        <w:jc w:val="both"/>
        <w:rPr>
          <w:rFonts w:ascii="Times New Roman" w:eastAsia="MS Mincho" w:hAnsi="Times New Roman"/>
          <w:sz w:val="28"/>
          <w:szCs w:val="28"/>
          <w:lang w:eastAsia="en-US"/>
        </w:rPr>
      </w:pPr>
      <w:r w:rsidRPr="00375059">
        <w:rPr>
          <w:rFonts w:ascii="Times New Roman" w:hAnsi="Times New Roman"/>
          <w:bCs/>
          <w:iCs/>
          <w:sz w:val="28"/>
          <w:szCs w:val="28"/>
        </w:rPr>
        <w:lastRenderedPageBreak/>
        <w:t xml:space="preserve">В целом за год </w:t>
      </w:r>
      <w:r w:rsidRPr="00375059">
        <w:rPr>
          <w:rFonts w:ascii="Times New Roman" w:hAnsi="Times New Roman"/>
          <w:sz w:val="28"/>
          <w:szCs w:val="28"/>
        </w:rPr>
        <w:t>населению республики было реализовано</w:t>
      </w:r>
      <w:r w:rsidRPr="00375059">
        <w:rPr>
          <w:rFonts w:ascii="Times New Roman" w:hAnsi="Times New Roman"/>
          <w:b/>
          <w:bCs/>
          <w:sz w:val="28"/>
          <w:szCs w:val="28"/>
        </w:rPr>
        <w:t xml:space="preserve"> потребительских товаров и оказано платных услуг </w:t>
      </w:r>
      <w:r w:rsidRPr="00375059">
        <w:rPr>
          <w:rFonts w:ascii="Times New Roman" w:hAnsi="Times New Roman"/>
          <w:sz w:val="28"/>
          <w:szCs w:val="28"/>
        </w:rPr>
        <w:t xml:space="preserve">на сумму </w:t>
      </w:r>
      <w:r w:rsidRPr="00375059">
        <w:rPr>
          <w:rFonts w:ascii="Times New Roman" w:eastAsia="MS Mincho" w:hAnsi="Times New Roman"/>
          <w:sz w:val="28"/>
          <w:szCs w:val="28"/>
          <w:lang w:eastAsia="en-US"/>
        </w:rPr>
        <w:t>11 890,1 млн руб., что превышает сопоставимый показатель предыдущего года на 20,0% (+15,5%, исключая влияние ценового фактора).</w:t>
      </w:r>
    </w:p>
    <w:p w14:paraId="7F6E7B2A" w14:textId="77777777" w:rsidR="002B169F" w:rsidRPr="00375059" w:rsidRDefault="002B169F" w:rsidP="00863ADB">
      <w:pPr>
        <w:spacing w:after="0" w:line="240" w:lineRule="auto"/>
        <w:ind w:firstLine="567"/>
        <w:jc w:val="both"/>
        <w:rPr>
          <w:rFonts w:ascii="Times New Roman" w:hAnsi="Times New Roman"/>
          <w:sz w:val="28"/>
          <w:szCs w:val="28"/>
        </w:rPr>
      </w:pPr>
      <w:bookmarkStart w:id="32" w:name="_Hlk100835985"/>
      <w:r w:rsidRPr="00375059">
        <w:rPr>
          <w:rFonts w:ascii="Times New Roman" w:hAnsi="Times New Roman"/>
          <w:sz w:val="28"/>
          <w:szCs w:val="28"/>
        </w:rPr>
        <w:t xml:space="preserve">В отчетном году также отмечалось восстановление показателей деятельности </w:t>
      </w:r>
      <w:r w:rsidRPr="00375059">
        <w:rPr>
          <w:rFonts w:ascii="Times New Roman" w:hAnsi="Times New Roman"/>
          <w:b/>
          <w:sz w:val="28"/>
          <w:szCs w:val="28"/>
        </w:rPr>
        <w:t>организаций общественного питания</w:t>
      </w:r>
      <w:r w:rsidRPr="00375059">
        <w:rPr>
          <w:rFonts w:ascii="Times New Roman" w:hAnsi="Times New Roman"/>
          <w:sz w:val="28"/>
          <w:szCs w:val="28"/>
        </w:rPr>
        <w:t>. Так, величина выручки по данному сегменту рынка</w:t>
      </w:r>
      <w:r w:rsidRPr="00375059">
        <w:rPr>
          <w:rFonts w:ascii="Times New Roman" w:hAnsi="Times New Roman"/>
          <w:b/>
          <w:sz w:val="28"/>
          <w:szCs w:val="28"/>
        </w:rPr>
        <w:t xml:space="preserve"> </w:t>
      </w:r>
      <w:r w:rsidRPr="00375059">
        <w:rPr>
          <w:rFonts w:ascii="Times New Roman" w:hAnsi="Times New Roman"/>
          <w:sz w:val="28"/>
          <w:szCs w:val="28"/>
        </w:rPr>
        <w:t>за 2021 год увеличилась по отношению к показателю 2020 года на 44,2% до 293,3</w:t>
      </w:r>
      <w:r w:rsidRPr="00375059">
        <w:rPr>
          <w:rFonts w:ascii="Times New Roman" w:hAnsi="Times New Roman"/>
          <w:sz w:val="28"/>
          <w:szCs w:val="28"/>
          <w:lang w:eastAsia="en-US"/>
        </w:rPr>
        <w:t xml:space="preserve"> млн руб. </w:t>
      </w:r>
      <w:bookmarkEnd w:id="32"/>
      <w:r w:rsidRPr="00375059">
        <w:rPr>
          <w:rFonts w:ascii="Times New Roman" w:hAnsi="Times New Roman"/>
          <w:sz w:val="28"/>
          <w:szCs w:val="28"/>
          <w:lang w:eastAsia="en-US"/>
        </w:rPr>
        <w:t xml:space="preserve">В связи с тем, что значительную часть года образовательные учреждения функционировали дистанционно, </w:t>
      </w:r>
      <w:r w:rsidRPr="00375059">
        <w:rPr>
          <w:rFonts w:ascii="Times New Roman" w:hAnsi="Times New Roman"/>
          <w:sz w:val="28"/>
          <w:szCs w:val="28"/>
        </w:rPr>
        <w:t xml:space="preserve">доминирующая доля оборота общественного питания (88,8%) была сформирована в организациях негосударственной формы собственности, совокупный доход которых вырос </w:t>
      </w:r>
      <w:r w:rsidRPr="00375059">
        <w:rPr>
          <w:rFonts w:ascii="Times New Roman" w:eastAsia="MS Mincho" w:hAnsi="Times New Roman"/>
          <w:sz w:val="28"/>
          <w:szCs w:val="28"/>
          <w:lang w:eastAsia="en-US"/>
        </w:rPr>
        <w:t xml:space="preserve">на 45,6%.  </w:t>
      </w:r>
    </w:p>
    <w:p w14:paraId="4C78088C" w14:textId="77777777" w:rsidR="002B169F" w:rsidRPr="00375059" w:rsidRDefault="002B169F" w:rsidP="00863ADB">
      <w:pPr>
        <w:spacing w:after="0" w:line="240" w:lineRule="auto"/>
        <w:ind w:firstLine="567"/>
        <w:jc w:val="both"/>
        <w:rPr>
          <w:rFonts w:ascii="Times New Roman" w:eastAsiaTheme="minorEastAsia" w:hAnsi="Times New Roman"/>
          <w:sz w:val="28"/>
          <w:szCs w:val="28"/>
        </w:rPr>
      </w:pPr>
      <w:r w:rsidRPr="00375059">
        <w:rPr>
          <w:rFonts w:ascii="Times New Roman" w:hAnsi="Times New Roman"/>
          <w:bCs/>
          <w:sz w:val="28"/>
          <w:szCs w:val="28"/>
        </w:rPr>
        <w:t xml:space="preserve">В </w:t>
      </w:r>
      <w:r w:rsidRPr="00375059">
        <w:rPr>
          <w:rFonts w:ascii="Times New Roman" w:hAnsi="Times New Roman"/>
          <w:sz w:val="28"/>
          <w:szCs w:val="28"/>
        </w:rPr>
        <w:t xml:space="preserve">2021 году наблюдалась тенденция расширения </w:t>
      </w:r>
      <w:r w:rsidRPr="00375059">
        <w:rPr>
          <w:rFonts w:ascii="Times New Roman" w:hAnsi="Times New Roman"/>
          <w:b/>
          <w:bCs/>
          <w:sz w:val="28"/>
          <w:szCs w:val="28"/>
        </w:rPr>
        <w:t>объема платных услуг</w:t>
      </w:r>
      <w:r w:rsidRPr="00375059">
        <w:rPr>
          <w:rFonts w:ascii="Times New Roman" w:hAnsi="Times New Roman"/>
          <w:sz w:val="28"/>
          <w:szCs w:val="28"/>
        </w:rPr>
        <w:t xml:space="preserve"> (+17,4% до 2 519,3 млн руб.). Чуть</w:t>
      </w:r>
      <w:r w:rsidRPr="00375059">
        <w:rPr>
          <w:rFonts w:ascii="Times New Roman" w:eastAsiaTheme="minorEastAsia" w:hAnsi="Times New Roman"/>
          <w:sz w:val="28"/>
          <w:szCs w:val="28"/>
        </w:rPr>
        <w:t xml:space="preserve"> больше половины их объема (52,3%, или 1 317,9 млн руб.) было оказано государственными и муниципальными организациями. </w:t>
      </w:r>
    </w:p>
    <w:p w14:paraId="33ECBA4D" w14:textId="77777777" w:rsidR="002B169F" w:rsidRPr="00375059" w:rsidRDefault="002B169F" w:rsidP="00863ADB">
      <w:pPr>
        <w:spacing w:after="0" w:line="240" w:lineRule="auto"/>
        <w:ind w:firstLine="567"/>
        <w:jc w:val="both"/>
        <w:rPr>
          <w:rFonts w:ascii="Times New Roman" w:eastAsia="Calibri" w:hAnsi="Times New Roman"/>
          <w:color w:val="FF0000"/>
          <w:sz w:val="28"/>
          <w:szCs w:val="28"/>
          <w:u w:val="single"/>
          <w:lang w:eastAsia="en-US"/>
        </w:rPr>
      </w:pPr>
      <w:r w:rsidRPr="00375059">
        <w:rPr>
          <w:rFonts w:ascii="Times New Roman" w:eastAsiaTheme="minorEastAsia" w:hAnsi="Times New Roman"/>
          <w:sz w:val="28"/>
          <w:szCs w:val="28"/>
        </w:rPr>
        <w:t>Результаты деятельности субъектов</w:t>
      </w:r>
      <w:r w:rsidRPr="00375059">
        <w:rPr>
          <w:rFonts w:ascii="Times New Roman" w:eastAsia="Calibri" w:hAnsi="Times New Roman"/>
          <w:sz w:val="28"/>
          <w:szCs w:val="28"/>
          <w:lang w:eastAsia="en-US"/>
        </w:rPr>
        <w:t xml:space="preserve"> негосударственной формы собственности (включая физические лица) обеспечили 47,7% объема услуг, или 1 201,5 млн руб., что в стоимостном выражении на 19,0% больше базисного показателя.</w:t>
      </w:r>
    </w:p>
    <w:p w14:paraId="1BB3F4D7" w14:textId="178DA6F6" w:rsidR="002B169F" w:rsidRPr="00375059" w:rsidRDefault="002B169F" w:rsidP="00863ADB">
      <w:pPr>
        <w:spacing w:after="0" w:line="240" w:lineRule="auto"/>
        <w:ind w:firstLine="567"/>
        <w:jc w:val="both"/>
        <w:rPr>
          <w:rFonts w:ascii="Times New Roman" w:eastAsiaTheme="minorEastAsia" w:hAnsi="Times New Roman"/>
          <w:sz w:val="28"/>
          <w:szCs w:val="28"/>
        </w:rPr>
      </w:pPr>
      <w:r w:rsidRPr="00375059">
        <w:rPr>
          <w:rFonts w:ascii="Times New Roman" w:eastAsiaTheme="minorEastAsia" w:hAnsi="Times New Roman"/>
          <w:sz w:val="28"/>
          <w:szCs w:val="28"/>
        </w:rPr>
        <w:t xml:space="preserve">На оплату услуг </w:t>
      </w:r>
      <w:r w:rsidRPr="00375059">
        <w:rPr>
          <w:rFonts w:ascii="Times New Roman" w:eastAsiaTheme="minorEastAsia" w:hAnsi="Times New Roman"/>
          <w:b/>
          <w:bCs/>
          <w:sz w:val="28"/>
          <w:szCs w:val="28"/>
        </w:rPr>
        <w:t>бытового характера</w:t>
      </w:r>
      <w:r w:rsidRPr="00375059">
        <w:rPr>
          <w:rFonts w:ascii="Times New Roman" w:eastAsiaTheme="minorEastAsia" w:hAnsi="Times New Roman"/>
          <w:sz w:val="28"/>
          <w:szCs w:val="28"/>
        </w:rPr>
        <w:t xml:space="preserve"> население направило в совокупности 100,9 млн руб., что на 23,2% больше, чем годом ранее. При этом основной объем (83,9%) был обеспечен субъектами негосударственного сектора</w:t>
      </w:r>
      <w:r w:rsidR="00D00221">
        <w:rPr>
          <w:rFonts w:ascii="Times New Roman" w:eastAsiaTheme="minorEastAsia" w:hAnsi="Times New Roman"/>
          <w:sz w:val="28"/>
          <w:szCs w:val="28"/>
        </w:rPr>
        <w:t xml:space="preserve">, </w:t>
      </w:r>
      <w:r w:rsidRPr="00375059">
        <w:rPr>
          <w:rFonts w:ascii="Times New Roman" w:eastAsiaTheme="minorEastAsia" w:hAnsi="Times New Roman"/>
          <w:sz w:val="28"/>
          <w:szCs w:val="28"/>
        </w:rPr>
        <w:t xml:space="preserve">по которым фиксировался рост показателя на 22,3%. </w:t>
      </w:r>
    </w:p>
    <w:p w14:paraId="61C49FEA" w14:textId="77777777" w:rsidR="002B169F" w:rsidRPr="00375059" w:rsidRDefault="002B169F" w:rsidP="00863ADB">
      <w:pPr>
        <w:spacing w:after="0" w:line="240" w:lineRule="auto"/>
        <w:ind w:firstLine="567"/>
        <w:jc w:val="both"/>
        <w:rPr>
          <w:rFonts w:ascii="Times New Roman" w:hAnsi="Times New Roman"/>
        </w:rPr>
      </w:pPr>
    </w:p>
    <w:p w14:paraId="4F37BC9B" w14:textId="77777777" w:rsidR="002B169F" w:rsidRPr="00375059" w:rsidRDefault="002B169F" w:rsidP="00DC36B1">
      <w:pPr>
        <w:spacing w:after="0"/>
        <w:ind w:firstLine="567"/>
        <w:rPr>
          <w:rFonts w:ascii="Times New Roman" w:hAnsi="Times New Roman"/>
          <w:b/>
          <w:sz w:val="28"/>
        </w:rPr>
      </w:pPr>
      <w:r w:rsidRPr="00375059">
        <w:rPr>
          <w:rFonts w:ascii="Times New Roman" w:hAnsi="Times New Roman"/>
          <w:b/>
          <w:sz w:val="28"/>
        </w:rPr>
        <w:t xml:space="preserve">Инфляционные процессы </w:t>
      </w:r>
    </w:p>
    <w:p w14:paraId="284B7607" w14:textId="6C0C71C8" w:rsidR="002B169F" w:rsidRPr="00375059" w:rsidRDefault="002B169F" w:rsidP="00DC36B1">
      <w:pPr>
        <w:shd w:val="clear" w:color="auto" w:fill="FFFFFF"/>
        <w:spacing w:after="0" w:line="240" w:lineRule="auto"/>
        <w:ind w:firstLine="567"/>
        <w:jc w:val="both"/>
        <w:rPr>
          <w:rFonts w:ascii="Times New Roman" w:hAnsi="Times New Roman"/>
          <w:sz w:val="28"/>
          <w:szCs w:val="28"/>
        </w:rPr>
      </w:pPr>
      <w:bookmarkStart w:id="33" w:name="_Hlk100836066"/>
      <w:r w:rsidRPr="00375059">
        <w:rPr>
          <w:rFonts w:ascii="Times New Roman" w:hAnsi="Times New Roman"/>
          <w:sz w:val="28"/>
          <w:szCs w:val="28"/>
        </w:rPr>
        <w:t xml:space="preserve">В контексте общемировых трендов повышательной динамики котировок на базовых сырьевых рынках, в республике в годовом выражении потребительская инфляция ускорилась </w:t>
      </w:r>
      <w:bookmarkEnd w:id="33"/>
      <w:r w:rsidRPr="00375059">
        <w:rPr>
          <w:rFonts w:ascii="Times New Roman" w:hAnsi="Times New Roman"/>
          <w:sz w:val="28"/>
          <w:szCs w:val="28"/>
        </w:rPr>
        <w:t>до 7,3%, что на 2,3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превышает верхнюю границу целевого прогнозного диапазона 4%±1п.п. Вместе с тем, несмотря на отдельные сегменты удорожания, для периода резкой активизации потребления (прирост объемов розничных продаж в 2021 году оценен на уровне 20%) фиксируемый инфляционный фон оста</w:t>
      </w:r>
      <w:r w:rsidR="0045785D">
        <w:rPr>
          <w:rFonts w:ascii="Times New Roman" w:hAnsi="Times New Roman"/>
          <w:sz w:val="28"/>
          <w:szCs w:val="28"/>
        </w:rPr>
        <w:t>валс</w:t>
      </w:r>
      <w:r w:rsidRPr="00375059">
        <w:rPr>
          <w:rFonts w:ascii="Times New Roman" w:hAnsi="Times New Roman"/>
          <w:sz w:val="28"/>
          <w:szCs w:val="28"/>
        </w:rPr>
        <w:t>я достаточно умеренным.</w:t>
      </w:r>
    </w:p>
    <w:p w14:paraId="71FBBDB6" w14:textId="0BFD3B8D" w:rsidR="002B169F" w:rsidRPr="00375059" w:rsidRDefault="002B169F" w:rsidP="0045785D">
      <w:pPr>
        <w:spacing w:after="0" w:line="240" w:lineRule="auto"/>
        <w:ind w:firstLine="426"/>
        <w:jc w:val="both"/>
        <w:rPr>
          <w:rFonts w:ascii="Times New Roman" w:eastAsia="Calibri" w:hAnsi="Times New Roman"/>
          <w:sz w:val="28"/>
          <w:szCs w:val="28"/>
        </w:rPr>
      </w:pPr>
      <w:r w:rsidRPr="00375059">
        <w:rPr>
          <w:rFonts w:ascii="Times New Roman" w:eastAsia="Calibri" w:hAnsi="Times New Roman"/>
          <w:sz w:val="28"/>
          <w:szCs w:val="28"/>
        </w:rPr>
        <w:t>Как и в предшествующие годы, в повышении стоимости стандартной потребительской корзины наиболее существенная роль принадлежала тенденциям в сфере реализации продуктов питания с акцентом на позициях неэластичного спроса. Однако весомый вклад внёс также непродовольственный сегмент (топливный компонент), который помимо прямого вклада сформировал также мощный кумулятивный эффект усиления инфляционного давления вследствие роста транспортных расходов и, соответственно, роста себестоимости других позиций (рис.  </w:t>
      </w:r>
      <w:r w:rsidR="005A30A3" w:rsidRPr="00375059">
        <w:rPr>
          <w:rFonts w:ascii="Times New Roman" w:eastAsia="Calibri" w:hAnsi="Times New Roman"/>
          <w:sz w:val="28"/>
          <w:szCs w:val="28"/>
        </w:rPr>
        <w:t>3</w:t>
      </w:r>
      <w:r w:rsidR="00540656">
        <w:rPr>
          <w:rFonts w:ascii="Times New Roman" w:eastAsia="Calibri" w:hAnsi="Times New Roman"/>
          <w:sz w:val="28"/>
          <w:szCs w:val="28"/>
        </w:rPr>
        <w:t>4</w:t>
      </w:r>
      <w:r w:rsidRPr="00375059">
        <w:rPr>
          <w:rFonts w:ascii="Times New Roman" w:eastAsia="Calibri" w:hAnsi="Times New Roman"/>
          <w:sz w:val="28"/>
          <w:szCs w:val="28"/>
        </w:rPr>
        <w:t>).</w:t>
      </w:r>
    </w:p>
    <w:p w14:paraId="0018F188" w14:textId="77777777" w:rsidR="00CC49F3" w:rsidRDefault="00CC49F3" w:rsidP="002B169F">
      <w:pPr>
        <w:spacing w:after="0" w:line="240" w:lineRule="auto"/>
        <w:ind w:left="142" w:firstLine="284"/>
        <w:jc w:val="right"/>
        <w:rPr>
          <w:rFonts w:ascii="Times New Roman" w:hAnsi="Times New Roman"/>
          <w:b/>
          <w:i/>
          <w:sz w:val="28"/>
          <w:szCs w:val="28"/>
        </w:rPr>
      </w:pPr>
    </w:p>
    <w:p w14:paraId="2A6B3B43" w14:textId="77777777" w:rsidR="00CC49F3" w:rsidRDefault="00CC49F3" w:rsidP="002B169F">
      <w:pPr>
        <w:spacing w:after="0" w:line="240" w:lineRule="auto"/>
        <w:ind w:left="142" w:firstLine="284"/>
        <w:jc w:val="right"/>
        <w:rPr>
          <w:rFonts w:ascii="Times New Roman" w:hAnsi="Times New Roman"/>
          <w:b/>
          <w:i/>
          <w:sz w:val="28"/>
          <w:szCs w:val="28"/>
        </w:rPr>
      </w:pPr>
    </w:p>
    <w:p w14:paraId="526506C4" w14:textId="77777777" w:rsidR="00CC49F3" w:rsidRDefault="00CC49F3" w:rsidP="002B169F">
      <w:pPr>
        <w:spacing w:after="0" w:line="240" w:lineRule="auto"/>
        <w:ind w:left="142" w:firstLine="284"/>
        <w:jc w:val="right"/>
        <w:rPr>
          <w:rFonts w:ascii="Times New Roman" w:hAnsi="Times New Roman"/>
          <w:b/>
          <w:i/>
          <w:sz w:val="28"/>
          <w:szCs w:val="28"/>
        </w:rPr>
      </w:pPr>
    </w:p>
    <w:p w14:paraId="61A9E0C8" w14:textId="6ECD3B33" w:rsidR="002B169F" w:rsidRPr="00375059" w:rsidRDefault="002B169F" w:rsidP="002B169F">
      <w:pPr>
        <w:spacing w:after="0" w:line="240" w:lineRule="auto"/>
        <w:ind w:left="142" w:firstLine="284"/>
        <w:jc w:val="right"/>
        <w:rPr>
          <w:rFonts w:ascii="Times New Roman" w:hAnsi="Times New Roman"/>
          <w:b/>
          <w:i/>
          <w:sz w:val="28"/>
          <w:szCs w:val="28"/>
        </w:rPr>
      </w:pPr>
      <w:r w:rsidRPr="00375059">
        <w:rPr>
          <w:rFonts w:ascii="Times New Roman" w:hAnsi="Times New Roman"/>
          <w:b/>
          <w:i/>
          <w:sz w:val="28"/>
          <w:szCs w:val="28"/>
        </w:rPr>
        <w:lastRenderedPageBreak/>
        <w:t xml:space="preserve">Рисунок </w:t>
      </w:r>
      <w:r w:rsidR="005A30A3" w:rsidRPr="00375059">
        <w:rPr>
          <w:rFonts w:ascii="Times New Roman" w:hAnsi="Times New Roman"/>
          <w:b/>
          <w:i/>
          <w:sz w:val="28"/>
          <w:szCs w:val="28"/>
        </w:rPr>
        <w:t>3</w:t>
      </w:r>
      <w:r w:rsidR="00540656">
        <w:rPr>
          <w:rFonts w:ascii="Times New Roman" w:hAnsi="Times New Roman"/>
          <w:b/>
          <w:i/>
          <w:sz w:val="28"/>
          <w:szCs w:val="28"/>
        </w:rPr>
        <w:t>4</w:t>
      </w:r>
    </w:p>
    <w:p w14:paraId="25E3E83A" w14:textId="3AB874A0" w:rsidR="005A30A3" w:rsidRPr="00375059" w:rsidRDefault="005A30A3" w:rsidP="005A30A3">
      <w:pPr>
        <w:spacing w:after="0" w:line="240" w:lineRule="auto"/>
        <w:jc w:val="center"/>
        <w:rPr>
          <w:rFonts w:ascii="Times New Roman" w:hAnsi="Times New Roman"/>
          <w:b/>
          <w:sz w:val="28"/>
          <w:szCs w:val="28"/>
        </w:rPr>
      </w:pPr>
      <w:r w:rsidRPr="00375059">
        <w:rPr>
          <w:rFonts w:ascii="Times New Roman" w:hAnsi="Times New Roman"/>
          <w:b/>
          <w:bCs/>
          <w:sz w:val="28"/>
          <w:szCs w:val="28"/>
        </w:rPr>
        <w:t>Динамика основных составляющих инфляции в 2017-2021 гг., %</w:t>
      </w:r>
    </w:p>
    <w:p w14:paraId="4D2147A0" w14:textId="7175B900" w:rsidR="002B169F" w:rsidRPr="00375059" w:rsidRDefault="002B169F" w:rsidP="00AB2550">
      <w:pPr>
        <w:spacing w:after="0" w:line="240" w:lineRule="auto"/>
        <w:jc w:val="center"/>
        <w:rPr>
          <w:rFonts w:ascii="Times New Roman" w:hAnsi="Times New Roman"/>
          <w:b/>
          <w:sz w:val="28"/>
          <w:szCs w:val="28"/>
        </w:rPr>
      </w:pPr>
      <w:r w:rsidRPr="00375059">
        <w:rPr>
          <w:rFonts w:ascii="Times New Roman" w:hAnsi="Times New Roman"/>
          <w:noProof/>
          <w:sz w:val="28"/>
          <w:szCs w:val="28"/>
        </w:rPr>
        <w:drawing>
          <wp:inline distT="0" distB="0" distL="0" distR="0" wp14:anchorId="0BB1939E" wp14:editId="07AF3CF7">
            <wp:extent cx="5838825" cy="2210937"/>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0C59F58" w14:textId="3475EEB5" w:rsidR="002B169F"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2021 году продовольственная инфляция составила 11,6% (табл. </w:t>
      </w:r>
      <w:r w:rsidR="005A30A3" w:rsidRPr="00375059">
        <w:rPr>
          <w:rFonts w:ascii="Times New Roman" w:hAnsi="Times New Roman"/>
          <w:sz w:val="28"/>
          <w:szCs w:val="28"/>
        </w:rPr>
        <w:t>4</w:t>
      </w:r>
      <w:r w:rsidRPr="00375059">
        <w:rPr>
          <w:rFonts w:ascii="Times New Roman" w:hAnsi="Times New Roman"/>
          <w:sz w:val="28"/>
          <w:szCs w:val="28"/>
        </w:rPr>
        <w:t>), что в большей степени связано с повышением стоимости овощей (+65,1%), растительного масла (+30,8%) и др.</w:t>
      </w:r>
    </w:p>
    <w:p w14:paraId="087E9AC2" w14:textId="7D3C0B7E" w:rsidR="002B169F" w:rsidRPr="00375059" w:rsidRDefault="002B169F" w:rsidP="002B169F">
      <w:pPr>
        <w:spacing w:after="0" w:line="240" w:lineRule="auto"/>
        <w:ind w:left="142" w:firstLine="284"/>
        <w:jc w:val="right"/>
        <w:rPr>
          <w:rFonts w:ascii="Times New Roman" w:hAnsi="Times New Roman"/>
          <w:b/>
          <w:i/>
          <w:sz w:val="28"/>
          <w:szCs w:val="28"/>
        </w:rPr>
      </w:pPr>
      <w:r w:rsidRPr="00375059">
        <w:rPr>
          <w:rFonts w:ascii="Times New Roman" w:hAnsi="Times New Roman"/>
          <w:b/>
          <w:i/>
          <w:sz w:val="28"/>
          <w:szCs w:val="28"/>
        </w:rPr>
        <w:t xml:space="preserve">Таблица </w:t>
      </w:r>
      <w:r w:rsidR="005A30A3" w:rsidRPr="00375059">
        <w:rPr>
          <w:rFonts w:ascii="Times New Roman" w:hAnsi="Times New Roman"/>
          <w:b/>
          <w:i/>
          <w:sz w:val="28"/>
          <w:szCs w:val="28"/>
        </w:rPr>
        <w:t>4</w:t>
      </w:r>
    </w:p>
    <w:p w14:paraId="7C03C942" w14:textId="77777777" w:rsidR="002B169F" w:rsidRPr="00375059" w:rsidRDefault="002B169F" w:rsidP="002B169F">
      <w:pPr>
        <w:spacing w:after="0" w:line="240" w:lineRule="auto"/>
        <w:ind w:left="142" w:firstLine="284"/>
        <w:jc w:val="center"/>
        <w:rPr>
          <w:rFonts w:ascii="Times New Roman" w:hAnsi="Times New Roman"/>
          <w:b/>
          <w:bCs/>
          <w:sz w:val="28"/>
          <w:szCs w:val="28"/>
        </w:rPr>
      </w:pPr>
      <w:r w:rsidRPr="00375059">
        <w:rPr>
          <w:rFonts w:ascii="Times New Roman" w:hAnsi="Times New Roman"/>
          <w:b/>
          <w:bCs/>
          <w:sz w:val="28"/>
          <w:szCs w:val="28"/>
        </w:rPr>
        <w:t>Темпы прироста цен на продовольственные товары, %</w:t>
      </w:r>
    </w:p>
    <w:tbl>
      <w:tblPr>
        <w:tblStyle w:val="aa"/>
        <w:tblW w:w="5000" w:type="pct"/>
        <w:jc w:val="center"/>
        <w:tblInd w:w="0" w:type="dxa"/>
        <w:tblLook w:val="04A0" w:firstRow="1" w:lastRow="0" w:firstColumn="1" w:lastColumn="0" w:noHBand="0" w:noVBand="1"/>
      </w:tblPr>
      <w:tblGrid>
        <w:gridCol w:w="5599"/>
        <w:gridCol w:w="1847"/>
        <w:gridCol w:w="1899"/>
      </w:tblGrid>
      <w:tr w:rsidR="002B169F" w:rsidRPr="00CE10DF" w14:paraId="20496908" w14:textId="77777777" w:rsidTr="005A30A3">
        <w:trPr>
          <w:trHeight w:val="252"/>
          <w:jc w:val="center"/>
        </w:trPr>
        <w:tc>
          <w:tcPr>
            <w:tcW w:w="299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24AC44" w14:textId="77777777" w:rsidR="002B169F" w:rsidRPr="00CE10DF" w:rsidRDefault="002B169F">
            <w:pPr>
              <w:spacing w:after="0" w:line="240" w:lineRule="auto"/>
              <w:ind w:left="142" w:firstLine="284"/>
              <w:jc w:val="center"/>
              <w:rPr>
                <w:rFonts w:ascii="Times New Roman" w:hAnsi="Times New Roman"/>
                <w:b/>
                <w:bCs/>
                <w:sz w:val="24"/>
                <w:szCs w:val="24"/>
                <w:lang w:eastAsia="en-US"/>
              </w:rPr>
            </w:pPr>
            <w:r w:rsidRPr="00CE10DF">
              <w:rPr>
                <w:rFonts w:ascii="Times New Roman" w:hAnsi="Times New Roman"/>
                <w:b/>
                <w:bCs/>
                <w:sz w:val="24"/>
                <w:szCs w:val="24"/>
                <w:lang w:eastAsia="en-US"/>
              </w:rPr>
              <w:t>Товарная позиция</w:t>
            </w:r>
          </w:p>
        </w:tc>
        <w:tc>
          <w:tcPr>
            <w:tcW w:w="200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F1B214" w14:textId="77777777" w:rsidR="002B169F" w:rsidRPr="00CE10DF" w:rsidRDefault="002B169F">
            <w:pPr>
              <w:spacing w:after="0" w:line="240" w:lineRule="auto"/>
              <w:ind w:left="142" w:firstLine="284"/>
              <w:rPr>
                <w:rFonts w:ascii="Times New Roman" w:hAnsi="Times New Roman"/>
                <w:b/>
                <w:bCs/>
                <w:sz w:val="24"/>
                <w:szCs w:val="24"/>
                <w:lang w:eastAsia="en-US"/>
              </w:rPr>
            </w:pPr>
            <w:r w:rsidRPr="00CE10DF">
              <w:rPr>
                <w:rFonts w:ascii="Times New Roman" w:hAnsi="Times New Roman"/>
                <w:b/>
                <w:bCs/>
                <w:sz w:val="24"/>
                <w:szCs w:val="24"/>
                <w:lang w:eastAsia="en-US"/>
              </w:rPr>
              <w:t xml:space="preserve">      январь-декабрь</w:t>
            </w:r>
          </w:p>
        </w:tc>
      </w:tr>
      <w:tr w:rsidR="002B169F" w:rsidRPr="00CE10DF" w14:paraId="06537056" w14:textId="77777777" w:rsidTr="00A854C7">
        <w:trPr>
          <w:trHeight w:val="329"/>
          <w:jc w:val="center"/>
        </w:trPr>
        <w:tc>
          <w:tcPr>
            <w:tcW w:w="299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4F217D" w14:textId="77777777" w:rsidR="002B169F" w:rsidRPr="00CE10DF" w:rsidRDefault="002B169F">
            <w:pPr>
              <w:spacing w:after="0" w:line="240" w:lineRule="auto"/>
              <w:rPr>
                <w:rFonts w:ascii="Times New Roman" w:hAnsi="Times New Roman"/>
                <w:b/>
                <w:bCs/>
                <w:sz w:val="24"/>
                <w:szCs w:val="24"/>
                <w:lang w:eastAsia="en-US"/>
              </w:rPr>
            </w:pP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47A1F" w14:textId="77777777" w:rsidR="002B169F" w:rsidRPr="00CE10DF" w:rsidRDefault="002B169F" w:rsidP="00A854C7">
            <w:pPr>
              <w:spacing w:after="0" w:line="240" w:lineRule="auto"/>
              <w:ind w:hanging="36"/>
              <w:jc w:val="center"/>
              <w:rPr>
                <w:rFonts w:ascii="Times New Roman" w:hAnsi="Times New Roman"/>
                <w:b/>
                <w:bCs/>
                <w:sz w:val="24"/>
                <w:szCs w:val="24"/>
                <w:lang w:eastAsia="en-US"/>
              </w:rPr>
            </w:pPr>
            <w:r w:rsidRPr="00CE10DF">
              <w:rPr>
                <w:rFonts w:ascii="Times New Roman" w:hAnsi="Times New Roman"/>
                <w:b/>
                <w:bCs/>
                <w:sz w:val="24"/>
                <w:szCs w:val="24"/>
                <w:lang w:eastAsia="en-US"/>
              </w:rPr>
              <w:t>2020 год</w:t>
            </w:r>
          </w:p>
        </w:tc>
        <w:tc>
          <w:tcPr>
            <w:tcW w:w="10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DDC91" w14:textId="77777777" w:rsidR="002B169F" w:rsidRPr="00CE10DF" w:rsidRDefault="002B169F" w:rsidP="00A854C7">
            <w:pPr>
              <w:spacing w:after="0" w:line="240" w:lineRule="auto"/>
              <w:ind w:hanging="36"/>
              <w:jc w:val="center"/>
              <w:rPr>
                <w:rFonts w:ascii="Times New Roman" w:hAnsi="Times New Roman"/>
                <w:b/>
                <w:bCs/>
                <w:sz w:val="24"/>
                <w:szCs w:val="24"/>
                <w:lang w:eastAsia="en-US"/>
              </w:rPr>
            </w:pPr>
            <w:r w:rsidRPr="00CE10DF">
              <w:rPr>
                <w:rFonts w:ascii="Times New Roman" w:hAnsi="Times New Roman"/>
                <w:b/>
                <w:bCs/>
                <w:sz w:val="24"/>
                <w:szCs w:val="24"/>
                <w:lang w:eastAsia="en-US"/>
              </w:rPr>
              <w:t>2021 год</w:t>
            </w:r>
          </w:p>
        </w:tc>
      </w:tr>
      <w:tr w:rsidR="002B169F" w:rsidRPr="00CE10DF" w14:paraId="7DFF9EC2" w14:textId="77777777" w:rsidTr="005A30A3">
        <w:trPr>
          <w:trHeight w:val="252"/>
          <w:jc w:val="center"/>
        </w:trPr>
        <w:tc>
          <w:tcPr>
            <w:tcW w:w="2996" w:type="pct"/>
            <w:tcBorders>
              <w:top w:val="single" w:sz="4" w:space="0" w:color="auto"/>
              <w:left w:val="single" w:sz="4" w:space="0" w:color="auto"/>
              <w:bottom w:val="single" w:sz="4" w:space="0" w:color="auto"/>
              <w:right w:val="single" w:sz="4" w:space="0" w:color="auto"/>
            </w:tcBorders>
            <w:shd w:val="clear" w:color="auto" w:fill="auto"/>
            <w:hideMark/>
          </w:tcPr>
          <w:p w14:paraId="4A09358F" w14:textId="77777777" w:rsidR="002B169F" w:rsidRPr="00CE10DF" w:rsidRDefault="002B169F" w:rsidP="005A30A3">
            <w:pPr>
              <w:spacing w:after="0" w:line="240" w:lineRule="auto"/>
              <w:ind w:firstLine="29"/>
              <w:jc w:val="both"/>
              <w:rPr>
                <w:rFonts w:ascii="Times New Roman" w:hAnsi="Times New Roman"/>
                <w:b/>
                <w:bCs/>
                <w:sz w:val="24"/>
                <w:szCs w:val="24"/>
                <w:lang w:eastAsia="en-US"/>
              </w:rPr>
            </w:pPr>
            <w:r w:rsidRPr="00CE10DF">
              <w:rPr>
                <w:rFonts w:ascii="Times New Roman" w:hAnsi="Times New Roman"/>
                <w:b/>
                <w:bCs/>
                <w:sz w:val="24"/>
                <w:szCs w:val="24"/>
                <w:lang w:eastAsia="en-US"/>
              </w:rPr>
              <w:t>Продовольственные товары</w:t>
            </w:r>
          </w:p>
        </w:tc>
        <w:tc>
          <w:tcPr>
            <w:tcW w:w="988" w:type="pct"/>
            <w:tcBorders>
              <w:top w:val="single" w:sz="4" w:space="0" w:color="auto"/>
              <w:left w:val="single" w:sz="4" w:space="0" w:color="auto"/>
              <w:bottom w:val="single" w:sz="4" w:space="0" w:color="auto"/>
              <w:right w:val="single" w:sz="4" w:space="0" w:color="auto"/>
            </w:tcBorders>
            <w:shd w:val="clear" w:color="auto" w:fill="auto"/>
            <w:hideMark/>
          </w:tcPr>
          <w:p w14:paraId="5E589021" w14:textId="77777777" w:rsidR="002B169F" w:rsidRPr="00CE10DF" w:rsidRDefault="002B169F">
            <w:pPr>
              <w:spacing w:after="0" w:line="240" w:lineRule="auto"/>
              <w:ind w:left="142" w:firstLine="284"/>
              <w:rPr>
                <w:rFonts w:ascii="Times New Roman" w:hAnsi="Times New Roman"/>
                <w:b/>
                <w:bCs/>
                <w:sz w:val="24"/>
                <w:szCs w:val="24"/>
                <w:lang w:eastAsia="en-US"/>
              </w:rPr>
            </w:pPr>
            <w:r w:rsidRPr="00CE10DF">
              <w:rPr>
                <w:rFonts w:ascii="Times New Roman" w:hAnsi="Times New Roman"/>
                <w:b/>
                <w:bCs/>
                <w:sz w:val="24"/>
                <w:szCs w:val="24"/>
                <w:lang w:eastAsia="en-US"/>
              </w:rPr>
              <w:t>+2,3</w:t>
            </w:r>
          </w:p>
        </w:tc>
        <w:tc>
          <w:tcPr>
            <w:tcW w:w="1016" w:type="pct"/>
            <w:tcBorders>
              <w:top w:val="single" w:sz="4" w:space="0" w:color="auto"/>
              <w:left w:val="single" w:sz="4" w:space="0" w:color="auto"/>
              <w:bottom w:val="single" w:sz="4" w:space="0" w:color="auto"/>
              <w:right w:val="single" w:sz="4" w:space="0" w:color="auto"/>
            </w:tcBorders>
            <w:shd w:val="clear" w:color="auto" w:fill="auto"/>
            <w:hideMark/>
          </w:tcPr>
          <w:p w14:paraId="069E3262" w14:textId="77777777" w:rsidR="002B169F" w:rsidRPr="00CE10DF" w:rsidRDefault="002B169F">
            <w:pPr>
              <w:spacing w:after="0" w:line="240" w:lineRule="auto"/>
              <w:ind w:left="142" w:firstLine="284"/>
              <w:rPr>
                <w:rFonts w:ascii="Times New Roman" w:hAnsi="Times New Roman"/>
                <w:b/>
                <w:bCs/>
                <w:sz w:val="24"/>
                <w:szCs w:val="24"/>
                <w:lang w:eastAsia="en-US"/>
              </w:rPr>
            </w:pPr>
            <w:r w:rsidRPr="00CE10DF">
              <w:rPr>
                <w:rFonts w:ascii="Times New Roman" w:hAnsi="Times New Roman"/>
                <w:b/>
                <w:bCs/>
                <w:sz w:val="24"/>
                <w:szCs w:val="24"/>
                <w:lang w:eastAsia="en-US"/>
              </w:rPr>
              <w:t>+11,6</w:t>
            </w:r>
          </w:p>
        </w:tc>
      </w:tr>
      <w:tr w:rsidR="002B169F" w:rsidRPr="00CE10DF" w14:paraId="550CE6E4" w14:textId="77777777" w:rsidTr="005A30A3">
        <w:trPr>
          <w:trHeight w:val="237"/>
          <w:jc w:val="center"/>
        </w:trPr>
        <w:tc>
          <w:tcPr>
            <w:tcW w:w="29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27A6B6A" w14:textId="77777777" w:rsidR="002B169F" w:rsidRPr="00CE10DF" w:rsidRDefault="002B169F" w:rsidP="005A30A3">
            <w:pPr>
              <w:spacing w:after="0" w:line="240" w:lineRule="auto"/>
              <w:ind w:firstLine="29"/>
              <w:jc w:val="both"/>
              <w:rPr>
                <w:rFonts w:ascii="Times New Roman" w:hAnsi="Times New Roman"/>
                <w:b/>
                <w:bCs/>
                <w:sz w:val="24"/>
                <w:szCs w:val="24"/>
                <w:lang w:eastAsia="en-US"/>
              </w:rPr>
            </w:pPr>
            <w:r w:rsidRPr="00CE10DF">
              <w:rPr>
                <w:rFonts w:ascii="Times New Roman" w:hAnsi="Times New Roman"/>
                <w:sz w:val="24"/>
                <w:szCs w:val="24"/>
                <w:lang w:eastAsia="en-US"/>
              </w:rPr>
              <w:t>Растительное масло</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D77B3EC"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+19,0</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E4C96"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+30,8</w:t>
            </w:r>
          </w:p>
        </w:tc>
      </w:tr>
      <w:tr w:rsidR="002B169F" w:rsidRPr="00CE10DF" w14:paraId="2E8F9679" w14:textId="77777777" w:rsidTr="005A30A3">
        <w:trPr>
          <w:trHeight w:val="252"/>
          <w:jc w:val="center"/>
        </w:trPr>
        <w:tc>
          <w:tcPr>
            <w:tcW w:w="29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028ED8" w14:textId="77777777" w:rsidR="002B169F" w:rsidRPr="00CE10DF" w:rsidRDefault="002B169F" w:rsidP="005A30A3">
            <w:pPr>
              <w:spacing w:after="0" w:line="240" w:lineRule="auto"/>
              <w:ind w:firstLine="29"/>
              <w:jc w:val="both"/>
              <w:rPr>
                <w:rFonts w:ascii="Times New Roman" w:hAnsi="Times New Roman"/>
                <w:sz w:val="24"/>
                <w:szCs w:val="24"/>
                <w:lang w:eastAsia="en-US"/>
              </w:rPr>
            </w:pPr>
            <w:r w:rsidRPr="00CE10DF">
              <w:rPr>
                <w:rFonts w:ascii="Times New Roman" w:hAnsi="Times New Roman"/>
                <w:sz w:val="24"/>
                <w:szCs w:val="24"/>
                <w:lang w:eastAsia="en-US"/>
              </w:rPr>
              <w:t>Сахар</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2EE263"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+15,5</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DAFDBCA"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+21,7</w:t>
            </w:r>
          </w:p>
        </w:tc>
      </w:tr>
      <w:tr w:rsidR="002B169F" w:rsidRPr="00CE10DF" w14:paraId="792FCA42" w14:textId="77777777" w:rsidTr="005A30A3">
        <w:trPr>
          <w:trHeight w:val="252"/>
          <w:jc w:val="center"/>
        </w:trPr>
        <w:tc>
          <w:tcPr>
            <w:tcW w:w="29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8C5B60" w14:textId="77777777" w:rsidR="002B169F" w:rsidRPr="00CE10DF" w:rsidRDefault="002B169F" w:rsidP="005A30A3">
            <w:pPr>
              <w:spacing w:after="0" w:line="240" w:lineRule="auto"/>
              <w:ind w:firstLine="29"/>
              <w:jc w:val="both"/>
              <w:rPr>
                <w:rFonts w:ascii="Times New Roman" w:hAnsi="Times New Roman"/>
                <w:b/>
                <w:bCs/>
                <w:sz w:val="24"/>
                <w:szCs w:val="24"/>
                <w:lang w:eastAsia="en-US"/>
              </w:rPr>
            </w:pPr>
            <w:r w:rsidRPr="00CE10DF">
              <w:rPr>
                <w:rFonts w:ascii="Times New Roman" w:hAnsi="Times New Roman"/>
                <w:sz w:val="24"/>
                <w:szCs w:val="24"/>
                <w:lang w:eastAsia="en-US"/>
              </w:rPr>
              <w:t>Яйца</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49A4D4B"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+19,3</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93DA70"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+12,0</w:t>
            </w:r>
          </w:p>
        </w:tc>
      </w:tr>
      <w:tr w:rsidR="002B169F" w:rsidRPr="00CE10DF" w14:paraId="2D764A41" w14:textId="77777777" w:rsidTr="005A30A3">
        <w:trPr>
          <w:trHeight w:val="237"/>
          <w:jc w:val="center"/>
        </w:trPr>
        <w:tc>
          <w:tcPr>
            <w:tcW w:w="29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96F426F" w14:textId="77777777" w:rsidR="002B169F" w:rsidRPr="00CE10DF" w:rsidRDefault="002B169F" w:rsidP="005A30A3">
            <w:pPr>
              <w:spacing w:after="0" w:line="240" w:lineRule="auto"/>
              <w:ind w:firstLine="29"/>
              <w:jc w:val="both"/>
              <w:rPr>
                <w:rFonts w:ascii="Times New Roman" w:hAnsi="Times New Roman"/>
                <w:sz w:val="24"/>
                <w:szCs w:val="24"/>
                <w:lang w:eastAsia="en-US"/>
              </w:rPr>
            </w:pPr>
            <w:r w:rsidRPr="00CE10DF">
              <w:rPr>
                <w:rFonts w:ascii="Times New Roman" w:hAnsi="Times New Roman"/>
                <w:sz w:val="24"/>
                <w:szCs w:val="24"/>
                <w:lang w:eastAsia="en-US"/>
              </w:rPr>
              <w:t>Мясопродукты</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C546AEC"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 xml:space="preserve"> -0,4</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D96CE54"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+11,6</w:t>
            </w:r>
          </w:p>
        </w:tc>
      </w:tr>
      <w:tr w:rsidR="002B169F" w:rsidRPr="00CE10DF" w14:paraId="2DBE1B2E" w14:textId="77777777" w:rsidTr="005A30A3">
        <w:trPr>
          <w:trHeight w:val="252"/>
          <w:jc w:val="center"/>
        </w:trPr>
        <w:tc>
          <w:tcPr>
            <w:tcW w:w="29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0B5C02" w14:textId="77777777" w:rsidR="002B169F" w:rsidRPr="00CE10DF" w:rsidRDefault="002B169F" w:rsidP="005A30A3">
            <w:pPr>
              <w:spacing w:after="0" w:line="240" w:lineRule="auto"/>
              <w:ind w:firstLine="29"/>
              <w:jc w:val="both"/>
              <w:rPr>
                <w:rFonts w:ascii="Times New Roman" w:hAnsi="Times New Roman"/>
                <w:sz w:val="24"/>
                <w:szCs w:val="24"/>
                <w:lang w:eastAsia="en-US"/>
              </w:rPr>
            </w:pPr>
            <w:r w:rsidRPr="00CE10DF">
              <w:rPr>
                <w:rFonts w:ascii="Times New Roman" w:hAnsi="Times New Roman"/>
                <w:sz w:val="24"/>
                <w:szCs w:val="24"/>
                <w:lang w:eastAsia="en-US"/>
              </w:rPr>
              <w:t>Сельди</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4D57BA4"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+1,2</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4FDED"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+22,3</w:t>
            </w:r>
          </w:p>
        </w:tc>
      </w:tr>
      <w:tr w:rsidR="002B169F" w:rsidRPr="00CE10DF" w14:paraId="3E4E5903" w14:textId="77777777" w:rsidTr="005A30A3">
        <w:trPr>
          <w:trHeight w:val="237"/>
          <w:jc w:val="center"/>
        </w:trPr>
        <w:tc>
          <w:tcPr>
            <w:tcW w:w="29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1258262" w14:textId="77777777" w:rsidR="002B169F" w:rsidRPr="00CE10DF" w:rsidRDefault="002B169F" w:rsidP="005A30A3">
            <w:pPr>
              <w:spacing w:after="0" w:line="240" w:lineRule="auto"/>
              <w:ind w:firstLine="29"/>
              <w:jc w:val="both"/>
              <w:rPr>
                <w:rFonts w:ascii="Times New Roman" w:hAnsi="Times New Roman"/>
                <w:sz w:val="24"/>
                <w:szCs w:val="24"/>
                <w:lang w:eastAsia="en-US"/>
              </w:rPr>
            </w:pPr>
            <w:r w:rsidRPr="00CE10DF">
              <w:rPr>
                <w:rFonts w:ascii="Times New Roman" w:hAnsi="Times New Roman"/>
                <w:sz w:val="24"/>
                <w:szCs w:val="24"/>
                <w:lang w:eastAsia="en-US"/>
              </w:rPr>
              <w:t>Молоко и молочная продукция</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7DF2A"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+5,4</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40927F3"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+6,3</w:t>
            </w:r>
          </w:p>
        </w:tc>
      </w:tr>
      <w:tr w:rsidR="002B169F" w:rsidRPr="00CE10DF" w14:paraId="2C79EA56" w14:textId="77777777" w:rsidTr="005A30A3">
        <w:trPr>
          <w:trHeight w:val="252"/>
          <w:jc w:val="center"/>
        </w:trPr>
        <w:tc>
          <w:tcPr>
            <w:tcW w:w="29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9A9B8" w14:textId="77777777" w:rsidR="002B169F" w:rsidRPr="00CE10DF" w:rsidRDefault="002B169F" w:rsidP="005A30A3">
            <w:pPr>
              <w:spacing w:after="0" w:line="240" w:lineRule="auto"/>
              <w:ind w:firstLine="29"/>
              <w:jc w:val="both"/>
              <w:rPr>
                <w:rFonts w:ascii="Times New Roman" w:hAnsi="Times New Roman"/>
                <w:sz w:val="24"/>
                <w:szCs w:val="24"/>
                <w:lang w:eastAsia="en-US"/>
              </w:rPr>
            </w:pPr>
            <w:r w:rsidRPr="00CE10DF">
              <w:rPr>
                <w:rFonts w:ascii="Times New Roman" w:hAnsi="Times New Roman"/>
                <w:sz w:val="24"/>
                <w:szCs w:val="24"/>
                <w:lang w:eastAsia="en-US"/>
              </w:rPr>
              <w:t>Овощи</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B0EBB0"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-14,1</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4E6B60"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+65,1</w:t>
            </w:r>
          </w:p>
        </w:tc>
      </w:tr>
      <w:tr w:rsidR="002B169F" w:rsidRPr="00CE10DF" w14:paraId="7B8127EE" w14:textId="77777777" w:rsidTr="005A30A3">
        <w:trPr>
          <w:trHeight w:val="237"/>
          <w:jc w:val="center"/>
        </w:trPr>
        <w:tc>
          <w:tcPr>
            <w:tcW w:w="29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1FC260" w14:textId="77777777" w:rsidR="002B169F" w:rsidRPr="00CE10DF" w:rsidRDefault="002B169F" w:rsidP="005A30A3">
            <w:pPr>
              <w:spacing w:after="0" w:line="240" w:lineRule="auto"/>
              <w:ind w:firstLine="29"/>
              <w:jc w:val="both"/>
              <w:rPr>
                <w:rFonts w:ascii="Times New Roman" w:hAnsi="Times New Roman"/>
                <w:sz w:val="24"/>
                <w:szCs w:val="24"/>
                <w:lang w:eastAsia="en-US"/>
              </w:rPr>
            </w:pPr>
            <w:r w:rsidRPr="00CE10DF">
              <w:rPr>
                <w:rFonts w:ascii="Times New Roman" w:hAnsi="Times New Roman"/>
                <w:sz w:val="24"/>
                <w:szCs w:val="24"/>
                <w:lang w:eastAsia="en-US"/>
              </w:rPr>
              <w:t>Картофель</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970D49C"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-28,1</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99488E"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-24,6</w:t>
            </w:r>
          </w:p>
        </w:tc>
      </w:tr>
      <w:tr w:rsidR="002B169F" w:rsidRPr="00CE10DF" w14:paraId="70FA77A2" w14:textId="77777777" w:rsidTr="005A30A3">
        <w:trPr>
          <w:trHeight w:val="252"/>
          <w:jc w:val="center"/>
        </w:trPr>
        <w:tc>
          <w:tcPr>
            <w:tcW w:w="29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E5C615" w14:textId="77777777" w:rsidR="002B169F" w:rsidRPr="00CE10DF" w:rsidRDefault="002B169F" w:rsidP="005A30A3">
            <w:pPr>
              <w:spacing w:after="0" w:line="240" w:lineRule="auto"/>
              <w:ind w:firstLine="29"/>
              <w:jc w:val="both"/>
              <w:rPr>
                <w:rFonts w:ascii="Times New Roman" w:hAnsi="Times New Roman"/>
                <w:sz w:val="24"/>
                <w:szCs w:val="24"/>
                <w:lang w:eastAsia="en-US"/>
              </w:rPr>
            </w:pPr>
            <w:r w:rsidRPr="00CE10DF">
              <w:rPr>
                <w:rFonts w:ascii="Times New Roman" w:hAnsi="Times New Roman"/>
                <w:sz w:val="24"/>
                <w:szCs w:val="24"/>
                <w:lang w:eastAsia="en-US"/>
              </w:rPr>
              <w:t>Фрукты и цитрусовые</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ECC768"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+0,1</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AAA7F7"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-20,3</w:t>
            </w:r>
          </w:p>
        </w:tc>
      </w:tr>
      <w:tr w:rsidR="002B169F" w:rsidRPr="00CE10DF" w14:paraId="5B126A80" w14:textId="77777777" w:rsidTr="005A30A3">
        <w:trPr>
          <w:trHeight w:val="237"/>
          <w:jc w:val="center"/>
        </w:trPr>
        <w:tc>
          <w:tcPr>
            <w:tcW w:w="29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CC77F0" w14:textId="77777777" w:rsidR="002B169F" w:rsidRPr="00CE10DF" w:rsidRDefault="002B169F" w:rsidP="005A30A3">
            <w:pPr>
              <w:spacing w:after="0" w:line="240" w:lineRule="auto"/>
              <w:ind w:firstLine="29"/>
              <w:jc w:val="both"/>
              <w:rPr>
                <w:rFonts w:ascii="Times New Roman" w:hAnsi="Times New Roman"/>
                <w:sz w:val="24"/>
                <w:szCs w:val="24"/>
                <w:lang w:eastAsia="en-US"/>
              </w:rPr>
            </w:pPr>
            <w:r w:rsidRPr="00CE10DF">
              <w:rPr>
                <w:rFonts w:ascii="Times New Roman" w:hAnsi="Times New Roman"/>
                <w:sz w:val="24"/>
                <w:szCs w:val="24"/>
                <w:lang w:eastAsia="en-US"/>
              </w:rPr>
              <w:t>Крупа и бобовые</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221637"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+6,9</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BB28A0" w14:textId="77777777" w:rsidR="002B169F" w:rsidRPr="00CE10DF" w:rsidRDefault="002B169F">
            <w:pPr>
              <w:spacing w:after="0" w:line="240" w:lineRule="auto"/>
              <w:ind w:left="142" w:firstLine="284"/>
              <w:rPr>
                <w:rFonts w:ascii="Times New Roman" w:hAnsi="Times New Roman"/>
                <w:sz w:val="24"/>
                <w:szCs w:val="24"/>
                <w:lang w:eastAsia="en-US"/>
              </w:rPr>
            </w:pPr>
            <w:r w:rsidRPr="00CE10DF">
              <w:rPr>
                <w:rFonts w:ascii="Times New Roman" w:hAnsi="Times New Roman"/>
                <w:sz w:val="24"/>
                <w:szCs w:val="24"/>
                <w:lang w:eastAsia="en-US"/>
              </w:rPr>
              <w:t>+10,9</w:t>
            </w:r>
          </w:p>
        </w:tc>
      </w:tr>
    </w:tbl>
    <w:p w14:paraId="6C8C8B50" w14:textId="638710F9" w:rsidR="002B169F" w:rsidRPr="00375059" w:rsidRDefault="002B169F" w:rsidP="00863ADB">
      <w:pPr>
        <w:spacing w:after="0" w:line="240" w:lineRule="auto"/>
        <w:ind w:firstLine="567"/>
        <w:jc w:val="both"/>
        <w:rPr>
          <w:rFonts w:ascii="Times New Roman" w:hAnsi="Times New Roman"/>
          <w:bCs/>
          <w:iCs/>
          <w:sz w:val="28"/>
          <w:szCs w:val="28"/>
        </w:rPr>
      </w:pPr>
      <w:r w:rsidRPr="00375059">
        <w:rPr>
          <w:rFonts w:ascii="Times New Roman" w:hAnsi="Times New Roman"/>
          <w:bCs/>
          <w:iCs/>
          <w:sz w:val="28"/>
          <w:szCs w:val="28"/>
        </w:rPr>
        <w:t>В условиях роста закупочных цен на внешнем рынке отмечался рост цен на гречневую крупу (+26,3% нарастающим итогом за 12 месяцев), сельд</w:t>
      </w:r>
      <w:r w:rsidR="0045785D">
        <w:rPr>
          <w:rFonts w:ascii="Times New Roman" w:hAnsi="Times New Roman"/>
          <w:bCs/>
          <w:iCs/>
          <w:sz w:val="28"/>
          <w:szCs w:val="28"/>
        </w:rPr>
        <w:t>ь</w:t>
      </w:r>
      <w:r w:rsidRPr="00375059">
        <w:rPr>
          <w:rFonts w:ascii="Times New Roman" w:hAnsi="Times New Roman"/>
          <w:bCs/>
          <w:iCs/>
          <w:sz w:val="28"/>
          <w:szCs w:val="28"/>
        </w:rPr>
        <w:t xml:space="preserve"> (+22,3%), сахар (+21,7%), а вслед за ним и на кондитерские изделия (+14,2%).</w:t>
      </w:r>
    </w:p>
    <w:p w14:paraId="66C95B98" w14:textId="007AE49B" w:rsidR="002B169F" w:rsidRPr="00375059" w:rsidRDefault="002B169F" w:rsidP="00863ADB">
      <w:pPr>
        <w:spacing w:after="0" w:line="240" w:lineRule="auto"/>
        <w:ind w:firstLine="567"/>
        <w:jc w:val="both"/>
        <w:rPr>
          <w:rFonts w:ascii="Times New Roman" w:hAnsi="Times New Roman"/>
          <w:sz w:val="28"/>
          <w:szCs w:val="28"/>
        </w:rPr>
      </w:pPr>
      <w:r w:rsidRPr="00375059">
        <w:rPr>
          <w:rFonts w:ascii="Times New Roman" w:hAnsi="Times New Roman"/>
          <w:bCs/>
          <w:iCs/>
          <w:sz w:val="28"/>
          <w:szCs w:val="28"/>
        </w:rPr>
        <w:t xml:space="preserve">Изменение прейскурантов зафиксировано в отношении молочной продукции (+6,3%), а также </w:t>
      </w:r>
      <w:r w:rsidRPr="00375059">
        <w:rPr>
          <w:rFonts w:ascii="Times New Roman" w:hAnsi="Times New Roman"/>
          <w:sz w:val="28"/>
          <w:szCs w:val="28"/>
        </w:rPr>
        <w:t>куриных яиц (+12,0%), усредненная стоимость которых при удорожании кормовой базы и росте сопутствующих затрат масштабировалась в русле высокой импортной составляющей (на внутреннем розничном рынке соседней Украины яйца в 2021 году подорожали на 19,0%, Молдовы – на 22,5%), вплотную приблизившись к рекордным 20 руб. за десяток (рис.</w:t>
      </w:r>
      <w:r w:rsidR="005A30A3" w:rsidRPr="00375059">
        <w:rPr>
          <w:rFonts w:ascii="Times New Roman" w:hAnsi="Times New Roman"/>
          <w:sz w:val="28"/>
          <w:szCs w:val="28"/>
        </w:rPr>
        <w:t xml:space="preserve"> 3</w:t>
      </w:r>
      <w:r w:rsidR="00540656">
        <w:rPr>
          <w:rFonts w:ascii="Times New Roman" w:hAnsi="Times New Roman"/>
          <w:sz w:val="28"/>
          <w:szCs w:val="28"/>
        </w:rPr>
        <w:t>5</w:t>
      </w:r>
      <w:r w:rsidRPr="00375059">
        <w:rPr>
          <w:rFonts w:ascii="Times New Roman" w:hAnsi="Times New Roman"/>
          <w:sz w:val="28"/>
          <w:szCs w:val="28"/>
        </w:rPr>
        <w:t xml:space="preserve"> ). </w:t>
      </w:r>
    </w:p>
    <w:p w14:paraId="079BE444" w14:textId="77777777" w:rsidR="00955C44" w:rsidRDefault="00955C44">
      <w:pPr>
        <w:spacing w:after="160" w:line="259" w:lineRule="auto"/>
        <w:rPr>
          <w:rFonts w:ascii="Times New Roman" w:hAnsi="Times New Roman"/>
          <w:b/>
          <w:bCs/>
          <w:i/>
          <w:iCs/>
          <w:sz w:val="28"/>
          <w:szCs w:val="28"/>
        </w:rPr>
      </w:pPr>
      <w:r>
        <w:rPr>
          <w:rFonts w:ascii="Times New Roman" w:hAnsi="Times New Roman"/>
          <w:b/>
          <w:bCs/>
          <w:i/>
          <w:iCs/>
          <w:sz w:val="28"/>
          <w:szCs w:val="28"/>
        </w:rPr>
        <w:br w:type="page"/>
      </w:r>
    </w:p>
    <w:p w14:paraId="55CBC6D6" w14:textId="69299C58" w:rsidR="002B169F" w:rsidRPr="00375059" w:rsidRDefault="002B169F" w:rsidP="002B169F">
      <w:pPr>
        <w:spacing w:after="0" w:line="240" w:lineRule="auto"/>
        <w:jc w:val="right"/>
        <w:rPr>
          <w:rFonts w:ascii="Times New Roman" w:hAnsi="Times New Roman"/>
          <w:b/>
          <w:bCs/>
          <w:i/>
          <w:iCs/>
          <w:sz w:val="28"/>
          <w:szCs w:val="28"/>
        </w:rPr>
      </w:pPr>
      <w:r w:rsidRPr="00375059">
        <w:rPr>
          <w:rFonts w:ascii="Times New Roman" w:hAnsi="Times New Roman"/>
          <w:b/>
          <w:bCs/>
          <w:i/>
          <w:iCs/>
          <w:sz w:val="28"/>
          <w:szCs w:val="28"/>
        </w:rPr>
        <w:lastRenderedPageBreak/>
        <w:t xml:space="preserve">Рисунок </w:t>
      </w:r>
      <w:r w:rsidR="005A30A3" w:rsidRPr="00375059">
        <w:rPr>
          <w:rFonts w:ascii="Times New Roman" w:hAnsi="Times New Roman"/>
          <w:b/>
          <w:bCs/>
          <w:i/>
          <w:iCs/>
          <w:sz w:val="28"/>
          <w:szCs w:val="28"/>
        </w:rPr>
        <w:t>3</w:t>
      </w:r>
      <w:r w:rsidR="00540656">
        <w:rPr>
          <w:rFonts w:ascii="Times New Roman" w:hAnsi="Times New Roman"/>
          <w:b/>
          <w:bCs/>
          <w:i/>
          <w:iCs/>
          <w:sz w:val="28"/>
          <w:szCs w:val="28"/>
        </w:rPr>
        <w:t>5</w:t>
      </w:r>
    </w:p>
    <w:p w14:paraId="0597D9CF" w14:textId="77777777" w:rsidR="002B169F" w:rsidRPr="00375059" w:rsidRDefault="002B169F" w:rsidP="002B169F">
      <w:pPr>
        <w:spacing w:after="0" w:line="240" w:lineRule="auto"/>
        <w:jc w:val="center"/>
        <w:rPr>
          <w:rFonts w:ascii="Times New Roman" w:hAnsi="Times New Roman"/>
          <w:b/>
          <w:bCs/>
          <w:sz w:val="28"/>
          <w:szCs w:val="28"/>
        </w:rPr>
      </w:pPr>
      <w:r w:rsidRPr="00375059">
        <w:rPr>
          <w:rFonts w:ascii="Times New Roman" w:hAnsi="Times New Roman"/>
          <w:b/>
          <w:bCs/>
          <w:sz w:val="28"/>
          <w:szCs w:val="28"/>
        </w:rPr>
        <w:t>Средняя цена десятка куриных яиц</w:t>
      </w:r>
    </w:p>
    <w:p w14:paraId="2D8B9A6A" w14:textId="6E708598" w:rsidR="002B169F" w:rsidRPr="00375059" w:rsidRDefault="002B169F" w:rsidP="002B169F">
      <w:pPr>
        <w:spacing w:after="0" w:line="240" w:lineRule="auto"/>
        <w:jc w:val="center"/>
        <w:rPr>
          <w:rFonts w:ascii="Times New Roman" w:hAnsi="Times New Roman"/>
          <w:sz w:val="28"/>
          <w:szCs w:val="28"/>
        </w:rPr>
      </w:pPr>
      <w:r w:rsidRPr="00375059">
        <w:rPr>
          <w:rFonts w:ascii="Times New Roman" w:hAnsi="Times New Roman"/>
          <w:noProof/>
        </w:rPr>
        <w:drawing>
          <wp:inline distT="0" distB="0" distL="0" distR="0" wp14:anchorId="3678CEFF" wp14:editId="11BF4101">
            <wp:extent cx="5934075" cy="2085975"/>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301A5F" w14:textId="03200EBB" w:rsidR="005A30A3" w:rsidRPr="00375059" w:rsidRDefault="002B169F" w:rsidP="001463C8">
      <w:pPr>
        <w:spacing w:after="0" w:line="240" w:lineRule="auto"/>
        <w:ind w:firstLine="567"/>
        <w:jc w:val="both"/>
        <w:rPr>
          <w:rFonts w:ascii="Times New Roman" w:hAnsi="Times New Roman"/>
          <w:b/>
          <w:i/>
          <w:sz w:val="28"/>
          <w:szCs w:val="28"/>
        </w:rPr>
      </w:pPr>
      <w:r w:rsidRPr="00375059">
        <w:rPr>
          <w:rFonts w:ascii="Times New Roman" w:hAnsi="Times New Roman"/>
          <w:bCs/>
          <w:iCs/>
          <w:sz w:val="28"/>
          <w:szCs w:val="28"/>
        </w:rPr>
        <w:t xml:space="preserve">Несмотря на хорошие показатели сбора подсолнечника, ценовая ситуация на приднестровском рынке кардинально не изменилась. Сохраняя инфляционную инерцию, усредненная стоимость литра рафинированного масла в республике </w:t>
      </w:r>
      <w:bookmarkStart w:id="34" w:name="_Hlk93322474"/>
      <w:r w:rsidRPr="00375059">
        <w:rPr>
          <w:rFonts w:ascii="Times New Roman" w:hAnsi="Times New Roman"/>
          <w:bCs/>
          <w:iCs/>
          <w:sz w:val="28"/>
          <w:szCs w:val="28"/>
        </w:rPr>
        <w:t>к концу года достигла 37,6 руб.</w:t>
      </w:r>
      <w:bookmarkEnd w:id="34"/>
      <w:r w:rsidRPr="00375059">
        <w:rPr>
          <w:rFonts w:ascii="Times New Roman" w:hAnsi="Times New Roman"/>
          <w:bCs/>
          <w:iCs/>
          <w:sz w:val="28"/>
          <w:szCs w:val="28"/>
        </w:rPr>
        <w:t>, а нерафинированного – 29,2 руб. (рис.</w:t>
      </w:r>
      <w:r w:rsidR="005A30A3" w:rsidRPr="00375059">
        <w:rPr>
          <w:rFonts w:ascii="Times New Roman" w:hAnsi="Times New Roman"/>
          <w:bCs/>
          <w:iCs/>
          <w:sz w:val="28"/>
          <w:szCs w:val="28"/>
        </w:rPr>
        <w:t xml:space="preserve"> 3</w:t>
      </w:r>
      <w:r w:rsidR="00540656">
        <w:rPr>
          <w:rFonts w:ascii="Times New Roman" w:hAnsi="Times New Roman"/>
          <w:bCs/>
          <w:iCs/>
          <w:sz w:val="28"/>
          <w:szCs w:val="28"/>
        </w:rPr>
        <w:t>6</w:t>
      </w:r>
      <w:r w:rsidRPr="00375059">
        <w:rPr>
          <w:rFonts w:ascii="Times New Roman" w:hAnsi="Times New Roman"/>
          <w:bCs/>
          <w:iCs/>
          <w:sz w:val="28"/>
          <w:szCs w:val="28"/>
        </w:rPr>
        <w:t>). Таким образом, подсолнечное масло в 2021 году подорожало на 30,8%, а вследствие увеличения стоимости сырья отмечался также рост цен на майонезную и маргариновую продукцию (+22,7% и +17,3% за 2021 год соответственно).</w:t>
      </w:r>
    </w:p>
    <w:p w14:paraId="6FD4D41E" w14:textId="15B79911" w:rsidR="002B169F" w:rsidRPr="00375059" w:rsidRDefault="002B169F" w:rsidP="002B169F">
      <w:pPr>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 xml:space="preserve">Рисунок </w:t>
      </w:r>
      <w:r w:rsidR="005A30A3" w:rsidRPr="00375059">
        <w:rPr>
          <w:rFonts w:ascii="Times New Roman" w:hAnsi="Times New Roman"/>
          <w:b/>
          <w:i/>
          <w:sz w:val="28"/>
          <w:szCs w:val="28"/>
        </w:rPr>
        <w:t>3</w:t>
      </w:r>
      <w:r w:rsidR="00540656">
        <w:rPr>
          <w:rFonts w:ascii="Times New Roman" w:hAnsi="Times New Roman"/>
          <w:b/>
          <w:i/>
          <w:sz w:val="28"/>
          <w:szCs w:val="28"/>
        </w:rPr>
        <w:t>6</w:t>
      </w:r>
    </w:p>
    <w:p w14:paraId="52DA6A73" w14:textId="77777777" w:rsidR="002B169F" w:rsidRPr="00375059" w:rsidRDefault="002B169F" w:rsidP="002B169F">
      <w:pPr>
        <w:spacing w:after="0" w:line="240" w:lineRule="auto"/>
        <w:jc w:val="center"/>
        <w:rPr>
          <w:rFonts w:ascii="Times New Roman" w:hAnsi="Times New Roman"/>
          <w:b/>
          <w:iCs/>
          <w:sz w:val="28"/>
          <w:szCs w:val="28"/>
        </w:rPr>
      </w:pPr>
      <w:r w:rsidRPr="00375059">
        <w:rPr>
          <w:rFonts w:ascii="Times New Roman" w:hAnsi="Times New Roman"/>
          <w:b/>
          <w:iCs/>
          <w:sz w:val="28"/>
          <w:szCs w:val="28"/>
        </w:rPr>
        <w:t>Средние цены на подсолнечное масло</w:t>
      </w:r>
    </w:p>
    <w:p w14:paraId="203298D1" w14:textId="1A318EDE" w:rsidR="002B169F" w:rsidRPr="00375059" w:rsidRDefault="002B169F" w:rsidP="002B169F">
      <w:pPr>
        <w:spacing w:after="0" w:line="240" w:lineRule="auto"/>
        <w:rPr>
          <w:rFonts w:ascii="Times New Roman" w:hAnsi="Times New Roman"/>
          <w:sz w:val="28"/>
          <w:szCs w:val="28"/>
        </w:rPr>
      </w:pPr>
      <w:r w:rsidRPr="00375059">
        <w:rPr>
          <w:rFonts w:ascii="Times New Roman" w:hAnsi="Times New Roman"/>
          <w:noProof/>
        </w:rPr>
        <mc:AlternateContent>
          <mc:Choice Requires="wpg">
            <w:drawing>
              <wp:anchor distT="0" distB="0" distL="114300" distR="114300" simplePos="0" relativeHeight="251717632" behindDoc="0" locked="0" layoutInCell="1" allowOverlap="1" wp14:anchorId="0077B6EF" wp14:editId="4A632E22">
                <wp:simplePos x="0" y="0"/>
                <wp:positionH relativeFrom="column">
                  <wp:posOffset>1283503</wp:posOffset>
                </wp:positionH>
                <wp:positionV relativeFrom="paragraph">
                  <wp:posOffset>2050667</wp:posOffset>
                </wp:positionV>
                <wp:extent cx="3358515" cy="219075"/>
                <wp:effectExtent l="0" t="0" r="0" b="9525"/>
                <wp:wrapNone/>
                <wp:docPr id="90" name="Группа 90"/>
                <wp:cNvGraphicFramePr/>
                <a:graphic xmlns:a="http://schemas.openxmlformats.org/drawingml/2006/main">
                  <a:graphicData uri="http://schemas.microsoft.com/office/word/2010/wordprocessingGroup">
                    <wpg:wgp>
                      <wpg:cNvGrpSpPr/>
                      <wpg:grpSpPr bwMode="auto">
                        <a:xfrm>
                          <a:off x="0" y="0"/>
                          <a:ext cx="3358515" cy="219075"/>
                          <a:chOff x="-353" y="68"/>
                          <a:chExt cx="5289" cy="345"/>
                        </a:xfrm>
                      </wpg:grpSpPr>
                      <wps:wsp>
                        <wps:cNvPr id="108" name="Надпись 1"/>
                        <wps:cNvSpPr txBox="1">
                          <a:spLocks noChangeArrowheads="1"/>
                        </wps:cNvSpPr>
                        <wps:spPr bwMode="auto">
                          <a:xfrm>
                            <a:off x="-353" y="68"/>
                            <a:ext cx="1040" cy="345"/>
                          </a:xfrm>
                          <a:prstGeom prst="rect">
                            <a:avLst/>
                          </a:prstGeom>
                          <a:noFill/>
                          <a:ln>
                            <a:noFill/>
                          </a:ln>
                        </wps:spPr>
                        <wps:txbx>
                          <w:txbxContent>
                            <w:p w14:paraId="58DBD464" w14:textId="77777777" w:rsidR="00540656" w:rsidRPr="00263961" w:rsidRDefault="00540656" w:rsidP="002B169F">
                              <w:pPr>
                                <w:pStyle w:val="a9"/>
                                <w:spacing w:after="0"/>
                              </w:pPr>
                              <w:r w:rsidRPr="00263961">
                                <w:rPr>
                                  <w:bCs/>
                                  <w:sz w:val="18"/>
                                  <w:szCs w:val="18"/>
                                </w:rPr>
                                <w:t>2020 год</w:t>
                              </w:r>
                            </w:p>
                          </w:txbxContent>
                        </wps:txbx>
                        <wps:bodyPr rot="0" vert="horz" wrap="square" lIns="91440" tIns="45720" rIns="91440" bIns="45720" anchor="t" anchorCtr="0" upright="1">
                          <a:noAutofit/>
                        </wps:bodyPr>
                      </wps:wsp>
                      <wps:wsp>
                        <wps:cNvPr id="109" name="Надпись 1"/>
                        <wps:cNvSpPr txBox="1">
                          <a:spLocks noChangeArrowheads="1"/>
                        </wps:cNvSpPr>
                        <wps:spPr bwMode="auto">
                          <a:xfrm>
                            <a:off x="3896" y="68"/>
                            <a:ext cx="1040" cy="345"/>
                          </a:xfrm>
                          <a:prstGeom prst="rect">
                            <a:avLst/>
                          </a:prstGeom>
                          <a:noFill/>
                          <a:ln>
                            <a:noFill/>
                          </a:ln>
                        </wps:spPr>
                        <wps:txbx>
                          <w:txbxContent>
                            <w:p w14:paraId="513F9EBC" w14:textId="77777777" w:rsidR="00540656" w:rsidRPr="00263961" w:rsidRDefault="00540656" w:rsidP="002B169F">
                              <w:pPr>
                                <w:pStyle w:val="a9"/>
                                <w:spacing w:after="0"/>
                              </w:pPr>
                              <w:r w:rsidRPr="00263961">
                                <w:rPr>
                                  <w:bCs/>
                                  <w:sz w:val="18"/>
                                  <w:szCs w:val="18"/>
                                </w:rPr>
                                <w:t>2021 год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077B6EF" id="Группа 90" o:spid="_x0000_s1045" style="position:absolute;margin-left:101.05pt;margin-top:161.45pt;width:264.45pt;height:17.25pt;z-index:251717632" coordorigin="-353,68" coordsize="5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8T/nQIAAFsHAAAOAAAAZHJzL2Uyb0RvYy54bWzUlc1u1DAQx+9IvIPle5tkd1N2o2ar0tIK&#10;qUClwgN4HedDJB5je5uUE4grN868Qw8cuPEKu2/E2Em3XwekIqGiSFHs8Uz+85uZZHeva2pyLrSp&#10;QKY02g4pEZJDVskipe/eHm1NKTGWyYzVIEVKL4She/OnT3ZblYgRlFBnQhMMIk3SqpSW1qokCAwv&#10;RcPMNigh0ZiDbpjFpS6CTLMWozd1MArDnaAFnSkNXBiDu4e9kc59/DwX3L7JcyMsqVOK2qy/a39f&#10;uHsw32VJoZkqKz7IYA9Q0bBK4ks3oQ6ZZWSpq3uhmoprMJDbbQ5NAHleceFzwGyi8E42xxqWyudS&#10;JG2hNpgQ7R1ODw7LX5+falJlKZ0hHskarNHq2/rT+svqF16XBLeRUauKBI8ea3WmTvWwUfQrsmhf&#10;QYZ+bGnBQ+hy3TgYmB7pPOuLDWvRWcJxczyOp3EUU8LRNopm4bO4LwYvsWLObWscjylB6870yvJi&#10;cI5H01nvOZ54t4Al/UsDp3QQ5mRjV5lrcObvwJ2VTAlfD+NoDOCiEHt8IPd9dbn6gdx+rj+vv5Ko&#10;R+cPO27Eds8BM4s8JaNOgL83RMJByWQh9rWGthQsQ5XeE3PZuPa5GBfkT7jvcbtCHoUTrLHjfZca&#10;S5Q29lhAQ9xDSjUOjhfJzk+MxXoj4KsjrrISjqq69sNTy1sbeNDteO1Obi/cdovOd1k0tJNJFpBd&#10;YDYa+pnEbwg+lKA/UtLiPKbUfFgyLSipX0okMosmTr31i0n8bIQLfdOyuGlhkmOolFpK+scD2w/9&#10;UumqKPFNfQ0k7GPT5pVP0eHuVQ36sXX+WQ9hPz+iHhpPZzu3Zu9R9dBmrv6XHvJfJfyC+zka/jbu&#10;F3Fz7Xvu+p84/w0AAP//AwBQSwMEFAAGAAgAAAAhAJVrNY/iAAAACwEAAA8AAABkcnMvZG93bnJl&#10;di54bWxMj8FOwzAMhu9IvENkJG4sTcrYKE2naQJOExIbEtota7y2WpNUTdZ2b485wdH2p9/fn68m&#10;27IB+9B4p0DMEmDoSm8aVyn42r89LIGFqJ3RrXeo4IoBVsXtTa4z40f3icMuVoxCXMi0gjrGLuM8&#10;lDVaHWa+Q0e3k++tjjT2FTe9HinctlwmyRO3unH0odYdbmosz7uLVfA+6nGditdhez5trof9/ON7&#10;K1Cp+7tp/QIs4hT/YPjVJ3UoyOnoL84E1iqQiRSEKkilfAZGxCIV1O5Im/niEXiR8/8dih8AAAD/&#10;/wMAUEsBAi0AFAAGAAgAAAAhALaDOJL+AAAA4QEAABMAAAAAAAAAAAAAAAAAAAAAAFtDb250ZW50&#10;X1R5cGVzXS54bWxQSwECLQAUAAYACAAAACEAOP0h/9YAAACUAQAACwAAAAAAAAAAAAAAAAAvAQAA&#10;X3JlbHMvLnJlbHNQSwECLQAUAAYACAAAACEA8PfE/50CAABbBwAADgAAAAAAAAAAAAAAAAAuAgAA&#10;ZHJzL2Uyb0RvYy54bWxQSwECLQAUAAYACAAAACEAlWs1j+IAAAALAQAADwAAAAAAAAAAAAAAAAD3&#10;BAAAZHJzL2Rvd25yZXYueG1sUEsFBgAAAAAEAAQA8wAAAAYGAAAAAA==&#10;">
                <v:shape id="Надпись 1" o:spid="_x0000_s1046" type="#_x0000_t202" style="position:absolute;left:-353;top:68;width:10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58DBD464" w14:textId="77777777" w:rsidR="00540656" w:rsidRPr="00263961" w:rsidRDefault="00540656" w:rsidP="002B169F">
                        <w:pPr>
                          <w:pStyle w:val="a9"/>
                          <w:spacing w:after="0"/>
                        </w:pPr>
                        <w:r w:rsidRPr="00263961">
                          <w:rPr>
                            <w:bCs/>
                            <w:sz w:val="18"/>
                            <w:szCs w:val="18"/>
                          </w:rPr>
                          <w:t>2020 год</w:t>
                        </w:r>
                      </w:p>
                    </w:txbxContent>
                  </v:textbox>
                </v:shape>
                <v:shape id="Надпись 1" o:spid="_x0000_s1047" type="#_x0000_t202" style="position:absolute;left:3896;top:68;width:10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513F9EBC" w14:textId="77777777" w:rsidR="00540656" w:rsidRPr="00263961" w:rsidRDefault="00540656" w:rsidP="002B169F">
                        <w:pPr>
                          <w:pStyle w:val="a9"/>
                          <w:spacing w:after="0"/>
                        </w:pPr>
                        <w:r w:rsidRPr="00263961">
                          <w:rPr>
                            <w:bCs/>
                            <w:sz w:val="18"/>
                            <w:szCs w:val="18"/>
                          </w:rPr>
                          <w:t>2021 год</w:t>
                        </w:r>
                      </w:p>
                    </w:txbxContent>
                  </v:textbox>
                </v:shape>
              </v:group>
            </w:pict>
          </mc:Fallback>
        </mc:AlternateContent>
      </w:r>
      <w:r w:rsidRPr="00375059">
        <w:rPr>
          <w:rFonts w:ascii="Times New Roman" w:hAnsi="Times New Roman"/>
          <w:noProof/>
          <w:sz w:val="28"/>
          <w:szCs w:val="28"/>
        </w:rPr>
        <w:drawing>
          <wp:inline distT="0" distB="0" distL="0" distR="0" wp14:anchorId="53A9CD43" wp14:editId="21AD392E">
            <wp:extent cx="6072996" cy="2428875"/>
            <wp:effectExtent l="0" t="0" r="4445"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32E4B10" w14:textId="77777777" w:rsidR="00263961" w:rsidRPr="00375059" w:rsidRDefault="00263961" w:rsidP="005A30A3">
      <w:pPr>
        <w:spacing w:after="0" w:line="240" w:lineRule="auto"/>
        <w:ind w:firstLine="567"/>
        <w:jc w:val="both"/>
        <w:rPr>
          <w:rFonts w:ascii="Times New Roman" w:hAnsi="Times New Roman"/>
          <w:bCs/>
          <w:iCs/>
          <w:sz w:val="12"/>
          <w:szCs w:val="12"/>
        </w:rPr>
      </w:pPr>
    </w:p>
    <w:p w14:paraId="10C5DC2F" w14:textId="6DCBEC1F" w:rsidR="002B169F" w:rsidRPr="00375059" w:rsidRDefault="002B169F" w:rsidP="00863ADB">
      <w:pPr>
        <w:spacing w:after="0" w:line="240" w:lineRule="auto"/>
        <w:ind w:firstLine="567"/>
        <w:jc w:val="both"/>
        <w:rPr>
          <w:rFonts w:ascii="Times New Roman" w:hAnsi="Times New Roman"/>
          <w:bCs/>
          <w:iCs/>
          <w:sz w:val="28"/>
          <w:szCs w:val="28"/>
        </w:rPr>
      </w:pPr>
      <w:r w:rsidRPr="00375059">
        <w:rPr>
          <w:rFonts w:ascii="Times New Roman" w:hAnsi="Times New Roman"/>
          <w:bCs/>
          <w:iCs/>
          <w:sz w:val="28"/>
          <w:szCs w:val="28"/>
        </w:rPr>
        <w:t>Помимо обозначенных выше, весьма чувствительным для потребителей стало повышение стоимости «</w:t>
      </w:r>
      <w:proofErr w:type="spellStart"/>
      <w:r w:rsidRPr="00375059">
        <w:rPr>
          <w:rFonts w:ascii="Times New Roman" w:hAnsi="Times New Roman"/>
          <w:bCs/>
          <w:iCs/>
          <w:sz w:val="28"/>
          <w:szCs w:val="28"/>
        </w:rPr>
        <w:t>борщевого</w:t>
      </w:r>
      <w:proofErr w:type="spellEnd"/>
      <w:r w:rsidRPr="00375059">
        <w:rPr>
          <w:rFonts w:ascii="Times New Roman" w:hAnsi="Times New Roman"/>
          <w:bCs/>
          <w:iCs/>
          <w:sz w:val="28"/>
          <w:szCs w:val="28"/>
        </w:rPr>
        <w:t xml:space="preserve"> набора», а в его структуре – всплеск цен на капусту (+73,9% к декабрю 2020 года). В среднем овощи за 12 месяцев подорожали на 65,1%, таким образом, после краткосрочной </w:t>
      </w:r>
      <w:r w:rsidRPr="00375059">
        <w:rPr>
          <w:rFonts w:ascii="Times New Roman" w:hAnsi="Times New Roman"/>
          <w:sz w:val="28"/>
          <w:szCs w:val="28"/>
        </w:rPr>
        <w:t xml:space="preserve">понижательной коррекции </w:t>
      </w:r>
      <w:r w:rsidRPr="00375059">
        <w:rPr>
          <w:rFonts w:ascii="Times New Roman" w:hAnsi="Times New Roman"/>
          <w:bCs/>
          <w:iCs/>
          <w:sz w:val="28"/>
          <w:szCs w:val="28"/>
        </w:rPr>
        <w:t xml:space="preserve">(-14,1% в 2020 году) вернулся главный </w:t>
      </w:r>
      <w:proofErr w:type="spellStart"/>
      <w:r w:rsidRPr="00375059">
        <w:rPr>
          <w:rFonts w:ascii="Times New Roman" w:hAnsi="Times New Roman"/>
          <w:bCs/>
          <w:iCs/>
          <w:sz w:val="28"/>
          <w:szCs w:val="28"/>
        </w:rPr>
        <w:t>проинфляционный</w:t>
      </w:r>
      <w:proofErr w:type="spellEnd"/>
      <w:r w:rsidRPr="00375059">
        <w:rPr>
          <w:rFonts w:ascii="Times New Roman" w:hAnsi="Times New Roman"/>
          <w:bCs/>
          <w:iCs/>
          <w:sz w:val="28"/>
          <w:szCs w:val="28"/>
        </w:rPr>
        <w:t xml:space="preserve"> тренд предыдущих лет (нарастающим итогом стандартизированная овощная корзина за 2017-2019 гг. подорожала в 4,7 раза).</w:t>
      </w:r>
    </w:p>
    <w:p w14:paraId="119CA4EF" w14:textId="77777777" w:rsidR="002B169F" w:rsidRPr="00375059" w:rsidRDefault="002B169F" w:rsidP="00863ADB">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связи с неурожайным 2020 годом в отчетном году был зафиксирован рост цен на муку (+6,8%), хлеб (+7,8%), макаронные и крупяные изделия (+11,5%).</w:t>
      </w:r>
    </w:p>
    <w:p w14:paraId="41701E98" w14:textId="2F31A54D" w:rsidR="002B169F" w:rsidRPr="00375059" w:rsidRDefault="002B169F" w:rsidP="00863ADB">
      <w:pPr>
        <w:spacing w:after="0" w:line="240" w:lineRule="auto"/>
        <w:ind w:firstLine="567"/>
        <w:jc w:val="both"/>
        <w:rPr>
          <w:rFonts w:ascii="Times New Roman" w:hAnsi="Times New Roman"/>
          <w:sz w:val="28"/>
          <w:szCs w:val="28"/>
        </w:rPr>
      </w:pPr>
      <w:r w:rsidRPr="00375059">
        <w:rPr>
          <w:rFonts w:ascii="Times New Roman" w:hAnsi="Times New Roman"/>
          <w:sz w:val="28"/>
          <w:szCs w:val="28"/>
        </w:rPr>
        <w:lastRenderedPageBreak/>
        <w:t xml:space="preserve">Вместе с тем в числе дефляционных факторов в 2021 году можно отметить удешевление тыквы (-31,4% </w:t>
      </w:r>
      <w:r w:rsidR="0045785D" w:rsidRPr="00375059">
        <w:rPr>
          <w:rFonts w:ascii="Times New Roman" w:hAnsi="Times New Roman"/>
          <w:sz w:val="28"/>
          <w:szCs w:val="28"/>
        </w:rPr>
        <w:t>по отношению к декабрю 2020 года</w:t>
      </w:r>
      <w:r w:rsidR="0045785D">
        <w:rPr>
          <w:rFonts w:ascii="Times New Roman" w:hAnsi="Times New Roman"/>
          <w:sz w:val="28"/>
          <w:szCs w:val="28"/>
        </w:rPr>
        <w:t>),</w:t>
      </w:r>
      <w:r w:rsidR="0045785D" w:rsidRPr="00375059">
        <w:rPr>
          <w:rFonts w:ascii="Times New Roman" w:hAnsi="Times New Roman"/>
          <w:sz w:val="28"/>
          <w:szCs w:val="28"/>
        </w:rPr>
        <w:t xml:space="preserve"> </w:t>
      </w:r>
      <w:r w:rsidRPr="00375059">
        <w:rPr>
          <w:rFonts w:ascii="Times New Roman" w:hAnsi="Times New Roman"/>
          <w:sz w:val="28"/>
          <w:szCs w:val="28"/>
        </w:rPr>
        <w:t xml:space="preserve">картофеля (-24,6%) и яблок (-24,1%), богатый урожай которых и высокая конкуренция даже вынуждали </w:t>
      </w:r>
      <w:proofErr w:type="spellStart"/>
      <w:r w:rsidRPr="00375059">
        <w:rPr>
          <w:rFonts w:ascii="Times New Roman" w:hAnsi="Times New Roman"/>
          <w:sz w:val="28"/>
          <w:szCs w:val="28"/>
        </w:rPr>
        <w:t>демпинговать</w:t>
      </w:r>
      <w:proofErr w:type="spellEnd"/>
      <w:r w:rsidRPr="00375059">
        <w:rPr>
          <w:rFonts w:ascii="Times New Roman" w:hAnsi="Times New Roman"/>
          <w:sz w:val="28"/>
          <w:szCs w:val="28"/>
        </w:rPr>
        <w:t xml:space="preserve"> производителей, желающих реализовать собранный урожай.</w:t>
      </w:r>
    </w:p>
    <w:p w14:paraId="055288C9" w14:textId="77777777" w:rsidR="002B169F" w:rsidRPr="00375059" w:rsidRDefault="002B169F" w:rsidP="00863ADB">
      <w:pPr>
        <w:spacing w:after="0" w:line="240" w:lineRule="auto"/>
        <w:ind w:firstLine="567"/>
        <w:jc w:val="both"/>
        <w:rPr>
          <w:rFonts w:ascii="Times New Roman" w:hAnsi="Times New Roman"/>
          <w:iCs/>
          <w:sz w:val="28"/>
          <w:szCs w:val="28"/>
        </w:rPr>
      </w:pPr>
      <w:r w:rsidRPr="00375059">
        <w:rPr>
          <w:rFonts w:ascii="Times New Roman" w:hAnsi="Times New Roman"/>
          <w:iCs/>
          <w:sz w:val="28"/>
          <w:szCs w:val="28"/>
        </w:rPr>
        <w:t xml:space="preserve">С общемировой напряженностью на рынках базовых товаров, и, в первую очередь, ажиотажных настроений на рынках исключительно дешевых в 2020 году углеводородов, соотносится и перегретый инфляционный фон по непродовольственному перечню. </w:t>
      </w:r>
    </w:p>
    <w:p w14:paraId="4A563925" w14:textId="1AE6347A" w:rsidR="002B169F" w:rsidRPr="00375059" w:rsidRDefault="002B169F" w:rsidP="00863ADB">
      <w:pPr>
        <w:spacing w:after="0" w:line="240" w:lineRule="auto"/>
        <w:ind w:firstLine="567"/>
        <w:jc w:val="both"/>
        <w:rPr>
          <w:rFonts w:ascii="Times New Roman" w:hAnsi="Times New Roman"/>
          <w:iCs/>
          <w:sz w:val="28"/>
          <w:szCs w:val="28"/>
        </w:rPr>
      </w:pPr>
      <w:r w:rsidRPr="00375059">
        <w:rPr>
          <w:rFonts w:ascii="Times New Roman" w:hAnsi="Times New Roman"/>
          <w:iCs/>
          <w:sz w:val="28"/>
          <w:szCs w:val="28"/>
        </w:rPr>
        <w:t>Вслед за ростом нефтяных котировок на мировых рынках, с февраля 2021</w:t>
      </w:r>
      <w:r w:rsidR="00D55B53">
        <w:rPr>
          <w:rFonts w:ascii="Times New Roman" w:hAnsi="Times New Roman"/>
          <w:iCs/>
          <w:sz w:val="28"/>
          <w:szCs w:val="28"/>
        </w:rPr>
        <w:t> </w:t>
      </w:r>
      <w:r w:rsidRPr="00375059">
        <w:rPr>
          <w:rFonts w:ascii="Times New Roman" w:hAnsi="Times New Roman"/>
          <w:iCs/>
          <w:sz w:val="28"/>
          <w:szCs w:val="28"/>
        </w:rPr>
        <w:t xml:space="preserve">года отмечался последовательный подъем стоимости топлива на приднестровских АЗС, обеспечивший за 2021 год повышение на 28,5%. В результате к концу года средняя цена бензина марки АИ-95 равнялась </w:t>
      </w:r>
      <w:r w:rsidRPr="00375059">
        <w:rPr>
          <w:rFonts w:ascii="Times New Roman" w:hAnsi="Times New Roman"/>
          <w:iCs/>
          <w:sz w:val="28"/>
          <w:szCs w:val="28"/>
        </w:rPr>
        <w:br/>
        <w:t>18,1 руб. за литр, дизельного топлива – 15,5 руб.</w:t>
      </w:r>
    </w:p>
    <w:p w14:paraId="68DB2E22" w14:textId="47ADB37F" w:rsidR="002B169F" w:rsidRPr="00375059" w:rsidRDefault="002B169F" w:rsidP="00863ADB">
      <w:pPr>
        <w:spacing w:after="0" w:line="240" w:lineRule="auto"/>
        <w:ind w:firstLine="567"/>
        <w:jc w:val="both"/>
        <w:rPr>
          <w:rFonts w:ascii="Times New Roman" w:hAnsi="Times New Roman"/>
          <w:iCs/>
          <w:sz w:val="28"/>
          <w:szCs w:val="28"/>
        </w:rPr>
      </w:pPr>
      <w:r w:rsidRPr="00375059">
        <w:rPr>
          <w:rFonts w:ascii="Times New Roman" w:hAnsi="Times New Roman"/>
          <w:iCs/>
          <w:sz w:val="28"/>
          <w:szCs w:val="28"/>
        </w:rPr>
        <w:t xml:space="preserve">На фоне нарастающих закупок и, как следствие, повсеместно формирующегося дефицита предложения стремительно дорожали строительные материалы (+12,5% с начала года). В разрезе товарных позиций следует отметить рост цен по такой позиции, как «ориентированно-стружечные плиты», с декабря 2020 года произошло фактическое удвоение цены ее реализации (108,1 руб. против 49,0 руб.  за </w:t>
      </w:r>
      <w:r w:rsidR="00263961" w:rsidRPr="00375059">
        <w:rPr>
          <w:rFonts w:ascii="Times New Roman" w:hAnsi="Times New Roman"/>
          <w:iCs/>
          <w:sz w:val="28"/>
          <w:szCs w:val="28"/>
        </w:rPr>
        <w:t>1 кв. м</w:t>
      </w:r>
      <w:r w:rsidRPr="00375059">
        <w:rPr>
          <w:rFonts w:ascii="Times New Roman" w:hAnsi="Times New Roman"/>
          <w:iCs/>
          <w:sz w:val="28"/>
          <w:szCs w:val="28"/>
        </w:rPr>
        <w:t xml:space="preserve">). </w:t>
      </w:r>
    </w:p>
    <w:p w14:paraId="3B85CB8F" w14:textId="77777777" w:rsidR="002B169F" w:rsidRPr="00375059" w:rsidRDefault="002B169F" w:rsidP="00863ADB">
      <w:pPr>
        <w:spacing w:after="0" w:line="240" w:lineRule="auto"/>
        <w:ind w:firstLine="567"/>
        <w:jc w:val="both"/>
        <w:rPr>
          <w:rFonts w:ascii="Times New Roman" w:hAnsi="Times New Roman"/>
          <w:iCs/>
          <w:sz w:val="28"/>
          <w:szCs w:val="28"/>
        </w:rPr>
      </w:pPr>
      <w:r w:rsidRPr="00375059">
        <w:rPr>
          <w:rFonts w:ascii="Times New Roman" w:hAnsi="Times New Roman"/>
          <w:iCs/>
          <w:sz w:val="28"/>
          <w:szCs w:val="28"/>
        </w:rPr>
        <w:t xml:space="preserve">При эпизодических корректировках ценников на остальные товары была устойчива динамика повышения стоимости фармацевтической продукции (+8,7% за 12 месяцев по отслеживаемым официальной статистикой наименованиям). </w:t>
      </w:r>
    </w:p>
    <w:p w14:paraId="16DEF46F" w14:textId="77777777" w:rsidR="002B169F" w:rsidRPr="00375059" w:rsidRDefault="002B169F" w:rsidP="00863ADB">
      <w:pPr>
        <w:spacing w:after="0" w:line="240" w:lineRule="auto"/>
        <w:ind w:firstLine="567"/>
        <w:jc w:val="both"/>
        <w:rPr>
          <w:rFonts w:ascii="Times New Roman" w:hAnsi="Times New Roman"/>
          <w:iCs/>
          <w:sz w:val="28"/>
          <w:szCs w:val="28"/>
        </w:rPr>
      </w:pPr>
      <w:r w:rsidRPr="00375059">
        <w:rPr>
          <w:rFonts w:ascii="Times New Roman" w:hAnsi="Times New Roman"/>
          <w:iCs/>
          <w:sz w:val="28"/>
          <w:szCs w:val="28"/>
        </w:rPr>
        <w:t xml:space="preserve">Накопленный по итогам года </w:t>
      </w:r>
      <w:r w:rsidRPr="00375059">
        <w:rPr>
          <w:rFonts w:ascii="Times New Roman" w:hAnsi="Times New Roman"/>
          <w:sz w:val="28"/>
          <w:szCs w:val="28"/>
        </w:rPr>
        <w:t>показатель</w:t>
      </w:r>
      <w:r w:rsidRPr="00375059">
        <w:rPr>
          <w:rFonts w:ascii="Times New Roman" w:hAnsi="Times New Roman"/>
          <w:iCs/>
          <w:sz w:val="28"/>
        </w:rPr>
        <w:t xml:space="preserve"> </w:t>
      </w:r>
      <w:r w:rsidRPr="00375059">
        <w:rPr>
          <w:rFonts w:ascii="Times New Roman" w:hAnsi="Times New Roman"/>
          <w:sz w:val="28"/>
          <w:szCs w:val="28"/>
        </w:rPr>
        <w:t>инфляции</w:t>
      </w:r>
      <w:r w:rsidRPr="00375059">
        <w:rPr>
          <w:rFonts w:ascii="Times New Roman" w:hAnsi="Times New Roman"/>
          <w:b/>
          <w:sz w:val="28"/>
          <w:szCs w:val="28"/>
        </w:rPr>
        <w:t xml:space="preserve"> в непродовольственном сегменте</w:t>
      </w:r>
      <w:r w:rsidRPr="00375059">
        <w:rPr>
          <w:rFonts w:ascii="Times New Roman" w:hAnsi="Times New Roman"/>
          <w:sz w:val="28"/>
          <w:szCs w:val="28"/>
        </w:rPr>
        <w:t xml:space="preserve"> </w:t>
      </w:r>
      <w:r w:rsidRPr="00375059">
        <w:rPr>
          <w:rFonts w:ascii="Times New Roman" w:hAnsi="Times New Roman"/>
          <w:iCs/>
          <w:sz w:val="28"/>
          <w:szCs w:val="28"/>
        </w:rPr>
        <w:t>достиг 6,2% против 0,1 % в предыдущем году.</w:t>
      </w:r>
    </w:p>
    <w:p w14:paraId="025404BE" w14:textId="77777777" w:rsidR="002B169F" w:rsidRPr="00375059" w:rsidRDefault="002B169F" w:rsidP="00863ADB">
      <w:pPr>
        <w:spacing w:after="0" w:line="240" w:lineRule="auto"/>
        <w:ind w:firstLine="567"/>
        <w:jc w:val="both"/>
        <w:rPr>
          <w:rFonts w:ascii="Times New Roman" w:hAnsi="Times New Roman"/>
          <w:iCs/>
          <w:sz w:val="28"/>
          <w:szCs w:val="28"/>
        </w:rPr>
      </w:pPr>
      <w:r w:rsidRPr="00375059">
        <w:rPr>
          <w:rFonts w:ascii="Times New Roman" w:hAnsi="Times New Roman"/>
          <w:iCs/>
          <w:sz w:val="28"/>
          <w:szCs w:val="28"/>
        </w:rPr>
        <w:t xml:space="preserve">Социально-ориентированный подход в рамках реализуемых государственных мер регулирования позволил ограничить рост тарифов на </w:t>
      </w:r>
      <w:r w:rsidRPr="00375059">
        <w:rPr>
          <w:rFonts w:ascii="Times New Roman" w:hAnsi="Times New Roman"/>
          <w:b/>
          <w:iCs/>
          <w:sz w:val="28"/>
          <w:szCs w:val="28"/>
        </w:rPr>
        <w:t xml:space="preserve">услуги </w:t>
      </w:r>
      <w:r w:rsidRPr="00375059">
        <w:rPr>
          <w:rFonts w:ascii="Times New Roman" w:hAnsi="Times New Roman"/>
          <w:iCs/>
          <w:sz w:val="28"/>
          <w:szCs w:val="28"/>
        </w:rPr>
        <w:t>в 2021 году в пределах 1,8% (2020 год – 1,9%, 2019 год – 2,8%).</w:t>
      </w:r>
    </w:p>
    <w:p w14:paraId="6C46AC43" w14:textId="77777777" w:rsidR="002B169F" w:rsidRPr="00375059" w:rsidRDefault="002B169F" w:rsidP="00863ADB">
      <w:pPr>
        <w:spacing w:after="0" w:line="240" w:lineRule="auto"/>
        <w:ind w:firstLine="567"/>
        <w:jc w:val="both"/>
        <w:rPr>
          <w:rFonts w:ascii="Times New Roman" w:hAnsi="Times New Roman"/>
          <w:iCs/>
          <w:sz w:val="28"/>
          <w:szCs w:val="28"/>
        </w:rPr>
      </w:pPr>
      <w:r w:rsidRPr="00375059">
        <w:rPr>
          <w:rFonts w:ascii="Times New Roman" w:hAnsi="Times New Roman"/>
          <w:sz w:val="28"/>
          <w:szCs w:val="28"/>
        </w:rPr>
        <w:t xml:space="preserve">Средняя стоимость коммунальных услуг в течение всего года была стабильной. </w:t>
      </w:r>
      <w:r w:rsidRPr="00375059">
        <w:rPr>
          <w:rFonts w:ascii="Times New Roman" w:hAnsi="Times New Roman"/>
          <w:iCs/>
          <w:sz w:val="28"/>
          <w:szCs w:val="28"/>
        </w:rPr>
        <w:t>Вместе с тем в соответствии с мировыми тенденциями в 2021 году отмечалось подорожание сжиженного газа (+21,7%).</w:t>
      </w:r>
    </w:p>
    <w:p w14:paraId="6E4B6BDE" w14:textId="77777777" w:rsidR="002B169F" w:rsidRPr="00375059" w:rsidRDefault="002B169F" w:rsidP="00863ADB">
      <w:pPr>
        <w:spacing w:after="0" w:line="240" w:lineRule="auto"/>
        <w:ind w:firstLine="567"/>
        <w:jc w:val="both"/>
        <w:rPr>
          <w:rFonts w:ascii="Times New Roman" w:hAnsi="Times New Roman"/>
          <w:iCs/>
          <w:sz w:val="28"/>
          <w:szCs w:val="28"/>
        </w:rPr>
      </w:pPr>
      <w:r w:rsidRPr="00375059">
        <w:rPr>
          <w:rFonts w:ascii="Times New Roman" w:hAnsi="Times New Roman"/>
          <w:iCs/>
          <w:sz w:val="28"/>
          <w:szCs w:val="28"/>
        </w:rPr>
        <w:t>Ощутимой корректировке с начала года подверглись размеры платы за медицинские услуги (+14,8%), по большей части удорожание в группе затронуло стоматологические процедуры (первичный осмотр – на 22,0%, удаление зуба под местным обезболивающим – на 26,0%), а также выросла цена на первичный прием врача-специалиста (+25,0%).</w:t>
      </w:r>
    </w:p>
    <w:p w14:paraId="5E761936" w14:textId="77777777" w:rsidR="002B169F" w:rsidRPr="00375059" w:rsidRDefault="002B169F" w:rsidP="00863ADB">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Кроме того, в 2021 году стали дороже санаторно-оздоровительные (+6,3%) и жилищные (+3,7%) услуги. Среди бытовых услуг, пользующихся спросом у населения, стоит отметить повышение стоимости услуг фотомастерских (+12,4%), прачечных (+3,3%) и ателье по пошиву одежды (+4,6%). </w:t>
      </w:r>
    </w:p>
    <w:p w14:paraId="73B2064E" w14:textId="736AD93C" w:rsidR="002B169F" w:rsidRPr="00375059" w:rsidRDefault="002B169F" w:rsidP="00863ADB">
      <w:pPr>
        <w:spacing w:after="0" w:line="240" w:lineRule="auto"/>
        <w:ind w:firstLine="567"/>
        <w:jc w:val="both"/>
        <w:rPr>
          <w:rFonts w:ascii="Times New Roman" w:hAnsi="Times New Roman"/>
          <w:bCs/>
          <w:iCs/>
          <w:sz w:val="28"/>
          <w:szCs w:val="28"/>
        </w:rPr>
      </w:pPr>
      <w:r w:rsidRPr="00375059">
        <w:rPr>
          <w:rFonts w:ascii="Times New Roman" w:hAnsi="Times New Roman"/>
          <w:bCs/>
          <w:iCs/>
          <w:sz w:val="28"/>
          <w:szCs w:val="28"/>
        </w:rPr>
        <w:t xml:space="preserve">В странах, выступающих основными торговыми партнерами республики, наблюдаемое инфляционное давление на бюджет среднестатистического </w:t>
      </w:r>
      <w:r w:rsidRPr="00375059">
        <w:rPr>
          <w:rFonts w:ascii="Times New Roman" w:hAnsi="Times New Roman"/>
          <w:bCs/>
          <w:iCs/>
          <w:sz w:val="28"/>
          <w:szCs w:val="28"/>
        </w:rPr>
        <w:lastRenderedPageBreak/>
        <w:t xml:space="preserve">потребителя по итогам 2021 года определялось общим трендом опережающего удорожания продовольственных товаров (рис. </w:t>
      </w:r>
      <w:r w:rsidR="005A30A3" w:rsidRPr="00375059">
        <w:rPr>
          <w:rFonts w:ascii="Times New Roman" w:hAnsi="Times New Roman"/>
          <w:bCs/>
          <w:iCs/>
          <w:sz w:val="28"/>
          <w:szCs w:val="28"/>
        </w:rPr>
        <w:t>3</w:t>
      </w:r>
      <w:r w:rsidR="00540656">
        <w:rPr>
          <w:rFonts w:ascii="Times New Roman" w:hAnsi="Times New Roman"/>
          <w:bCs/>
          <w:iCs/>
          <w:sz w:val="28"/>
          <w:szCs w:val="28"/>
        </w:rPr>
        <w:t>7</w:t>
      </w:r>
      <w:r w:rsidRPr="00375059">
        <w:rPr>
          <w:rFonts w:ascii="Times New Roman" w:hAnsi="Times New Roman"/>
          <w:bCs/>
          <w:iCs/>
          <w:sz w:val="28"/>
          <w:szCs w:val="28"/>
        </w:rPr>
        <w:t>).</w:t>
      </w:r>
    </w:p>
    <w:p w14:paraId="0FA8C870" w14:textId="1A735FCE" w:rsidR="002B169F" w:rsidRPr="00375059" w:rsidRDefault="002B169F" w:rsidP="002B169F">
      <w:pPr>
        <w:spacing w:after="0" w:line="240" w:lineRule="auto"/>
        <w:ind w:left="142" w:firstLine="284"/>
        <w:jc w:val="right"/>
        <w:rPr>
          <w:rFonts w:ascii="Times New Roman" w:hAnsi="Times New Roman"/>
          <w:b/>
          <w:bCs/>
          <w:i/>
          <w:iCs/>
          <w:sz w:val="28"/>
          <w:szCs w:val="28"/>
        </w:rPr>
      </w:pPr>
      <w:r w:rsidRPr="00375059">
        <w:rPr>
          <w:rFonts w:ascii="Times New Roman" w:hAnsi="Times New Roman"/>
          <w:b/>
          <w:bCs/>
          <w:i/>
          <w:iCs/>
          <w:sz w:val="28"/>
          <w:szCs w:val="28"/>
        </w:rPr>
        <w:t xml:space="preserve">Рисунок </w:t>
      </w:r>
      <w:r w:rsidR="005A30A3" w:rsidRPr="00375059">
        <w:rPr>
          <w:rFonts w:ascii="Times New Roman" w:hAnsi="Times New Roman"/>
          <w:b/>
          <w:bCs/>
          <w:i/>
          <w:iCs/>
          <w:sz w:val="28"/>
          <w:szCs w:val="28"/>
        </w:rPr>
        <w:t>3</w:t>
      </w:r>
      <w:r w:rsidR="00540656">
        <w:rPr>
          <w:rFonts w:ascii="Times New Roman" w:hAnsi="Times New Roman"/>
          <w:b/>
          <w:bCs/>
          <w:i/>
          <w:iCs/>
          <w:sz w:val="28"/>
          <w:szCs w:val="28"/>
        </w:rPr>
        <w:t>7</w:t>
      </w:r>
    </w:p>
    <w:p w14:paraId="7589237A" w14:textId="77777777" w:rsidR="002B169F" w:rsidRPr="00375059" w:rsidRDefault="002B169F" w:rsidP="002B169F">
      <w:pPr>
        <w:spacing w:after="0" w:line="240" w:lineRule="auto"/>
        <w:ind w:left="142" w:firstLine="284"/>
        <w:jc w:val="center"/>
        <w:rPr>
          <w:rFonts w:ascii="Times New Roman" w:hAnsi="Times New Roman"/>
          <w:b/>
          <w:bCs/>
          <w:iCs/>
          <w:sz w:val="28"/>
          <w:szCs w:val="28"/>
        </w:rPr>
      </w:pPr>
      <w:r w:rsidRPr="00375059">
        <w:rPr>
          <w:rFonts w:ascii="Times New Roman" w:hAnsi="Times New Roman"/>
          <w:b/>
          <w:bCs/>
          <w:iCs/>
          <w:sz w:val="28"/>
          <w:szCs w:val="28"/>
        </w:rPr>
        <w:t>Динамика основных составляющих инфляции в 2021 году</w:t>
      </w:r>
    </w:p>
    <w:p w14:paraId="2922F87B" w14:textId="77777777" w:rsidR="002B169F" w:rsidRPr="00375059" w:rsidRDefault="002B169F" w:rsidP="002B169F">
      <w:pPr>
        <w:spacing w:after="0" w:line="240" w:lineRule="auto"/>
        <w:ind w:left="142" w:firstLine="284"/>
        <w:jc w:val="center"/>
        <w:rPr>
          <w:rFonts w:ascii="Times New Roman" w:hAnsi="Times New Roman"/>
          <w:b/>
          <w:bCs/>
          <w:iCs/>
          <w:sz w:val="28"/>
          <w:szCs w:val="28"/>
        </w:rPr>
      </w:pPr>
      <w:r w:rsidRPr="00375059">
        <w:rPr>
          <w:rFonts w:ascii="Times New Roman" w:hAnsi="Times New Roman"/>
          <w:b/>
          <w:bCs/>
          <w:iCs/>
          <w:sz w:val="28"/>
          <w:szCs w:val="28"/>
        </w:rPr>
        <w:t>в странах региона, %</w:t>
      </w:r>
    </w:p>
    <w:p w14:paraId="3DA35595" w14:textId="6ED67A36" w:rsidR="002B169F" w:rsidRPr="00375059" w:rsidRDefault="002B169F" w:rsidP="00512021">
      <w:pPr>
        <w:spacing w:after="0" w:line="240" w:lineRule="auto"/>
        <w:jc w:val="both"/>
        <w:rPr>
          <w:rFonts w:ascii="Times New Roman" w:hAnsi="Times New Roman"/>
          <w:b/>
          <w:sz w:val="28"/>
          <w:szCs w:val="28"/>
        </w:rPr>
      </w:pPr>
      <w:r w:rsidRPr="00375059">
        <w:rPr>
          <w:rFonts w:ascii="Times New Roman" w:hAnsi="Times New Roman"/>
          <w:noProof/>
        </w:rPr>
        <w:drawing>
          <wp:inline distT="0" distB="0" distL="0" distR="0" wp14:anchorId="3434638C" wp14:editId="27EBEB9E">
            <wp:extent cx="5981700" cy="2447925"/>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E17193C"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целом такую динамику можно рассматриваться как своеобразный «эффект отскока», характерный в 2021 году для большинства стран, когда вынужденное сжатие спроса и предложения в активной фазе пандемии сменилось периодом ускоренного роста цен. </w:t>
      </w:r>
    </w:p>
    <w:p w14:paraId="172FE00D" w14:textId="77777777" w:rsidR="002B169F" w:rsidRPr="00375059" w:rsidRDefault="002B169F"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Приднестровская инфляция, находясь в русле региональных тенденций, имела все же менее выраженное проявление, чем в соседних странах, за счет проводимой государством политики ценового регулирования и преимуществ сохранения стабильной для населения стоимости коммунальных услуг путем реализации механизма компенсации </w:t>
      </w:r>
      <w:proofErr w:type="spellStart"/>
      <w:r w:rsidRPr="00375059">
        <w:rPr>
          <w:rFonts w:ascii="Times New Roman" w:eastAsia="Calibri" w:hAnsi="Times New Roman"/>
          <w:sz w:val="28"/>
          <w:szCs w:val="28"/>
        </w:rPr>
        <w:t>межтарифной</w:t>
      </w:r>
      <w:proofErr w:type="spellEnd"/>
      <w:r w:rsidRPr="00375059">
        <w:rPr>
          <w:rFonts w:ascii="Times New Roman" w:eastAsia="Calibri" w:hAnsi="Times New Roman"/>
          <w:sz w:val="28"/>
          <w:szCs w:val="28"/>
        </w:rPr>
        <w:t xml:space="preserve"> разницы. </w:t>
      </w:r>
    </w:p>
    <w:p w14:paraId="22B3109E" w14:textId="77777777" w:rsidR="002B169F" w:rsidRPr="00375059" w:rsidRDefault="002B169F" w:rsidP="001463C8">
      <w:pPr>
        <w:spacing w:after="0" w:line="240" w:lineRule="auto"/>
        <w:ind w:firstLine="567"/>
        <w:jc w:val="both"/>
        <w:rPr>
          <w:rFonts w:ascii="Times New Roman" w:hAnsi="Times New Roman"/>
          <w:b/>
          <w:sz w:val="28"/>
          <w:szCs w:val="28"/>
        </w:rPr>
      </w:pPr>
    </w:p>
    <w:p w14:paraId="09D1EE8B" w14:textId="77777777" w:rsidR="002B169F" w:rsidRPr="00375059" w:rsidRDefault="002B169F" w:rsidP="001463C8">
      <w:pPr>
        <w:pStyle w:val="2"/>
        <w:spacing w:before="0" w:line="240" w:lineRule="auto"/>
        <w:ind w:firstLine="567"/>
        <w:rPr>
          <w:rFonts w:ascii="Times New Roman" w:hAnsi="Times New Roman" w:cs="Times New Roman"/>
          <w:b/>
          <w:color w:val="auto"/>
          <w:sz w:val="28"/>
        </w:rPr>
      </w:pPr>
      <w:bookmarkStart w:id="35" w:name="_Toc101441787"/>
      <w:r w:rsidRPr="00375059">
        <w:rPr>
          <w:rFonts w:ascii="Times New Roman" w:hAnsi="Times New Roman" w:cs="Times New Roman"/>
          <w:b/>
          <w:color w:val="auto"/>
          <w:sz w:val="28"/>
        </w:rPr>
        <w:t>Ценовая и тарифная политика</w:t>
      </w:r>
      <w:bookmarkEnd w:id="35"/>
    </w:p>
    <w:p w14:paraId="55B912A7" w14:textId="77777777" w:rsidR="002B169F" w:rsidRPr="00375059" w:rsidRDefault="002B169F" w:rsidP="001463C8">
      <w:pPr>
        <w:spacing w:after="0" w:line="240" w:lineRule="auto"/>
        <w:ind w:firstLine="567"/>
        <w:contextualSpacing/>
        <w:jc w:val="both"/>
        <w:rPr>
          <w:rFonts w:ascii="Times New Roman" w:hAnsi="Times New Roman"/>
          <w:b/>
          <w:i/>
          <w:sz w:val="28"/>
          <w:szCs w:val="28"/>
        </w:rPr>
      </w:pPr>
      <w:r w:rsidRPr="00375059">
        <w:rPr>
          <w:rFonts w:ascii="Times New Roman" w:hAnsi="Times New Roman"/>
          <w:b/>
          <w:i/>
          <w:sz w:val="28"/>
          <w:szCs w:val="28"/>
        </w:rPr>
        <w:t>Тарифная политика в сфере естественных монополий</w:t>
      </w:r>
    </w:p>
    <w:p w14:paraId="380D6770"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Регулируемые тарифы на услуги, оказываемые в сфере естественных монополий, были сформированы в соответствии с нормами действующего законодательства в области цен (тарифов) и ценообразования, а также с учетом следующих факторов:</w:t>
      </w:r>
    </w:p>
    <w:p w14:paraId="7545F433"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а) изменение цены природного газа, принимаемого для расчета предельных уровней тарифов на услуги субъектов естественных монополий Приднестровской Молдавской Республики;</w:t>
      </w:r>
    </w:p>
    <w:p w14:paraId="17B6316E"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б) изменения цен на сырье и материалы;</w:t>
      </w:r>
    </w:p>
    <w:p w14:paraId="439307D3"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влияния инфляционных процессов;</w:t>
      </w:r>
    </w:p>
    <w:p w14:paraId="7AA012B3"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г) фактических результатов деятельности субъектов естественных монополий по итогам работы за прошедший расчетный период регулирования;</w:t>
      </w:r>
    </w:p>
    <w:p w14:paraId="69FA5031" w14:textId="77777777" w:rsidR="002B169F" w:rsidRPr="00375059" w:rsidRDefault="002B169F"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д) изменения объема оказываемых услуг.</w:t>
      </w:r>
    </w:p>
    <w:p w14:paraId="42E348AF"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 xml:space="preserve">При этом с целью сохранения тарифов на услуги в сфере естественных монополий для всего населения республики на 2021 год на уровне тарифов, действовавших в 2020 году, Законом Приднестровской Молдавской </w:t>
      </w:r>
      <w:r w:rsidRPr="00375059">
        <w:rPr>
          <w:rFonts w:ascii="Times New Roman" w:hAnsi="Times New Roman"/>
          <w:sz w:val="28"/>
          <w:szCs w:val="28"/>
        </w:rPr>
        <w:lastRenderedPageBreak/>
        <w:t>Республики «О республиканском бюджете на 2021 год» была предусмотрена сумма в республиканском бюджете на покрытие разницы между экономически обоснованным и применяемым тарифом для населения в размере 192,3 млн.  руб.</w:t>
      </w:r>
    </w:p>
    <w:p w14:paraId="4CF00C5C" w14:textId="77777777" w:rsidR="002B169F" w:rsidRPr="00375059" w:rsidRDefault="002B169F" w:rsidP="001463C8">
      <w:pPr>
        <w:spacing w:after="0" w:line="240" w:lineRule="auto"/>
        <w:ind w:firstLine="567"/>
        <w:contextualSpacing/>
        <w:jc w:val="both"/>
        <w:rPr>
          <w:rFonts w:ascii="Times New Roman" w:hAnsi="Times New Roman"/>
          <w:b/>
          <w:sz w:val="28"/>
          <w:szCs w:val="28"/>
        </w:rPr>
      </w:pPr>
      <w:r w:rsidRPr="00375059">
        <w:rPr>
          <w:rFonts w:ascii="Times New Roman" w:hAnsi="Times New Roman"/>
          <w:b/>
          <w:sz w:val="28"/>
          <w:szCs w:val="28"/>
        </w:rPr>
        <w:t>1.Тарифы на услуги газоснабжения</w:t>
      </w:r>
    </w:p>
    <w:p w14:paraId="301716DD"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Тарифы на природный газ, транспортируемый по магистральным трубопроводам и распределительным сетям, для бытовых потребителей сохранились на уровне 2020 года (0,81 руб. за 1 куб. м).  В то время как стоимость газа для организаций и учреждений, финансируемых из бюджетов всех уровней, повысилась на 6%.</w:t>
      </w:r>
    </w:p>
    <w:p w14:paraId="00D4F647" w14:textId="77777777" w:rsidR="002B169F" w:rsidRPr="00375059" w:rsidRDefault="002B169F" w:rsidP="001463C8">
      <w:pPr>
        <w:widowControl w:val="0"/>
        <w:spacing w:after="0" w:line="240" w:lineRule="auto"/>
        <w:ind w:firstLine="567"/>
        <w:jc w:val="both"/>
        <w:rPr>
          <w:rFonts w:ascii="Times New Roman" w:hAnsi="Times New Roman"/>
          <w:sz w:val="28"/>
          <w:szCs w:val="28"/>
          <w:lang w:eastAsia="en-US"/>
        </w:rPr>
      </w:pPr>
      <w:r w:rsidRPr="00375059">
        <w:rPr>
          <w:rFonts w:ascii="Times New Roman" w:hAnsi="Times New Roman"/>
          <w:sz w:val="28"/>
          <w:szCs w:val="28"/>
          <w:lang w:eastAsia="en-US"/>
        </w:rPr>
        <w:t>Для большинства промышленных потребителей применяемые тарифы выросли в пределах 3%. Наиболее существенно к концу года выросла стоимость природного газа для предприятий-экспортеров черной металлургии с численностью работников свыше 1 тыс. человек (до 23,1 раза – присоединенным к магистральному трубопроводу, до 7 раз – присоединенным к распределительным сетям).</w:t>
      </w:r>
    </w:p>
    <w:p w14:paraId="552C3FC8" w14:textId="2EC9311B" w:rsidR="002B169F" w:rsidRPr="00375059" w:rsidRDefault="002B169F" w:rsidP="001463C8">
      <w:pPr>
        <w:widowControl w:val="0"/>
        <w:spacing w:after="0" w:line="240" w:lineRule="auto"/>
        <w:ind w:firstLine="567"/>
        <w:jc w:val="both"/>
        <w:rPr>
          <w:rFonts w:ascii="Times New Roman" w:hAnsi="Times New Roman"/>
          <w:b/>
          <w:sz w:val="28"/>
          <w:szCs w:val="28"/>
        </w:rPr>
      </w:pPr>
      <w:r w:rsidRPr="00375059">
        <w:rPr>
          <w:rFonts w:ascii="Times New Roman" w:hAnsi="Times New Roman"/>
          <w:b/>
          <w:color w:val="000000"/>
          <w:sz w:val="28"/>
          <w:szCs w:val="28"/>
          <w:lang w:bidi="ru-RU"/>
        </w:rPr>
        <w:t>2.</w:t>
      </w:r>
      <w:r w:rsidRPr="00375059">
        <w:rPr>
          <w:rFonts w:ascii="Times New Roman" w:hAnsi="Times New Roman"/>
          <w:b/>
          <w:sz w:val="28"/>
          <w:szCs w:val="28"/>
        </w:rPr>
        <w:t>Услуги в сфере электроэнергетики</w:t>
      </w:r>
    </w:p>
    <w:p w14:paraId="1D97B621" w14:textId="2BFD35A1" w:rsidR="002B169F" w:rsidRPr="00375059" w:rsidRDefault="002B169F" w:rsidP="001463C8">
      <w:pPr>
        <w:widowControl w:val="0"/>
        <w:spacing w:after="0" w:line="240" w:lineRule="auto"/>
        <w:ind w:firstLine="567"/>
        <w:jc w:val="both"/>
        <w:rPr>
          <w:rFonts w:ascii="Times New Roman" w:hAnsi="Times New Roman"/>
          <w:color w:val="000000"/>
          <w:sz w:val="28"/>
          <w:szCs w:val="28"/>
          <w:lang w:bidi="ru-RU"/>
        </w:rPr>
      </w:pPr>
      <w:r w:rsidRPr="00375059">
        <w:rPr>
          <w:rFonts w:ascii="Times New Roman" w:hAnsi="Times New Roman"/>
          <w:color w:val="000000"/>
          <w:sz w:val="28"/>
          <w:szCs w:val="28"/>
          <w:lang w:bidi="ru-RU"/>
        </w:rPr>
        <w:t>Применяемые тарифы на электрическую энергию на бытовые нужды, подлежащие оплате населением, остались неизмененными (рис. 3</w:t>
      </w:r>
      <w:r w:rsidR="00540656">
        <w:rPr>
          <w:rFonts w:ascii="Times New Roman" w:hAnsi="Times New Roman"/>
          <w:color w:val="000000"/>
          <w:sz w:val="28"/>
          <w:szCs w:val="28"/>
          <w:lang w:bidi="ru-RU"/>
        </w:rPr>
        <w:t>8</w:t>
      </w:r>
      <w:r w:rsidRPr="00375059">
        <w:rPr>
          <w:rFonts w:ascii="Times New Roman" w:hAnsi="Times New Roman"/>
          <w:color w:val="000000"/>
          <w:sz w:val="28"/>
          <w:szCs w:val="28"/>
          <w:lang w:bidi="ru-RU"/>
        </w:rPr>
        <w:t xml:space="preserve">). Вместе с тем </w:t>
      </w:r>
      <w:proofErr w:type="spellStart"/>
      <w:r w:rsidRPr="00375059">
        <w:rPr>
          <w:rFonts w:ascii="Times New Roman" w:hAnsi="Times New Roman"/>
          <w:color w:val="000000"/>
          <w:sz w:val="28"/>
          <w:szCs w:val="28"/>
          <w:lang w:bidi="ru-RU"/>
        </w:rPr>
        <w:t>межтарифная</w:t>
      </w:r>
      <w:proofErr w:type="spellEnd"/>
      <w:r w:rsidRPr="00375059">
        <w:rPr>
          <w:rFonts w:ascii="Times New Roman" w:hAnsi="Times New Roman"/>
          <w:color w:val="000000"/>
          <w:sz w:val="28"/>
          <w:szCs w:val="28"/>
          <w:lang w:bidi="ru-RU"/>
        </w:rPr>
        <w:t xml:space="preserve"> разница, возмещаемая из бюджета, возросла на 21,1% </w:t>
      </w:r>
      <w:r w:rsidR="0045785D">
        <w:rPr>
          <w:rFonts w:ascii="Times New Roman" w:hAnsi="Times New Roman"/>
          <w:color w:val="000000"/>
          <w:sz w:val="28"/>
          <w:szCs w:val="28"/>
          <w:lang w:bidi="ru-RU"/>
        </w:rPr>
        <w:br/>
      </w:r>
      <w:r w:rsidRPr="00375059">
        <w:rPr>
          <w:rFonts w:ascii="Times New Roman" w:hAnsi="Times New Roman"/>
          <w:color w:val="000000"/>
          <w:sz w:val="28"/>
          <w:szCs w:val="28"/>
          <w:lang w:bidi="ru-RU"/>
        </w:rPr>
        <w:t>(до 0,23 руб. за 1 кВт. ч.) в пределах нормы потребления и снизилась на 5,3% (до 0,18 руб. за 1 кВт. ч.) при превышении установленного лимита.</w:t>
      </w:r>
    </w:p>
    <w:p w14:paraId="3B8A869F" w14:textId="47D52741" w:rsidR="002B169F" w:rsidRPr="00375059" w:rsidRDefault="002B169F" w:rsidP="002B169F">
      <w:pPr>
        <w:widowControl w:val="0"/>
        <w:spacing w:after="0" w:line="240" w:lineRule="auto"/>
        <w:jc w:val="right"/>
        <w:rPr>
          <w:rFonts w:ascii="Times New Roman" w:eastAsia="Calibri" w:hAnsi="Times New Roman"/>
          <w:b/>
          <w:i/>
          <w:sz w:val="28"/>
          <w:szCs w:val="28"/>
        </w:rPr>
      </w:pPr>
      <w:r w:rsidRPr="00375059">
        <w:rPr>
          <w:rFonts w:ascii="Times New Roman" w:eastAsia="Calibri" w:hAnsi="Times New Roman"/>
          <w:b/>
          <w:i/>
          <w:sz w:val="28"/>
          <w:szCs w:val="28"/>
        </w:rPr>
        <w:t>Рисунок 3</w:t>
      </w:r>
      <w:r w:rsidR="00540656">
        <w:rPr>
          <w:rFonts w:ascii="Times New Roman" w:eastAsia="Calibri" w:hAnsi="Times New Roman"/>
          <w:b/>
          <w:i/>
          <w:sz w:val="28"/>
          <w:szCs w:val="28"/>
        </w:rPr>
        <w:t>8</w:t>
      </w:r>
    </w:p>
    <w:p w14:paraId="4C5B5768" w14:textId="77777777" w:rsidR="002B169F" w:rsidRPr="00375059" w:rsidRDefault="002B169F" w:rsidP="002B169F">
      <w:pPr>
        <w:widowControl w:val="0"/>
        <w:spacing w:after="0" w:line="240" w:lineRule="auto"/>
        <w:jc w:val="center"/>
        <w:rPr>
          <w:rFonts w:ascii="Times New Roman" w:eastAsia="Calibri" w:hAnsi="Times New Roman"/>
          <w:b/>
          <w:sz w:val="28"/>
          <w:szCs w:val="28"/>
        </w:rPr>
      </w:pPr>
      <w:r w:rsidRPr="00375059">
        <w:rPr>
          <w:rFonts w:ascii="Times New Roman" w:eastAsia="Calibri" w:hAnsi="Times New Roman"/>
          <w:b/>
          <w:sz w:val="28"/>
          <w:szCs w:val="28"/>
        </w:rPr>
        <w:t>Применяемые тарифы на электрическую энергию,</w:t>
      </w:r>
    </w:p>
    <w:p w14:paraId="6734FBDB" w14:textId="77777777" w:rsidR="002B169F" w:rsidRPr="00375059" w:rsidRDefault="002B169F" w:rsidP="002B169F">
      <w:pPr>
        <w:widowControl w:val="0"/>
        <w:spacing w:after="0" w:line="240" w:lineRule="auto"/>
        <w:jc w:val="center"/>
        <w:rPr>
          <w:rFonts w:ascii="Times New Roman" w:hAnsi="Times New Roman"/>
          <w:bCs/>
          <w:sz w:val="28"/>
          <w:szCs w:val="28"/>
        </w:rPr>
      </w:pPr>
      <w:r w:rsidRPr="00375059">
        <w:rPr>
          <w:rFonts w:ascii="Times New Roman" w:eastAsia="Calibri" w:hAnsi="Times New Roman"/>
          <w:b/>
          <w:sz w:val="28"/>
          <w:szCs w:val="28"/>
        </w:rPr>
        <w:t>отпускаемую населению, руб. за 1 кВт. ч</w:t>
      </w:r>
    </w:p>
    <w:p w14:paraId="76AF00E8" w14:textId="2C55C3ED" w:rsidR="002B169F" w:rsidRPr="00375059" w:rsidRDefault="002B169F" w:rsidP="002B169F">
      <w:pPr>
        <w:widowControl w:val="0"/>
        <w:tabs>
          <w:tab w:val="left" w:pos="709"/>
          <w:tab w:val="left" w:pos="2410"/>
          <w:tab w:val="left" w:pos="5529"/>
        </w:tabs>
        <w:spacing w:after="0" w:line="240" w:lineRule="auto"/>
        <w:jc w:val="both"/>
        <w:rPr>
          <w:rFonts w:ascii="Times New Roman" w:hAnsi="Times New Roman"/>
          <w:bCs/>
          <w:sz w:val="28"/>
          <w:szCs w:val="28"/>
        </w:rPr>
      </w:pPr>
      <w:r w:rsidRPr="00375059">
        <w:rPr>
          <w:rFonts w:ascii="Times New Roman" w:hAnsi="Times New Roman"/>
          <w:noProof/>
        </w:rPr>
        <w:drawing>
          <wp:anchor distT="0" distB="0" distL="114300" distR="114300" simplePos="0" relativeHeight="251721728" behindDoc="1" locked="0" layoutInCell="1" allowOverlap="1" wp14:anchorId="6AFB0089" wp14:editId="17517DDA">
            <wp:simplePos x="0" y="0"/>
            <wp:positionH relativeFrom="column">
              <wp:posOffset>662940</wp:posOffset>
            </wp:positionH>
            <wp:positionV relativeFrom="paragraph">
              <wp:posOffset>67945</wp:posOffset>
            </wp:positionV>
            <wp:extent cx="2745740" cy="1664335"/>
            <wp:effectExtent l="0" t="0" r="0" b="0"/>
            <wp:wrapTight wrapText="bothSides">
              <wp:wrapPolygon edited="0">
                <wp:start x="0" y="0"/>
                <wp:lineTo x="0" y="21262"/>
                <wp:lineTo x="21430" y="21262"/>
                <wp:lineTo x="21430" y="0"/>
                <wp:lineTo x="0" y="0"/>
              </wp:wrapPolygon>
            </wp:wrapTight>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375059">
        <w:rPr>
          <w:rFonts w:ascii="Times New Roman" w:hAnsi="Times New Roman"/>
          <w:noProof/>
        </w:rPr>
        <w:drawing>
          <wp:anchor distT="0" distB="0" distL="114300" distR="114300" simplePos="0" relativeHeight="251722752" behindDoc="1" locked="0" layoutInCell="1" allowOverlap="1" wp14:anchorId="3A507611" wp14:editId="4B249702">
            <wp:simplePos x="0" y="0"/>
            <wp:positionH relativeFrom="column">
              <wp:posOffset>3266440</wp:posOffset>
            </wp:positionH>
            <wp:positionV relativeFrom="paragraph">
              <wp:posOffset>86995</wp:posOffset>
            </wp:positionV>
            <wp:extent cx="3152775" cy="1638300"/>
            <wp:effectExtent l="0" t="0" r="0" b="0"/>
            <wp:wrapTight wrapText="bothSides">
              <wp:wrapPolygon edited="0">
                <wp:start x="3785" y="1256"/>
                <wp:lineTo x="2088" y="3767"/>
                <wp:lineTo x="522" y="5526"/>
                <wp:lineTo x="522" y="16326"/>
                <wp:lineTo x="4568" y="17833"/>
                <wp:lineTo x="1175" y="17833"/>
                <wp:lineTo x="1044" y="18837"/>
                <wp:lineTo x="2219" y="19591"/>
                <wp:lineTo x="12399" y="19591"/>
                <wp:lineTo x="13965" y="19088"/>
                <wp:lineTo x="13834" y="18084"/>
                <wp:lineTo x="10702" y="17833"/>
                <wp:lineTo x="18011" y="15070"/>
                <wp:lineTo x="18141" y="13814"/>
                <wp:lineTo x="20752" y="13312"/>
                <wp:lineTo x="20491" y="12056"/>
                <wp:lineTo x="1044" y="9795"/>
                <wp:lineTo x="20621" y="9795"/>
                <wp:lineTo x="20621" y="6781"/>
                <wp:lineTo x="1044" y="5777"/>
                <wp:lineTo x="2610" y="5777"/>
                <wp:lineTo x="10050" y="2512"/>
                <wp:lineTo x="10050" y="1256"/>
                <wp:lineTo x="3785" y="1256"/>
              </wp:wrapPolygon>
            </wp:wrapTight>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32C2CA41" w14:textId="77777777" w:rsidR="002B169F" w:rsidRPr="00375059" w:rsidRDefault="002B169F" w:rsidP="002B169F">
      <w:pPr>
        <w:widowControl w:val="0"/>
        <w:spacing w:after="0" w:line="240" w:lineRule="auto"/>
        <w:ind w:firstLine="426"/>
        <w:jc w:val="both"/>
        <w:rPr>
          <w:rFonts w:ascii="Times New Roman" w:eastAsia="MS Mincho" w:hAnsi="Times New Roman"/>
          <w:b/>
          <w:bCs/>
          <w:sz w:val="28"/>
          <w:szCs w:val="28"/>
        </w:rPr>
      </w:pPr>
    </w:p>
    <w:p w14:paraId="75D5F0C2" w14:textId="77777777" w:rsidR="002B169F" w:rsidRPr="00375059" w:rsidRDefault="002B169F" w:rsidP="002B169F">
      <w:pPr>
        <w:widowControl w:val="0"/>
        <w:spacing w:after="0" w:line="240" w:lineRule="auto"/>
        <w:ind w:firstLine="426"/>
        <w:jc w:val="both"/>
        <w:rPr>
          <w:rFonts w:ascii="Times New Roman" w:eastAsia="MS Mincho" w:hAnsi="Times New Roman"/>
          <w:b/>
          <w:bCs/>
          <w:sz w:val="28"/>
          <w:szCs w:val="28"/>
        </w:rPr>
      </w:pPr>
    </w:p>
    <w:p w14:paraId="2B8237D1" w14:textId="223FC16B" w:rsidR="002B169F" w:rsidRPr="00375059" w:rsidRDefault="002B169F" w:rsidP="002B169F">
      <w:pPr>
        <w:widowControl w:val="0"/>
        <w:spacing w:after="0" w:line="240" w:lineRule="auto"/>
        <w:ind w:firstLine="426"/>
        <w:jc w:val="both"/>
        <w:rPr>
          <w:rFonts w:ascii="Times New Roman" w:eastAsia="MS Mincho" w:hAnsi="Times New Roman"/>
          <w:b/>
          <w:bCs/>
          <w:sz w:val="28"/>
          <w:szCs w:val="28"/>
        </w:rPr>
      </w:pPr>
      <w:r w:rsidRPr="00375059">
        <w:rPr>
          <w:rFonts w:ascii="Times New Roman" w:hAnsi="Times New Roman"/>
          <w:noProof/>
        </w:rPr>
        <mc:AlternateContent>
          <mc:Choice Requires="wpg">
            <w:drawing>
              <wp:anchor distT="0" distB="0" distL="114300" distR="114300" simplePos="0" relativeHeight="251723776" behindDoc="0" locked="0" layoutInCell="1" allowOverlap="1" wp14:anchorId="3BCE2C0A" wp14:editId="500D1DDF">
                <wp:simplePos x="0" y="0"/>
                <wp:positionH relativeFrom="column">
                  <wp:posOffset>958215</wp:posOffset>
                </wp:positionH>
                <wp:positionV relativeFrom="paragraph">
                  <wp:posOffset>74295</wp:posOffset>
                </wp:positionV>
                <wp:extent cx="132715" cy="442595"/>
                <wp:effectExtent l="0" t="0" r="57785" b="90805"/>
                <wp:wrapThrough wrapText="bothSides">
                  <wp:wrapPolygon edited="0">
                    <wp:start x="0" y="0"/>
                    <wp:lineTo x="0" y="23242"/>
                    <wp:lineTo x="3100" y="25102"/>
                    <wp:lineTo x="18603" y="25102"/>
                    <wp:lineTo x="24804" y="23242"/>
                    <wp:lineTo x="21703" y="18594"/>
                    <wp:lineTo x="9301" y="14875"/>
                    <wp:lineTo x="27904" y="0"/>
                    <wp:lineTo x="0" y="0"/>
                  </wp:wrapPolygon>
                </wp:wrapThrough>
                <wp:docPr id="235"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442595"/>
                          <a:chOff x="2610" y="5813"/>
                          <a:chExt cx="340" cy="554"/>
                        </a:xfrm>
                      </wpg:grpSpPr>
                      <wps:wsp>
                        <wps:cNvPr id="236" name="Прямая со стрелкой 59"/>
                        <wps:cNvCnPr>
                          <a:cxnSpLocks noChangeShapeType="1"/>
                        </wps:cNvCnPr>
                        <wps:spPr bwMode="auto">
                          <a:xfrm>
                            <a:off x="2610" y="6367"/>
                            <a:ext cx="340" cy="0"/>
                          </a:xfrm>
                          <a:prstGeom prst="straightConnector1">
                            <a:avLst/>
                          </a:prstGeom>
                          <a:noFill/>
                          <a:ln w="9525">
                            <a:solidFill>
                              <a:schemeClr val="dk1">
                                <a:lumMod val="95000"/>
                                <a:lumOff val="0"/>
                              </a:schemeClr>
                            </a:solidFill>
                            <a:round/>
                            <a:headEnd/>
                            <a:tailEnd type="stealth" w="med" len="med"/>
                          </a:ln>
                        </wps:spPr>
                        <wps:bodyPr/>
                      </wps:wsp>
                      <wps:wsp>
                        <wps:cNvPr id="237" name="Прямая соединительная линия 57"/>
                        <wps:cNvCnPr>
                          <a:cxnSpLocks noChangeShapeType="1"/>
                        </wps:cNvCnPr>
                        <wps:spPr bwMode="auto">
                          <a:xfrm flipH="1">
                            <a:off x="2611" y="5813"/>
                            <a:ext cx="339" cy="0"/>
                          </a:xfrm>
                          <a:prstGeom prst="line">
                            <a:avLst/>
                          </a:prstGeom>
                          <a:noFill/>
                          <a:ln w="9525">
                            <a:solidFill>
                              <a:schemeClr val="dk1">
                                <a:lumMod val="95000"/>
                                <a:lumOff val="0"/>
                              </a:schemeClr>
                            </a:solidFill>
                            <a:round/>
                            <a:headEnd/>
                            <a:tailEnd/>
                          </a:ln>
                        </wps:spPr>
                        <wps:bodyPr/>
                      </wps:wsp>
                      <wps:wsp>
                        <wps:cNvPr id="238" name="Прямая соединительная линия 58"/>
                        <wps:cNvCnPr>
                          <a:cxnSpLocks noChangeShapeType="1"/>
                        </wps:cNvCnPr>
                        <wps:spPr bwMode="auto">
                          <a:xfrm flipH="1" flipV="1">
                            <a:off x="2610" y="5813"/>
                            <a:ext cx="1" cy="554"/>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5B48299E" id="Группа 235" o:spid="_x0000_s1026" style="position:absolute;margin-left:75.45pt;margin-top:5.85pt;width:10.45pt;height:34.85pt;z-index:251723776" coordorigin="2610,5813" coordsize="34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hyKAMAAPsJAAAOAAAAZHJzL2Uyb0RvYy54bWzkVs1u1DAQviPxDlbuNJvdzbYbNdvD9odD&#10;gUot3N3E+VEdO7K9P72VckXqgQfgFXoAqfyVV0jeiLGdTdstCFRQBUKRLHsmHs98883Y6xvzgqIp&#10;ETLnLHS8lY6DCIt4nLM0dJ4fbD9ac5BUmMWYckZC55hIZ2P08MH6rAxIl2ecxkQgMMJkMCtDJ1Oq&#10;DFxXRhkpsFzhJWGgTLgosIKlSN1Y4BlYL6jb7XQG7oyLuBQ8IlKCdNMqnZGxnyQkUs+SRBKFaOiA&#10;b8qMwoyHenRH6zhIBS6zPGrcwHfwosA5g0NbU5tYYTQR+S1TRR4JLnmiViJeuDxJ8oiYGCAar7MU&#10;zY7gk9LEkgaztGxhAmiXcLqz2ejpdE+gPA6dbs93EMMFJKl6U5/Ur6qv8J0jLQeUZmUawM87otwv&#10;94QNFaa7PDqSoHaX9Xqd2p/R4ewJj8EunihuUJonotAmIH40N8k4bpNB5gpFIPR63VUPXIpA1e93&#10;/aFxAwdRBhnVu7oDDzIKWn/N69lERtlWs7vXB53e6vt9rXNxYA81jjaO6aiAdvIKWfl7yO5nuCQm&#10;YVKD1SI7aJF9C8ieVZ+r8/oM1S+rSxjq0/qkel99qj5Wl9UH5A8t3MbCmFmsozlrsEaMjzPMUmLO&#10;OjguAVfPRKhjgUPtFr2QkKifYt+iOOgNVi2Kiwy0GJoyaRHEQSmk2iG8QHoSOlIJnKeZGnPGoOC4&#10;8EyS8XRXKgv9YoPOOePbOaUgxwFlaBY6Q7/rmw2S0zzWSq0zHYCMqUBTDLUbH1mjdFIAl6xs6Hc6&#10;TQWDWLPC/LrwtrVgsn/DONQVi40LGcHxVjNXOKcwR8qAKhXBVGWOdrEgsYMogQ6nZzYmygzrLcyW&#10;SYc8Pt4TWt3w6t4ItvpDggGz3lUX1Zfqoj7VLKtfw1yzDwhnxWfIN4m/wR+osz9LOZTQvHysuXqt&#10;8IF83lIJt+TrDW0BL9K56BkLLjXkoznTFYeDf5VufyGb4M5uLoLldvVLbFrTFXJfbDK8enGbV8tX&#10;w4JXwLfvXQu3mtp/xStzKcILw3TK5jWknzDX16arXb3ZRt8AAAD//wMAUEsDBBQABgAIAAAAIQAn&#10;rvAg3wAAAAkBAAAPAAAAZHJzL2Rvd25yZXYueG1sTI9NT8JAEIbvJv6HzZh4k+2qCNRuCSHqiZgI&#10;Jobb0h3ahu5s013a8u8dTnqbN/Pk/ciWo2tEj12oPWlQkwQEUuFtTaWG7937wxxEiIasaTyhhgsG&#10;WOa3N5lJrR/oC/ttLAWbUEiNhirGNpUyFBU6Eya+ReLf0XfORJZdKW1nBjZ3jXxMkhfpTE2cUJkW&#10;1xUWp+3ZafgYzLB6Um/95nRcX/a76efPRqHW93fj6hVExDH+wXCtz9Uh504HfyYbRMN6miwY5UPN&#10;QFyBmeItBw1z9Qwyz+T/BfkvAAAA//8DAFBLAQItABQABgAIAAAAIQC2gziS/gAAAOEBAAATAAAA&#10;AAAAAAAAAAAAAAAAAABbQ29udGVudF9UeXBlc10ueG1sUEsBAi0AFAAGAAgAAAAhADj9If/WAAAA&#10;lAEAAAsAAAAAAAAAAAAAAAAALwEAAF9yZWxzLy5yZWxzUEsBAi0AFAAGAAgAAAAhANcE6HIoAwAA&#10;+wkAAA4AAAAAAAAAAAAAAAAALgIAAGRycy9lMm9Eb2MueG1sUEsBAi0AFAAGAAgAAAAhACeu8CDf&#10;AAAACQEAAA8AAAAAAAAAAAAAAAAAggUAAGRycy9kb3ducmV2LnhtbFBLBQYAAAAABAAEAPMAAACO&#10;BgAAAAA=&#10;">
                <v:shape id="Прямая со стрелкой 59" o:spid="_x0000_s1027" type="#_x0000_t32" style="position:absolute;left:2610;top:6367;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ZxgAAANwAAAAPAAAAZHJzL2Rvd25yZXYueG1sRI9Ba8JA&#10;FITvhf6H5RW8FN1oQEp0E2ypoKeiKVRvj+xrErr7NmS3Mf57tyD0OMzMN8y6GK0RA/W+daxgPktA&#10;EFdOt1wr+Cy30xcQPiBrNI5JwZU8FPnjwxoz7S58oOEYahEh7DNU0ITQZVL6qiGLfuY64uh9u95i&#10;iLKvpe7xEuHWyEWSLKXFluNCgx29NVT9HH+tgv1HuzmlafI1GONer+eym78/75WaPI2bFYhAY/gP&#10;39s7rWCRLuHvTDwCMr8BAAD//wMAUEsBAi0AFAAGAAgAAAAhANvh9svuAAAAhQEAABMAAAAAAAAA&#10;AAAAAAAAAAAAAFtDb250ZW50X1R5cGVzXS54bWxQSwECLQAUAAYACAAAACEAWvQsW78AAAAVAQAA&#10;CwAAAAAAAAAAAAAAAAAfAQAAX3JlbHMvLnJlbHNQSwECLQAUAAYACAAAACEAMNfsmcYAAADcAAAA&#10;DwAAAAAAAAAAAAAAAAAHAgAAZHJzL2Rvd25yZXYueG1sUEsFBgAAAAADAAMAtwAAAPoCAAAAAA==&#10;" strokecolor="black [3040]">
                  <v:stroke endarrow="classic"/>
                </v:shape>
                <v:line id="Прямая соединительная линия 57" o:spid="_x0000_s1028" style="position:absolute;flip:x;visibility:visible;mso-wrap-style:square" from="2611,5813" to="2950,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rvxAAAANwAAAAPAAAAZHJzL2Rvd25yZXYueG1sRI9LiwIx&#10;EITvgv8htOBNMyqozBpFBGFZUXzsHvbWTHoeOOkMk+iM/94Igseiqr6iFqvWlOJOtSssKxgNIxDE&#10;idUFZwp+L9vBHITzyBpLy6TgQQ5Wy25ngbG2DZ/ofvaZCBB2MSrIva9iKV2Sk0E3tBVx8FJbG/RB&#10;1pnUNTYBbko5jqKpNFhwWMixok1OyfV8MwpSd6s2/3/ap7Of/Wmf7rIDNkel+r12/QXCU+s/4Xf7&#10;WysYT2bwOhOOgFw+AQAA//8DAFBLAQItABQABgAIAAAAIQDb4fbL7gAAAIUBAAATAAAAAAAAAAAA&#10;AAAAAAAAAABbQ29udGVudF9UeXBlc10ueG1sUEsBAi0AFAAGAAgAAAAhAFr0LFu/AAAAFQEAAAsA&#10;AAAAAAAAAAAAAAAAHwEAAF9yZWxzLy5yZWxzUEsBAi0AFAAGAAgAAAAhAMk0qu/EAAAA3AAAAA8A&#10;AAAAAAAAAAAAAAAABwIAAGRycy9kb3ducmV2LnhtbFBLBQYAAAAAAwADALcAAAD4AgAAAAA=&#10;" strokecolor="black [3040]"/>
                <v:line id="Прямая соединительная линия 58" o:spid="_x0000_s1029" style="position:absolute;flip:x y;visibility:visible;mso-wrap-style:square" from="2610,5813" to="2611,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68rwwAAANwAAAAPAAAAZHJzL2Rvd25yZXYueG1sRE/Pa8Iw&#10;FL4L+x/CG+wiM9WBSDUtYyroaa5bD94ezVtb1rzUJKvdf78cBI8f3+9NPppODOR8a1nBfJaAIK6s&#10;brlW8PW5f16B8AFZY2eZFPyRhzx7mGww1fbKHzQUoRYxhH2KCpoQ+lRKXzVk0M9sTxy5b+sMhghd&#10;LbXDaww3nVwkyVIabDk2NNjTW0PVT/FrFPSr2i3fL6dkV26H83FKpSvNXqmnx/F1DSLQGO7im/ug&#10;FSxe4tp4Jh4Bmf0DAAD//wMAUEsBAi0AFAAGAAgAAAAhANvh9svuAAAAhQEAABMAAAAAAAAAAAAA&#10;AAAAAAAAAFtDb250ZW50X1R5cGVzXS54bWxQSwECLQAUAAYACAAAACEAWvQsW78AAAAVAQAACwAA&#10;AAAAAAAAAAAAAAAfAQAAX3JlbHMvLnJlbHNQSwECLQAUAAYACAAAACEAqt+vK8MAAADcAAAADwAA&#10;AAAAAAAAAAAAAAAHAgAAZHJzL2Rvd25yZXYueG1sUEsFBgAAAAADAAMAtwAAAPcCAAAAAA==&#10;" strokecolor="black [3040]"/>
                <w10:wrap type="through"/>
              </v:group>
            </w:pict>
          </mc:Fallback>
        </mc:AlternateContent>
      </w:r>
      <w:r w:rsidRPr="00375059">
        <w:rPr>
          <w:rFonts w:ascii="Times New Roman" w:hAnsi="Times New Roman"/>
          <w:noProof/>
        </w:rPr>
        <mc:AlternateContent>
          <mc:Choice Requires="wpg">
            <w:drawing>
              <wp:anchor distT="0" distB="0" distL="114300" distR="114300" simplePos="0" relativeHeight="251719680" behindDoc="0" locked="0" layoutInCell="1" allowOverlap="1" wp14:anchorId="6F7C4882" wp14:editId="17EE4340">
                <wp:simplePos x="0" y="0"/>
                <wp:positionH relativeFrom="column">
                  <wp:posOffset>5282565</wp:posOffset>
                </wp:positionH>
                <wp:positionV relativeFrom="paragraph">
                  <wp:posOffset>176530</wp:posOffset>
                </wp:positionV>
                <wp:extent cx="521970" cy="262890"/>
                <wp:effectExtent l="0" t="0" r="0" b="3810"/>
                <wp:wrapNone/>
                <wp:docPr id="239"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240" name="Надпись 64"/>
                        <wps:cNvSpPr txBox="1">
                          <a:spLocks noChangeArrowheads="1"/>
                        </wps:cNvSpPr>
                        <wps:spPr bwMode="auto">
                          <a:xfrm>
                            <a:off x="-27295" y="145650"/>
                            <a:ext cx="518615" cy="237849"/>
                          </a:xfrm>
                          <a:prstGeom prst="rect">
                            <a:avLst/>
                          </a:prstGeom>
                          <a:noFill/>
                          <a:ln>
                            <a:noFill/>
                          </a:ln>
                        </wps:spPr>
                        <wps:txbx>
                          <w:txbxContent>
                            <w:p w14:paraId="0A8D1BC2" w14:textId="77777777" w:rsidR="00540656" w:rsidRDefault="00540656" w:rsidP="002B169F">
                              <w:pPr>
                                <w:jc w:val="center"/>
                                <w:rPr>
                                  <w:rFonts w:ascii="Times New Roman" w:hAnsi="Times New Roman"/>
                                  <w:sz w:val="16"/>
                                </w:rPr>
                              </w:pPr>
                              <w:r>
                                <w:rPr>
                                  <w:rFonts w:ascii="Times New Roman" w:hAnsi="Times New Roman"/>
                                  <w:sz w:val="16"/>
                                </w:rPr>
                                <w:t>-5,3%</w:t>
                              </w:r>
                            </w:p>
                          </w:txbxContent>
                        </wps:txbx>
                        <wps:bodyPr rot="0" vert="horz" wrap="square" lIns="91440" tIns="45720" rIns="91440" bIns="45720" anchor="t" anchorCtr="0" upright="1">
                          <a:noAutofit/>
                        </wps:bodyPr>
                      </wps:wsp>
                      <wps:wsp>
                        <wps:cNvPr id="241" name="Прямоугольник: скругленные углы 65"/>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F7C4882" id="Группа 239" o:spid="_x0000_s1048" style="position:absolute;left:0;text-align:left;margin-left:415.95pt;margin-top:13.9pt;width:41.1pt;height:20.7pt;z-index:251719680;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F7aQMAAGsIAAAOAAAAZHJzL2Uyb0RvYy54bWy8Vstu1DAU3SPxD5b3NJN0kpmJmkHQl5B4&#10;iccHeBLnAYkdbE8zZUXFEiQWrBG/gASVqpbCL2T+iGt7Jh3KS2pFWymyr53re849x5mNm7OqRHtU&#10;yIKzCLtrPYwoi3lSsCzCT5/s3BhiJBVhCSk5oxHepxLfHF+/ttHUIfV4zsuECgRJmAybOsK5UnXo&#10;ODLOaUXkGq8pg8WUi4oomIrMSQRpIHtVOl6vFzgNF0kteEylhOiWXcRjkz9NaawepKmkCpURhtqU&#10;eQrznOinM94gYSZInRfxogxygSoqUjA4tEu1RRRBU1H8kqoqYsElT9VazCuHp2kRU4MB0Li9c2h2&#10;BZ/WBksWNlnd0QTUnuPpwmnj+3sPBSqSCHvrI4wYqaBJ7fv5q/nr9jv8f0I6Diw1dRbC5l1RP64f&#10;CgsVhnd5/FzCsnN+Xc8zuxlNmns8gbxkqrhhaZaKSqcA/GhmmrHfNYPOFIoh6HvuaAAti2HJC7zh&#10;aNGsOIeO6rdueANv5GME627fD/xufXuZwR0GLmwwGdYHw74B4pDQHm9KXpSo8YEA5RnH8nIcP85J&#10;TU3rpKZtyXEfAC04/tB+ar8Aw0fzg/lbFPQtyWa3Zhip2W0OKF1DmLREI8Y3c8IyeksI3uSUJFCm&#10;q98EMN2rFozUSf7F/B847HrwdwZJWAupdimvkB5EWIDfTL1k765UuqyzLbrfjO8UZQlxEpbspwBs&#10;1BEDQ1duMajZZGbE6XpLeiY82Qdgglsrw9UDg5yLlxg1YOMIyxdTIihG5R0G5IzcvuZcmUnfH3gw&#10;Easrk9UVwmJIFWGFkR1uKntXTGtRZDmcZNvB+C2QcloYiJp5W9WifpDRlenJ7fT0ETz7rv3afgPn&#10;fm6/tSfzt+1pe9Qeh2h+0B4bR39uT9pDiJ7O37SHyGw8mb9Bgb9kF6S6tPf/klx/MAgG1rUjtxcM&#10;9dEkXCpu3R964GTjWddbd63rO8+eyWmpOD5lyaOfZKfTZcnCZiR5hlFalXCp75ESuUEAh1thGo3+&#10;XaKoAQX5nm89yMsi0frVB5gPFN0sBYK0IJiZFUY5reCqszG3p/8sPIjrW8vsNSFA1KUwNcjV7HDv&#10;s8Twoj2+vRgrUpR2/Hu3XIk1YiUubw5z9cIXzSBffH31J3N1DuPV3wjjHwAAAP//AwBQSwMEFAAG&#10;AAgAAAAhAESyeMjgAAAACQEAAA8AAABkcnMvZG93bnJldi54bWxMj0FLw0AQhe+C/2EZwZvdbKq1&#10;idmUUtRTKdgK4m2aTJPQ7G7IbpP03zue9DjMx3vfy1aTacVAvW+c1aBmEQiyhSsbW2n4PLw9LEH4&#10;gLbE1lnScCUPq/z2JsO0dKP9oGEfKsEh1qeooQ6hS6X0RU0G/cx1ZPl3cr3BwGdfybLHkcNNK+Mo&#10;WkiDjeWGGjva1FSc9xej4X3EcT1Xr8P2fNpcvw9Pu6+tIq3v76b1C4hAU/iD4Vef1SFnp6O72NKL&#10;VsNyrhJGNcTPPIGBRD0qEEcNiyQGmWfy/4L8BwAA//8DAFBLAQItABQABgAIAAAAIQC2gziS/gAA&#10;AOEBAAATAAAAAAAAAAAAAAAAAAAAAABbQ29udGVudF9UeXBlc10ueG1sUEsBAi0AFAAGAAgAAAAh&#10;ADj9If/WAAAAlAEAAAsAAAAAAAAAAAAAAAAALwEAAF9yZWxzLy5yZWxzUEsBAi0AFAAGAAgAAAAh&#10;AJsa8XtpAwAAawgAAA4AAAAAAAAAAAAAAAAALgIAAGRycy9lMm9Eb2MueG1sUEsBAi0AFAAGAAgA&#10;AAAhAESyeMjgAAAACQEAAA8AAAAAAAAAAAAAAAAAwwUAAGRycy9kb3ducmV2LnhtbFBLBQYAAAAA&#10;BAAEAPMAAADQBgAAAAA=&#10;">
                <v:shape id="Надпись 64" o:spid="_x0000_s1049"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A8D1BC2" w14:textId="77777777" w:rsidR="00540656" w:rsidRDefault="00540656" w:rsidP="002B169F">
                        <w:pPr>
                          <w:jc w:val="center"/>
                          <w:rPr>
                            <w:rFonts w:ascii="Times New Roman" w:hAnsi="Times New Roman"/>
                            <w:sz w:val="16"/>
                          </w:rPr>
                        </w:pPr>
                        <w:r>
                          <w:rPr>
                            <w:rFonts w:ascii="Times New Roman" w:hAnsi="Times New Roman"/>
                            <w:sz w:val="16"/>
                          </w:rPr>
                          <w:t>-5,3%</w:t>
                        </w:r>
                      </w:p>
                    </w:txbxContent>
                  </v:textbox>
                </v:shape>
                <v:roundrect id="Прямоугольник: скругленные углы 65" o:spid="_x0000_s1050"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saxwAAANwAAAAPAAAAZHJzL2Rvd25yZXYueG1sRI9Ba8JA&#10;FITvBf/D8oReSt1EpEp0E7RQKB4EbQ7t7Zl9TUKzb9PdrcZ/7woFj8PMfMOsisF04kTOt5YVpJME&#10;BHFldcu1gvLj7XkBwgdkjZ1lUnAhD0U+elhhpu2Z93Q6hFpECPsMFTQh9JmUvmrIoJ/Ynjh639YZ&#10;DFG6WmqH5wg3nZwmyYs02HJcaLCn14aqn8OfUTDfbY6bz3m5/Vq4J0zXdluX/a9Sj+NhvQQRaAj3&#10;8H/7XSuYzlK4nYlHQOZXAAAA//8DAFBLAQItABQABgAIAAAAIQDb4fbL7gAAAIUBAAATAAAAAAAA&#10;AAAAAAAAAAAAAABbQ29udGVudF9UeXBlc10ueG1sUEsBAi0AFAAGAAgAAAAhAFr0LFu/AAAAFQEA&#10;AAsAAAAAAAAAAAAAAAAAHwEAAF9yZWxzLy5yZWxzUEsBAi0AFAAGAAgAAAAhAN8IaxrHAAAA3AAA&#10;AA8AAAAAAAAAAAAAAAAABwIAAGRycy9kb3ducmV2LnhtbFBLBQYAAAAAAwADALcAAAD7AgAAAAA=&#10;" filled="f" strokecolor="black [3213]"/>
              </v:group>
            </w:pict>
          </mc:Fallback>
        </mc:AlternateContent>
      </w:r>
      <w:r w:rsidRPr="00375059">
        <w:rPr>
          <w:rFonts w:ascii="Times New Roman" w:hAnsi="Times New Roman"/>
          <w:noProof/>
        </w:rPr>
        <mc:AlternateContent>
          <mc:Choice Requires="wpg">
            <w:drawing>
              <wp:anchor distT="0" distB="0" distL="114300" distR="114300" simplePos="0" relativeHeight="251720704" behindDoc="0" locked="0" layoutInCell="1" allowOverlap="1" wp14:anchorId="0DF68B01" wp14:editId="4937A4BD">
                <wp:simplePos x="0" y="0"/>
                <wp:positionH relativeFrom="column">
                  <wp:posOffset>5135245</wp:posOffset>
                </wp:positionH>
                <wp:positionV relativeFrom="paragraph">
                  <wp:posOffset>76835</wp:posOffset>
                </wp:positionV>
                <wp:extent cx="152400" cy="433070"/>
                <wp:effectExtent l="38100" t="0" r="38100" b="100330"/>
                <wp:wrapNone/>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433070"/>
                          <a:chOff x="10168" y="6987"/>
                          <a:chExt cx="243" cy="690"/>
                        </a:xfrm>
                      </wpg:grpSpPr>
                      <wps:wsp>
                        <wps:cNvPr id="224" name="Прямая со стрелкой 59"/>
                        <wps:cNvCnPr>
                          <a:cxnSpLocks noChangeShapeType="1"/>
                        </wps:cNvCnPr>
                        <wps:spPr bwMode="auto">
                          <a:xfrm flipH="1">
                            <a:off x="10168" y="7677"/>
                            <a:ext cx="243" cy="0"/>
                          </a:xfrm>
                          <a:prstGeom prst="straightConnector1">
                            <a:avLst/>
                          </a:prstGeom>
                          <a:noFill/>
                          <a:ln w="9525">
                            <a:solidFill>
                              <a:schemeClr val="dk1">
                                <a:lumMod val="95000"/>
                                <a:lumOff val="0"/>
                              </a:schemeClr>
                            </a:solidFill>
                            <a:round/>
                            <a:headEnd/>
                            <a:tailEnd type="stealth" w="med" len="med"/>
                          </a:ln>
                        </wps:spPr>
                        <wps:bodyPr/>
                      </wps:wsp>
                      <wps:wsp>
                        <wps:cNvPr id="225" name="Прямая соединительная линия 57"/>
                        <wps:cNvCnPr>
                          <a:cxnSpLocks noChangeShapeType="1"/>
                        </wps:cNvCnPr>
                        <wps:spPr bwMode="auto">
                          <a:xfrm rot="5400000" flipV="1">
                            <a:off x="10315" y="6891"/>
                            <a:ext cx="0" cy="192"/>
                          </a:xfrm>
                          <a:prstGeom prst="line">
                            <a:avLst/>
                          </a:prstGeom>
                          <a:noFill/>
                          <a:ln w="9525">
                            <a:solidFill>
                              <a:schemeClr val="dk1">
                                <a:lumMod val="95000"/>
                                <a:lumOff val="0"/>
                              </a:schemeClr>
                            </a:solidFill>
                            <a:round/>
                            <a:headEnd/>
                            <a:tailEnd/>
                          </a:ln>
                        </wps:spPr>
                        <wps:bodyPr/>
                      </wps:wsp>
                      <wps:wsp>
                        <wps:cNvPr id="226" name="Прямая соединительная линия 58"/>
                        <wps:cNvCnPr>
                          <a:cxnSpLocks noChangeShapeType="1"/>
                        </wps:cNvCnPr>
                        <wps:spPr bwMode="auto">
                          <a:xfrm flipV="1">
                            <a:off x="10410" y="6988"/>
                            <a:ext cx="0" cy="689"/>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7DAA00F" id="Группа 91" o:spid="_x0000_s1026" style="position:absolute;margin-left:404.35pt;margin-top:6.05pt;width:12pt;height:34.1pt;z-index:251720704" coordorigin="10168,6987" coordsize="24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b1KgMAAAsKAAAOAAAAZHJzL2Uyb0RvYy54bWzsVktv1DAQviPxH6zcaTbZd9TdHrYPDgUq&#10;tXB3E+ehOnZke1+3AlekHvgB/IUeQCqv8heSf8TYzu62u3BpAYGEIlm2xzOe+eabibd3ZjlFEyJk&#10;xtnA8bYaDiIs5FHGkoHz/GT/Uc9BUmEWYcoZGThzIp2d4cMH29MiID5POY2IQGCEyWBaDJxUqSJw&#10;XRmmJMdyixeEgTDmIscKliJxI4GnYD2nrt9odNwpF1EheEikhN1dK3SGxn4ck1A9i2NJFKIDB3xT&#10;ZhRmPNWjO9zGQSJwkWZh7Qa+gxc5zhhcujS1ixVGY5FtmMqzUHDJY7UV8tzlcZyFxMQA0XiNtWgO&#10;BB8XJpYkmCbFEiaAdg2nO5sNn06OBMqigdP3HMRwDjkq31bn1evyG3yXCLYBo2mRBHD0QBTHxZGw&#10;gcL0kIdnEsTuulyvE3sYnU6f8AjM4rHiBqNZLHJtAqJHM5OK+TIVZKZQCJte2281IGEhiFrNZqNb&#10;pypMIZ9ay2t4HeAWiDv9XtfmMUz3anW/1bS6nb5RdHFgbzWe1p7psIB1cgWsvB+wxykuiMmX1GjV&#10;wPp+a4nsO0D2ovxSXlYXqHpZXsNQvarOyw/l5/JTeV1+RO2+xdtYGDELdjhjNdiI8VGKWULMXSfz&#10;AoA1GYLAbqjohYRM/Rh8FNOseKwVb6RhBWi3060BXWRjCedtMHFQCKkOCM+RngwcqQTOklSNOGNQ&#10;elzYG/DkUCpNk5WCvpjx/YxSU4GUoSlQsO23jUuS0yzSQn3M9AIyogJNMFRxdGaN0nEOvLJ7/XYD&#10;yGItjXPNEHN04e3SgnHhlnGoMBYZxZTgaK+eK5xRmCNl8JWKYKpSR7uYk8hBlECv0zMbE2WmAizi&#10;llSnPJofCS2uKfbHuNb+KdeAZO/Lq/JreVW90oSr3sBcExG4Z7cvUNsk/haVcPCr2Sc4UKUN5a2T&#10;Zrj4YoOLTQ8C0cXdsw0IBwsu1k3B6/s1/It2ssZFmjFdizj4V9n3F5Krcz9y9XTGfjO5dGvbpFPL&#10;A9rYf4VxYoNOwLP/dFr2KvOXhBeH6Zf160g/aW6uTW9bveGG3wEAAP//AwBQSwMEFAAGAAgAAAAh&#10;AK50EnjeAAAACQEAAA8AAABkcnMvZG93bnJldi54bWxMj01Lw0AQhu+C/2EZwZvdfKCGNJtSinoq&#10;gq0gvU2z0yQ0uxuy2yT9905Pepx5Xt55pljNphMjDb51VkG8iECQrZxuba3ge//+lIHwAa3GzllS&#10;cCUPq/L+rsBcu8l+0bgLteAS63NU0ITQ51L6qiGDfuF6ssxObjAYeBxqqQecuNx0MomiF2mwtXyh&#10;wZ42DVXn3cUo+JhwWqfx27g9nzbXw/7582cbk1KPD/N6CSLQHP7CcNNndSjZ6eguVnvRKcii7JWj&#10;DJIYBAeyNOHF8UZSkGUh/39Q/gIAAP//AwBQSwECLQAUAAYACAAAACEAtoM4kv4AAADhAQAAEwAA&#10;AAAAAAAAAAAAAAAAAAAAW0NvbnRlbnRfVHlwZXNdLnhtbFBLAQItABQABgAIAAAAIQA4/SH/1gAA&#10;AJQBAAALAAAAAAAAAAAAAAAAAC8BAABfcmVscy8ucmVsc1BLAQItABQABgAIAAAAIQC4Ndb1KgMA&#10;AAsKAAAOAAAAAAAAAAAAAAAAAC4CAABkcnMvZTJvRG9jLnhtbFBLAQItABQABgAIAAAAIQCudBJ4&#10;3gAAAAkBAAAPAAAAAAAAAAAAAAAAAIQFAABkcnMvZG93bnJldi54bWxQSwUGAAAAAAQABADzAAAA&#10;jwYAAAAA&#10;">
                <v:shape id="Прямая со стрелкой 59" o:spid="_x0000_s1027" type="#_x0000_t32" style="position:absolute;left:10168;top:7677;width:2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iBJwwAAANwAAAAPAAAAZHJzL2Rvd25yZXYueG1sRI/RisIw&#10;FETfBf8hXGHfNLWIuF2jiCAILoK1H3C3udtGm5vSRK1/v1kQfBxm5gyzXPe2EXfqvHGsYDpJQBCX&#10;ThuuFBTn3XgBwgdkjY1jUvAkD+vVcLDETLsHn+ieh0pECPsMFdQhtJmUvqzJop+4ljh6v66zGKLs&#10;Kqk7fES4bWSaJHNp0XBcqLGlbU3lNb9ZBdt0Zr4/jzs0830RDj/H/ILFU6mPUb/5AhGoD+/wq73X&#10;CtJ0Bv9n4hGQqz8AAAD//wMAUEsBAi0AFAAGAAgAAAAhANvh9svuAAAAhQEAABMAAAAAAAAAAAAA&#10;AAAAAAAAAFtDb250ZW50X1R5cGVzXS54bWxQSwECLQAUAAYACAAAACEAWvQsW78AAAAVAQAACwAA&#10;AAAAAAAAAAAAAAAfAQAAX3JlbHMvLnJlbHNQSwECLQAUAAYACAAAACEAfd4gScMAAADcAAAADwAA&#10;AAAAAAAAAAAAAAAHAgAAZHJzL2Rvd25yZXYueG1sUEsFBgAAAAADAAMAtwAAAPcCAAAAAA==&#10;" strokecolor="black [3040]">
                  <v:stroke endarrow="classic"/>
                </v:shape>
                <v:line id="Прямая соединительная линия 57" o:spid="_x0000_s1028" style="position:absolute;rotation:-90;flip:y;visibility:visible;mso-wrap-style:square" from="10315,6891" to="10315,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k8wgAAANwAAAAPAAAAZHJzL2Rvd25yZXYueG1sRI/disIw&#10;FITvF/Ydwlnwbk0N+Nc1igrK4p3VBzg0x7ZscxKaqPXtzYLg5TAz3zCLVW9bcaMuNI41jIYZCOLS&#10;mYYrDefT7nsGIkRkg61j0vCgAKvl58cCc+PufKRbESuRIBxy1FDH6HMpQ1mTxTB0njh5F9dZjEl2&#10;lTQd3hPctlJl2URabDgt1OhpW1P5V1ythnJU+Hnch2kV1GF6KcZq4497rQdf/foHRKQ+vsOv9q/R&#10;oNQY/s+kIyCXTwAAAP//AwBQSwECLQAUAAYACAAAACEA2+H2y+4AAACFAQAAEwAAAAAAAAAAAAAA&#10;AAAAAAAAW0NvbnRlbnRfVHlwZXNdLnhtbFBLAQItABQABgAIAAAAIQBa9CxbvwAAABUBAAALAAAA&#10;AAAAAAAAAAAAAB8BAABfcmVscy8ucmVsc1BLAQItABQABgAIAAAAIQBTcek8wgAAANwAAAAPAAAA&#10;AAAAAAAAAAAAAAcCAABkcnMvZG93bnJldi54bWxQSwUGAAAAAAMAAwC3AAAA9gIAAAAA&#10;" strokecolor="black [3040]"/>
                <v:line id="Прямая соединительная линия 58" o:spid="_x0000_s1029" style="position:absolute;flip:y;visibility:visible;mso-wrap-style:square" from="10410,6988" to="10410,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mpxAAAANwAAAAPAAAAZHJzL2Rvd25yZXYueG1sRI9Pi8Iw&#10;FMTvgt8hPGFvmtqDStcoIiwsiotW9+Dt0bz+wealNNF2v/1GEDwOM/MbZrnuTS0e1LrKsoLpJAJB&#10;nFldcaHgcv4aL0A4j6yxtkwK/sjBejUcLDHRtuMTPVJfiABhl6CC0vsmkdJlJRl0E9sQBy+3rUEf&#10;ZFtI3WIX4KaWcRTNpMGKw0KJDW1Lym7p3SjI3b3ZXn+1z+e7w+mQ74sf7I5KfYz6zScIT71/h1/t&#10;b60gjmfwPBOOgFz9AwAA//8DAFBLAQItABQABgAIAAAAIQDb4fbL7gAAAIUBAAATAAAAAAAAAAAA&#10;AAAAAAAAAABbQ29udGVudF9UeXBlc10ueG1sUEsBAi0AFAAGAAgAAAAhAFr0LFu/AAAAFQEAAAsA&#10;AAAAAAAAAAAAAAAAHwEAAF9yZWxzLy5yZWxzUEsBAi0AFAAGAAgAAAAhACOhmanEAAAA3AAAAA8A&#10;AAAAAAAAAAAAAAAABwIAAGRycy9kb3ducmV2LnhtbFBLBQYAAAAAAwADALcAAAD4AgAAAAA=&#10;" strokecolor="black [3040]"/>
              </v:group>
            </w:pict>
          </mc:Fallback>
        </mc:AlternateContent>
      </w:r>
      <w:r w:rsidRPr="00375059">
        <w:rPr>
          <w:rFonts w:ascii="Times New Roman" w:hAnsi="Times New Roman"/>
          <w:noProof/>
        </w:rPr>
        <mc:AlternateContent>
          <mc:Choice Requires="wpg">
            <w:drawing>
              <wp:anchor distT="0" distB="0" distL="114300" distR="114300" simplePos="0" relativeHeight="251724800" behindDoc="0" locked="0" layoutInCell="1" allowOverlap="1" wp14:anchorId="463F6EDE" wp14:editId="0781C380">
                <wp:simplePos x="0" y="0"/>
                <wp:positionH relativeFrom="margin">
                  <wp:posOffset>424815</wp:posOffset>
                </wp:positionH>
                <wp:positionV relativeFrom="paragraph">
                  <wp:posOffset>219710</wp:posOffset>
                </wp:positionV>
                <wp:extent cx="571500" cy="290195"/>
                <wp:effectExtent l="0" t="0" r="0" b="0"/>
                <wp:wrapNone/>
                <wp:docPr id="227" name="Группа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90195"/>
                          <a:chOff x="13237" y="178889"/>
                          <a:chExt cx="470243" cy="192431"/>
                        </a:xfrm>
                      </wpg:grpSpPr>
                      <wps:wsp>
                        <wps:cNvPr id="234" name="Прямоугольник: скругленные углы 65"/>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228" name="Надпись 64"/>
                        <wps:cNvSpPr txBox="1">
                          <a:spLocks noChangeArrowheads="1"/>
                        </wps:cNvSpPr>
                        <wps:spPr bwMode="auto">
                          <a:xfrm>
                            <a:off x="13237" y="178889"/>
                            <a:ext cx="470243" cy="192431"/>
                          </a:xfrm>
                          <a:prstGeom prst="rect">
                            <a:avLst/>
                          </a:prstGeom>
                          <a:noFill/>
                          <a:ln>
                            <a:noFill/>
                          </a:ln>
                        </wps:spPr>
                        <wps:txbx>
                          <w:txbxContent>
                            <w:p w14:paraId="49AB0B6A" w14:textId="77777777" w:rsidR="00540656" w:rsidRDefault="00540656" w:rsidP="002B169F">
                              <w:pPr>
                                <w:rPr>
                                  <w:rFonts w:ascii="Times New Roman" w:hAnsi="Times New Roman"/>
                                  <w:sz w:val="16"/>
                                  <w:lang w:val="en-US"/>
                                </w:rPr>
                              </w:pPr>
                              <w:r>
                                <w:rPr>
                                  <w:rFonts w:ascii="Times New Roman" w:hAnsi="Times New Roman"/>
                                  <w:sz w:val="16"/>
                                </w:rPr>
                                <w:t>+21,1</w:t>
                              </w:r>
                              <w:r>
                                <w:rPr>
                                  <w:rFonts w:ascii="Times New Roman" w:hAnsi="Times New Roman"/>
                                  <w:sz w:val="16"/>
                                  <w:lang w:val="en-U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463F6EDE" id="Группа 227" o:spid="_x0000_s1051" style="position:absolute;left:0;text-align:left;margin-left:33.45pt;margin-top:17.3pt;width:45pt;height:22.85pt;z-index:251724800;mso-position-horizontal-relative:margin;mso-height-relative:margin" coordorigin="13237,178889" coordsize="470243,19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ZwMAAGkIAAAOAAAAZHJzL2Uyb0RvYy54bWy8Vstu1DAU3SPxD5b3NI95R00RFKiQeFQU&#10;PsCTOA9I7GB7mikrKpatxII14hcqlUpVS+EXMn/EtZ3M9IGEBIJWimxf5+Tec46vZ/3uvCzQLhUy&#10;5yzE3pqLEWURj3OWhvjVy0d3xhhJRVhMCs5oiPeoxHc3bt9ar6uA+jzjRUwFAhAmg7oKcaZUFTiO&#10;jDJaErnGK8ogmHBREgVTkTqxIDWgl4Xju+7QqbmIK8EjKiWsPrBBvGHwk4RG6nmSSKpQEWLITZmn&#10;MM+pfjob6yRIBamyPGrTIH+QRUlyBh9dQj0giqCZyG9AlXkkuOSJWot46fAkySNqaoBqPPdaNVuC&#10;zypTSxrUabWkCai9xtMfw0bPdrcFyuMQ+/4II0ZKEKn5tHi/+ND8gP8jpNeBpbpKA9i8JaqdalvY&#10;UmH4hEdvJISd63E9T+1mNK2f8hhwyUxxw9I8EaWGgPrR3IixtxSDzhWKYHEw8gYuSBZByJ+43mRg&#10;xYoyUFS/5fX8HqQMYW80Ho8nXfhhC9AfuX6/ZwG8CQw9vcMhgf26ybjNUJcH/pMriuXfUbyTkYoa&#10;5aRmraO4119S/AUo/th8a74D0cfN9+Z8cdhcNKfNWYAW+82ZEeC4OW9OYPVicdCcILPxfHGAhoYJ&#10;nTFAd2pIKwVifDMjLKX3hOB1RkkMldjCr7ygJxKE/K02/dFo2LI88dzh2LLcidQbjP1BK5Ln97yJ&#10;OVFLjklQCam2KC+RHoQYDM3iF3AqjQ3I7hOpjJXi1nkkfo1RUhZwBndJgbzhED5uVWs3A3aHqd9k&#10;/FFeFLCDBAVDdYgnA39gwCUv8lgHdcz0E7pZCASwIVZzz+wpZiU40655rv6z5cG6NpnZ21W0hDAe&#10;uoJuqjI5aMIfstiMFckLO4acC2bOiCXd2m3K4z0QQHDblKCJwiDj4h1GNTSkEMu3MyIoRsVjBiJO&#10;vH5fdzAz6Q9GPkzE5cj0coSwCKBCHCmBkZ1sKtv3ZpXI0wy+ZTlg/B4cyyRXmmZtC5tXO4Ez8b8O&#10;hw9XRdt/PjdHzVfoPqeL/cUhGva1Kpfsi9T8PtcdwAr9j5z/6/7SOf833WXl0s75V0yvuV5tuWHk&#10;Kwu/do+aT+emb3u9jp3/Yij193YynRfuM8NBe/fqC/Py3Nhv9Qth4ycAAAD//wMAUEsDBBQABgAI&#10;AAAAIQDn7TTM3gAAAAgBAAAPAAAAZHJzL2Rvd25yZXYueG1sTI9BS8NAEIXvgv9hGcGb3cTYUGMm&#10;pRT1VARbQbxts9MkNDsbstsk/fduTnp88x7vfZOvJ9OKgXrXWEaIFxEI4tLqhiuEr8PbwwqE84q1&#10;ai0TwpUcrIvbm1xl2o78ScPeVyKUsMsUQu19l0npypqMcgvbEQfvZHujfJB9JXWvxlBuWvkYRak0&#10;quGwUKuOtjWV5/3FILyPatwk8euwO5+215/D8uN7FxPi/d20eQHhafJ/YZjxAzoUgeloL6ydaBHS&#10;9DkkEZKnFMTsL+fDEWEVJSCLXP5/oPgFAAD//wMAUEsBAi0AFAAGAAgAAAAhALaDOJL+AAAA4QEA&#10;ABMAAAAAAAAAAAAAAAAAAAAAAFtDb250ZW50X1R5cGVzXS54bWxQSwECLQAUAAYACAAAACEAOP0h&#10;/9YAAACUAQAACwAAAAAAAAAAAAAAAAAvAQAAX3JlbHMvLnJlbHNQSwECLQAUAAYACAAAACEA/leP&#10;y2cDAABpCAAADgAAAAAAAAAAAAAAAAAuAgAAZHJzL2Uyb0RvYy54bWxQSwECLQAUAAYACAAAACEA&#10;5+00zN4AAAAIAQAADwAAAAAAAAAAAAAAAADBBQAAZHJzL2Rvd25yZXYueG1sUEsFBgAAAAAEAAQA&#10;8wAAAMwGAAAAAA==&#10;">
                <v:roundrect id="Прямоугольник: скругленные углы 65" o:spid="_x0000_s1052"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v/xwAAANwAAAAPAAAAZHJzL2Rvd25yZXYueG1sRI9Pa8JA&#10;FMTvhX6H5RW8FLPxD1XSrKJCQTwUtDno7Zl9TUKzb9PdrabfvlsQPA4z8xsmX/amFRdyvrGsYJSk&#10;IIhLqxuuFBQfb8M5CB+QNbaWScEveVguHh9yzLS98p4uh1CJCGGfoYI6hC6T0pc1GfSJ7Yij92md&#10;wRClq6R2eI1w08pxmr5Igw3HhRo72tRUfh1+jILZ+/q8Ps6K3WnunnG0sruq6L6VGjz1q1cQgfpw&#10;D9/aW61gPJnC/5l4BOTiDwAA//8DAFBLAQItABQABgAIAAAAIQDb4fbL7gAAAIUBAAATAAAAAAAA&#10;AAAAAAAAAAAAAABbQ29udGVudF9UeXBlc10ueG1sUEsBAi0AFAAGAAgAAAAhAFr0LFu/AAAAFQEA&#10;AAsAAAAAAAAAAAAAAAAAHwEAAF9yZWxzLy5yZWxzUEsBAi0AFAAGAAgAAAAhAJd5u//HAAAA3AAA&#10;AA8AAAAAAAAAAAAAAAAABwIAAGRycy9kb3ducmV2LnhtbFBLBQYAAAAAAwADALcAAAD7AgAAAAA=&#10;" filled="f" strokecolor="black [3213]"/>
                <v:shape id="Надпись 64" o:spid="_x0000_s1053" type="#_x0000_t202" style="position:absolute;left:13237;top:178889;width:470243;height:19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49AB0B6A" w14:textId="77777777" w:rsidR="00540656" w:rsidRDefault="00540656" w:rsidP="002B169F">
                        <w:pPr>
                          <w:rPr>
                            <w:rFonts w:ascii="Times New Roman" w:hAnsi="Times New Roman"/>
                            <w:sz w:val="16"/>
                            <w:lang w:val="en-US"/>
                          </w:rPr>
                        </w:pPr>
                        <w:r>
                          <w:rPr>
                            <w:rFonts w:ascii="Times New Roman" w:hAnsi="Times New Roman"/>
                            <w:sz w:val="16"/>
                          </w:rPr>
                          <w:t>+21,1</w:t>
                        </w:r>
                        <w:r>
                          <w:rPr>
                            <w:rFonts w:ascii="Times New Roman" w:hAnsi="Times New Roman"/>
                            <w:sz w:val="16"/>
                            <w:lang w:val="en-US"/>
                          </w:rPr>
                          <w:t>%</w:t>
                        </w:r>
                      </w:p>
                    </w:txbxContent>
                  </v:textbox>
                </v:shape>
                <w10:wrap anchorx="margin"/>
              </v:group>
            </w:pict>
          </mc:Fallback>
        </mc:AlternateContent>
      </w:r>
    </w:p>
    <w:p w14:paraId="3DA411C9" w14:textId="77777777" w:rsidR="002B169F" w:rsidRPr="00375059" w:rsidRDefault="002B169F" w:rsidP="002B169F">
      <w:pPr>
        <w:spacing w:after="0" w:line="240" w:lineRule="auto"/>
        <w:ind w:firstLine="425"/>
        <w:contextualSpacing/>
        <w:jc w:val="both"/>
        <w:rPr>
          <w:rFonts w:ascii="Times New Roman" w:hAnsi="Times New Roman"/>
          <w:sz w:val="28"/>
          <w:szCs w:val="28"/>
        </w:rPr>
      </w:pPr>
    </w:p>
    <w:p w14:paraId="5A4B2316" w14:textId="77777777" w:rsidR="002B169F" w:rsidRPr="00375059" w:rsidRDefault="002B169F" w:rsidP="002B169F">
      <w:pPr>
        <w:spacing w:after="0" w:line="240" w:lineRule="auto"/>
        <w:ind w:firstLine="425"/>
        <w:contextualSpacing/>
        <w:jc w:val="both"/>
        <w:rPr>
          <w:rFonts w:ascii="Times New Roman" w:hAnsi="Times New Roman"/>
          <w:sz w:val="28"/>
          <w:szCs w:val="28"/>
        </w:rPr>
      </w:pPr>
    </w:p>
    <w:p w14:paraId="0F8DDF62" w14:textId="77777777" w:rsidR="002B169F" w:rsidRPr="00375059" w:rsidRDefault="002B169F" w:rsidP="002B169F">
      <w:pPr>
        <w:spacing w:after="0" w:line="240" w:lineRule="auto"/>
        <w:ind w:firstLine="425"/>
        <w:contextualSpacing/>
        <w:jc w:val="both"/>
        <w:rPr>
          <w:rFonts w:ascii="Times New Roman" w:hAnsi="Times New Roman"/>
          <w:sz w:val="28"/>
          <w:szCs w:val="28"/>
        </w:rPr>
      </w:pPr>
    </w:p>
    <w:p w14:paraId="50BF64A7" w14:textId="77777777" w:rsidR="002B169F" w:rsidRPr="00375059" w:rsidRDefault="002B169F" w:rsidP="002B169F">
      <w:pPr>
        <w:spacing w:after="0" w:line="240" w:lineRule="auto"/>
        <w:contextualSpacing/>
        <w:jc w:val="both"/>
        <w:rPr>
          <w:rFonts w:ascii="Times New Roman" w:hAnsi="Times New Roman"/>
          <w:b/>
          <w:i/>
          <w:sz w:val="28"/>
          <w:szCs w:val="28"/>
        </w:rPr>
      </w:pPr>
    </w:p>
    <w:p w14:paraId="59854165" w14:textId="77777777" w:rsidR="002B169F" w:rsidRPr="00375059" w:rsidRDefault="002B169F" w:rsidP="002B169F">
      <w:pPr>
        <w:widowControl w:val="0"/>
        <w:tabs>
          <w:tab w:val="left" w:pos="567"/>
          <w:tab w:val="left" w:pos="993"/>
          <w:tab w:val="left" w:pos="1276"/>
          <w:tab w:val="left" w:pos="2832"/>
          <w:tab w:val="left" w:pos="3540"/>
          <w:tab w:val="left" w:pos="4248"/>
          <w:tab w:val="left" w:pos="4956"/>
          <w:tab w:val="left" w:pos="5664"/>
          <w:tab w:val="left" w:pos="6372"/>
          <w:tab w:val="left" w:pos="7080"/>
          <w:tab w:val="left" w:pos="7788"/>
          <w:tab w:val="left" w:pos="8735"/>
        </w:tabs>
        <w:spacing w:after="0" w:line="240" w:lineRule="auto"/>
        <w:jc w:val="both"/>
        <w:rPr>
          <w:rFonts w:ascii="Times New Roman" w:hAnsi="Times New Roman"/>
          <w:bCs/>
          <w:iCs/>
          <w:sz w:val="28"/>
          <w:szCs w:val="28"/>
        </w:rPr>
      </w:pPr>
    </w:p>
    <w:p w14:paraId="682A9AA7" w14:textId="01AAAE10" w:rsidR="002B169F" w:rsidRPr="00375059" w:rsidRDefault="002B169F" w:rsidP="001463C8">
      <w:pPr>
        <w:widowControl w:val="0"/>
        <w:spacing w:after="0" w:line="240" w:lineRule="auto"/>
        <w:ind w:firstLine="567"/>
        <w:jc w:val="both"/>
        <w:rPr>
          <w:rFonts w:ascii="Times New Roman" w:hAnsi="Times New Roman"/>
          <w:bCs/>
          <w:iCs/>
          <w:sz w:val="28"/>
          <w:szCs w:val="28"/>
        </w:rPr>
      </w:pPr>
      <w:r w:rsidRPr="00375059">
        <w:rPr>
          <w:rFonts w:ascii="Times New Roman" w:hAnsi="Times New Roman"/>
          <w:bCs/>
          <w:iCs/>
          <w:sz w:val="28"/>
          <w:szCs w:val="28"/>
        </w:rPr>
        <w:t>Для большинства промышленных потребителей применяемые тарифы остались неизменными либо снизились на 0,7%-1,4%. Для хозяйствующих субъектов, осуществляющих деятельность в цементно-шиферной промышленности, с численностью свыше 500 чел. стоимость отпускаемой электроэнергии снизилась в среднем на 7,6%</w:t>
      </w:r>
      <w:r w:rsidR="00540656">
        <w:rPr>
          <w:rFonts w:ascii="Times New Roman" w:hAnsi="Times New Roman"/>
          <w:bCs/>
          <w:iCs/>
          <w:sz w:val="28"/>
          <w:szCs w:val="28"/>
        </w:rPr>
        <w:t xml:space="preserve"> по сравнению с усреднённым тарифом 2020 года</w:t>
      </w:r>
      <w:r w:rsidRPr="00375059">
        <w:rPr>
          <w:rFonts w:ascii="Times New Roman" w:hAnsi="Times New Roman"/>
          <w:bCs/>
          <w:iCs/>
          <w:sz w:val="28"/>
          <w:szCs w:val="28"/>
        </w:rPr>
        <w:t>.</w:t>
      </w:r>
    </w:p>
    <w:p w14:paraId="457BE623" w14:textId="77777777" w:rsidR="002B169F" w:rsidRPr="00375059" w:rsidRDefault="002B169F" w:rsidP="001463C8">
      <w:pPr>
        <w:widowControl w:val="0"/>
        <w:spacing w:after="0" w:line="240" w:lineRule="auto"/>
        <w:ind w:firstLine="567"/>
        <w:jc w:val="both"/>
        <w:rPr>
          <w:rFonts w:ascii="Times New Roman" w:hAnsi="Times New Roman"/>
          <w:sz w:val="28"/>
          <w:szCs w:val="28"/>
          <w:lang w:eastAsia="en-US"/>
        </w:rPr>
      </w:pPr>
      <w:r w:rsidRPr="00375059">
        <w:rPr>
          <w:rFonts w:ascii="Times New Roman" w:hAnsi="Times New Roman"/>
          <w:bCs/>
          <w:iCs/>
          <w:sz w:val="28"/>
          <w:szCs w:val="28"/>
        </w:rPr>
        <w:t>Значительный рост тарифов отмечен д</w:t>
      </w:r>
      <w:r w:rsidRPr="00375059">
        <w:rPr>
          <w:rFonts w:ascii="Times New Roman" w:hAnsi="Times New Roman"/>
          <w:sz w:val="28"/>
          <w:szCs w:val="28"/>
          <w:lang w:eastAsia="en-US"/>
        </w:rPr>
        <w:t>ля предприятий-экспортеров черной металлургии с численностью работников свыше 1 тыс. человек (средневзвешенный прирост +67,9% для присоединенных к передающим сетям и + 32,5% для присоединенных к распределительным сетям).</w:t>
      </w:r>
    </w:p>
    <w:p w14:paraId="3D38B504" w14:textId="77777777" w:rsidR="002B169F" w:rsidRPr="00375059" w:rsidRDefault="002B169F" w:rsidP="001463C8">
      <w:pPr>
        <w:widowControl w:val="0"/>
        <w:spacing w:after="0" w:line="240" w:lineRule="auto"/>
        <w:ind w:firstLine="567"/>
        <w:jc w:val="both"/>
        <w:rPr>
          <w:rFonts w:ascii="Times New Roman" w:hAnsi="Times New Roman"/>
          <w:bCs/>
          <w:iCs/>
          <w:sz w:val="28"/>
          <w:szCs w:val="28"/>
        </w:rPr>
      </w:pPr>
      <w:r w:rsidRPr="00375059">
        <w:rPr>
          <w:rFonts w:ascii="Times New Roman" w:hAnsi="Times New Roman"/>
          <w:sz w:val="28"/>
          <w:szCs w:val="28"/>
          <w:lang w:eastAsia="en-US"/>
        </w:rPr>
        <w:t xml:space="preserve">Также в отчетном году </w:t>
      </w:r>
      <w:r w:rsidRPr="00375059">
        <w:rPr>
          <w:rFonts w:ascii="Times New Roman" w:hAnsi="Times New Roman"/>
          <w:sz w:val="28"/>
          <w:szCs w:val="28"/>
        </w:rPr>
        <w:t xml:space="preserve">увеличилась стоимость выработки электроэнергии </w:t>
      </w:r>
      <w:r w:rsidRPr="00375059">
        <w:rPr>
          <w:rFonts w:ascii="Times New Roman" w:hAnsi="Times New Roman"/>
          <w:sz w:val="28"/>
          <w:szCs w:val="28"/>
        </w:rPr>
        <w:lastRenderedPageBreak/>
        <w:t>ГУП «</w:t>
      </w:r>
      <w:proofErr w:type="spellStart"/>
      <w:r w:rsidRPr="00375059">
        <w:rPr>
          <w:rFonts w:ascii="Times New Roman" w:hAnsi="Times New Roman"/>
          <w:sz w:val="28"/>
          <w:szCs w:val="28"/>
        </w:rPr>
        <w:t>Дубоссарская</w:t>
      </w:r>
      <w:proofErr w:type="spellEnd"/>
      <w:r w:rsidRPr="00375059">
        <w:rPr>
          <w:rFonts w:ascii="Times New Roman" w:hAnsi="Times New Roman"/>
          <w:sz w:val="28"/>
          <w:szCs w:val="28"/>
        </w:rPr>
        <w:t xml:space="preserve"> ГЭС» на 23,6%</w:t>
      </w:r>
      <w:r w:rsidRPr="00375059">
        <w:rPr>
          <w:rFonts w:ascii="Times New Roman" w:hAnsi="Times New Roman"/>
          <w:bCs/>
          <w:iCs/>
          <w:sz w:val="28"/>
          <w:szCs w:val="28"/>
        </w:rPr>
        <w:t xml:space="preserve">, по передаче </w:t>
      </w:r>
      <w:r w:rsidRPr="00375059">
        <w:rPr>
          <w:rFonts w:ascii="Times New Roman" w:hAnsi="Times New Roman"/>
          <w:sz w:val="28"/>
          <w:szCs w:val="28"/>
        </w:rPr>
        <w:t>электрической энергии на 1,5%, по оперативно-диспетчерскому управлению электроэнергетической системы на 9,1%.</w:t>
      </w:r>
    </w:p>
    <w:p w14:paraId="674DFD43" w14:textId="77777777" w:rsidR="002B169F" w:rsidRPr="00375059" w:rsidRDefault="002B169F" w:rsidP="001463C8">
      <w:pPr>
        <w:spacing w:after="0" w:line="240" w:lineRule="auto"/>
        <w:ind w:firstLine="567"/>
        <w:contextualSpacing/>
        <w:jc w:val="both"/>
        <w:rPr>
          <w:rFonts w:ascii="Times New Roman" w:hAnsi="Times New Roman"/>
          <w:b/>
          <w:sz w:val="28"/>
          <w:szCs w:val="28"/>
        </w:rPr>
      </w:pPr>
      <w:r w:rsidRPr="00375059">
        <w:rPr>
          <w:rFonts w:ascii="Times New Roman" w:hAnsi="Times New Roman"/>
          <w:b/>
          <w:sz w:val="28"/>
          <w:szCs w:val="28"/>
        </w:rPr>
        <w:t>3. Услуги по снабжению тепловой энергией (отопление и подогрев воды)</w:t>
      </w:r>
    </w:p>
    <w:p w14:paraId="35F9E382" w14:textId="77777777" w:rsidR="002B169F" w:rsidRPr="00375059" w:rsidRDefault="002B169F" w:rsidP="001463C8">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За счет продолжения реализации государственной политики по регулированию цен на услуги естественных монополий, в отчетном периоде применяемые тарифы на отопление от централизованной системы отопления для населения сохранились на уровне базисного периода, при этом </w:t>
      </w:r>
      <w:proofErr w:type="spellStart"/>
      <w:r w:rsidRPr="00375059">
        <w:rPr>
          <w:rFonts w:ascii="Times New Roman" w:hAnsi="Times New Roman"/>
          <w:sz w:val="28"/>
          <w:szCs w:val="28"/>
        </w:rPr>
        <w:t>межтарифная</w:t>
      </w:r>
      <w:proofErr w:type="spellEnd"/>
      <w:r w:rsidRPr="00375059">
        <w:rPr>
          <w:rFonts w:ascii="Times New Roman" w:hAnsi="Times New Roman"/>
          <w:sz w:val="28"/>
          <w:szCs w:val="28"/>
        </w:rPr>
        <w:t xml:space="preserve"> разница, подлежащая возмещению из бюджета, выросла от 8,3% до 38,2% в зависимости от города или района. </w:t>
      </w:r>
    </w:p>
    <w:p w14:paraId="4E99C8D8" w14:textId="77777777" w:rsidR="002B169F" w:rsidRPr="00375059" w:rsidRDefault="002B169F" w:rsidP="001463C8">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Продолжает сохраняться существенная диспропорция стоимости отопления внутри республики: дороже всего обходится отопление для жителей Каменского района и </w:t>
      </w:r>
      <w:proofErr w:type="spellStart"/>
      <w:r w:rsidRPr="00375059">
        <w:rPr>
          <w:rFonts w:ascii="Times New Roman" w:hAnsi="Times New Roman"/>
          <w:sz w:val="28"/>
          <w:szCs w:val="28"/>
        </w:rPr>
        <w:t>г.Каменки</w:t>
      </w:r>
      <w:proofErr w:type="spellEnd"/>
      <w:r w:rsidRPr="00375059">
        <w:rPr>
          <w:rFonts w:ascii="Times New Roman" w:hAnsi="Times New Roman"/>
          <w:sz w:val="28"/>
          <w:szCs w:val="28"/>
        </w:rPr>
        <w:t xml:space="preserve"> – 4,77 руб. за 1 </w:t>
      </w:r>
      <w:proofErr w:type="spellStart"/>
      <w:r w:rsidRPr="00375059">
        <w:rPr>
          <w:rFonts w:ascii="Times New Roman" w:hAnsi="Times New Roman"/>
          <w:sz w:val="28"/>
          <w:szCs w:val="28"/>
        </w:rPr>
        <w:t>кв.м</w:t>
      </w:r>
      <w:proofErr w:type="spellEnd"/>
      <w:r w:rsidRPr="00375059">
        <w:rPr>
          <w:rFonts w:ascii="Times New Roman" w:hAnsi="Times New Roman"/>
          <w:sz w:val="28"/>
          <w:szCs w:val="28"/>
        </w:rPr>
        <w:t>. в месяц, в то время как в столице стоимость тепла составляет 3,89 руб. за 1 кв. м. в месяц.</w:t>
      </w:r>
    </w:p>
    <w:p w14:paraId="7CBADF68" w14:textId="77777777" w:rsidR="002B169F" w:rsidRPr="00375059" w:rsidRDefault="002B169F" w:rsidP="001463C8">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8"/>
          <w:szCs w:val="28"/>
        </w:rPr>
      </w:pPr>
      <w:r w:rsidRPr="00375059">
        <w:rPr>
          <w:rFonts w:ascii="Times New Roman" w:hAnsi="Times New Roman"/>
          <w:sz w:val="28"/>
          <w:szCs w:val="28"/>
        </w:rPr>
        <w:t>Стоимость подогрева воды для населения сохранилась на уровне 2020 года.</w:t>
      </w:r>
    </w:p>
    <w:p w14:paraId="281989ED"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Величина применяемых тарифов на тепловую энергию, отпускаемую организациям и учреждениям, финансируемым из бюджетов всех уровней, возросла к уровню 2020 года:</w:t>
      </w:r>
    </w:p>
    <w:p w14:paraId="76CD075C"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 по г. Бендеры – на 0,5%;</w:t>
      </w:r>
    </w:p>
    <w:p w14:paraId="32A05274"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 xml:space="preserve">- по </w:t>
      </w:r>
      <w:proofErr w:type="spellStart"/>
      <w:r w:rsidRPr="00375059">
        <w:rPr>
          <w:rFonts w:ascii="Times New Roman" w:hAnsi="Times New Roman"/>
          <w:sz w:val="28"/>
          <w:szCs w:val="28"/>
        </w:rPr>
        <w:t>г.Днестровск</w:t>
      </w:r>
      <w:proofErr w:type="spellEnd"/>
      <w:r w:rsidRPr="00375059">
        <w:rPr>
          <w:rFonts w:ascii="Times New Roman" w:hAnsi="Times New Roman"/>
          <w:sz w:val="28"/>
          <w:szCs w:val="28"/>
        </w:rPr>
        <w:t xml:space="preserve"> и с. Незавертайловка – на 6,9%</w:t>
      </w:r>
    </w:p>
    <w:p w14:paraId="4B87F3B2" w14:textId="77777777" w:rsidR="002B169F" w:rsidRPr="00375059" w:rsidRDefault="002B169F" w:rsidP="001463C8">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8"/>
          <w:szCs w:val="28"/>
        </w:rPr>
      </w:pPr>
      <w:r w:rsidRPr="00375059">
        <w:rPr>
          <w:rFonts w:ascii="Times New Roman" w:hAnsi="Times New Roman"/>
          <w:sz w:val="28"/>
          <w:szCs w:val="28"/>
        </w:rPr>
        <w:t>- по остальным городам и районам республики – на 2,6%</w:t>
      </w:r>
    </w:p>
    <w:p w14:paraId="399CDF69"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Применяемые тарифы на тепловую энергию, отпускаемую промышленным и прочим потребителям от централизованной системы теплоснабжения, выросли в пределах 0,2%-0,7%, за исключением г. Бендеры, г. Тирасполь, где отмечено снижение от 0,3% до 6,7%.</w:t>
      </w:r>
    </w:p>
    <w:p w14:paraId="21A60008" w14:textId="77777777" w:rsidR="002B169F" w:rsidRPr="00375059" w:rsidRDefault="002B169F" w:rsidP="001463C8">
      <w:pPr>
        <w:widowControl w:val="0"/>
        <w:spacing w:after="0" w:line="240" w:lineRule="auto"/>
        <w:ind w:firstLine="567"/>
        <w:jc w:val="both"/>
        <w:rPr>
          <w:rFonts w:ascii="Times New Roman" w:hAnsi="Times New Roman"/>
          <w:sz w:val="28"/>
          <w:szCs w:val="28"/>
        </w:rPr>
      </w:pPr>
      <w:bookmarkStart w:id="36" w:name="_Hlk100828982"/>
      <w:r w:rsidRPr="00375059">
        <w:rPr>
          <w:rFonts w:ascii="Times New Roman" w:hAnsi="Times New Roman"/>
          <w:b/>
          <w:bCs/>
          <w:sz w:val="28"/>
          <w:szCs w:val="28"/>
        </w:rPr>
        <w:t xml:space="preserve">4. </w:t>
      </w:r>
      <w:r w:rsidRPr="00375059">
        <w:rPr>
          <w:rFonts w:ascii="Times New Roman" w:hAnsi="Times New Roman"/>
          <w:sz w:val="28"/>
          <w:szCs w:val="28"/>
        </w:rPr>
        <w:t xml:space="preserve">Применяемые тарифы на </w:t>
      </w:r>
      <w:r w:rsidRPr="00375059">
        <w:rPr>
          <w:rFonts w:ascii="Times New Roman" w:hAnsi="Times New Roman"/>
          <w:b/>
          <w:sz w:val="28"/>
          <w:szCs w:val="28"/>
        </w:rPr>
        <w:t>услуги водоснабжения и водоотведения (канализация)</w:t>
      </w:r>
      <w:r w:rsidRPr="00375059">
        <w:rPr>
          <w:rFonts w:ascii="Times New Roman" w:hAnsi="Times New Roman"/>
          <w:sz w:val="28"/>
          <w:szCs w:val="28"/>
        </w:rPr>
        <w:t xml:space="preserve"> для населения не изменились за счет регулирования со стороны государства – компенсация </w:t>
      </w:r>
      <w:proofErr w:type="spellStart"/>
      <w:r w:rsidRPr="00375059">
        <w:rPr>
          <w:rFonts w:ascii="Times New Roman" w:hAnsi="Times New Roman"/>
          <w:sz w:val="28"/>
          <w:szCs w:val="28"/>
        </w:rPr>
        <w:t>межтарифной</w:t>
      </w:r>
      <w:proofErr w:type="spellEnd"/>
      <w:r w:rsidRPr="00375059">
        <w:rPr>
          <w:rFonts w:ascii="Times New Roman" w:hAnsi="Times New Roman"/>
          <w:sz w:val="28"/>
          <w:szCs w:val="28"/>
        </w:rPr>
        <w:t xml:space="preserve"> разницы из бюджета возросла в 1,5 раза и в 1,7 раза соответственно.  </w:t>
      </w:r>
    </w:p>
    <w:bookmarkEnd w:id="36"/>
    <w:p w14:paraId="785BE794" w14:textId="77777777" w:rsidR="002B169F" w:rsidRPr="00375059" w:rsidRDefault="002B169F"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Для промышленных и прочих потребителей тарифы в отчетном периоде выросли на 5,6% по водоснабжению и на 13,7% по водоотведению. Для организаций, которые финансируются из бюджетов всех уровней, и негосударственных учреждений, осуществляющих деятельность в области общего образования, стоимость услуг повысилась соответственно на 12,5% </w:t>
      </w:r>
      <w:r w:rsidRPr="00375059">
        <w:rPr>
          <w:rFonts w:ascii="Times New Roman" w:hAnsi="Times New Roman"/>
          <w:sz w:val="28"/>
          <w:szCs w:val="28"/>
        </w:rPr>
        <w:br/>
        <w:t>и 20,8%.</w:t>
      </w:r>
    </w:p>
    <w:p w14:paraId="60976838" w14:textId="12360AE9" w:rsidR="002B169F" w:rsidRPr="00375059" w:rsidRDefault="002B169F" w:rsidP="001463C8">
      <w:pPr>
        <w:widowControl w:val="0"/>
        <w:spacing w:after="0" w:line="240" w:lineRule="auto"/>
        <w:ind w:firstLine="567"/>
        <w:jc w:val="both"/>
        <w:rPr>
          <w:rFonts w:ascii="Times New Roman" w:hAnsi="Times New Roman"/>
          <w:b/>
          <w:sz w:val="28"/>
          <w:szCs w:val="28"/>
        </w:rPr>
      </w:pPr>
      <w:r w:rsidRPr="00375059">
        <w:rPr>
          <w:rFonts w:ascii="Times New Roman" w:hAnsi="Times New Roman"/>
          <w:b/>
          <w:sz w:val="28"/>
          <w:szCs w:val="28"/>
        </w:rPr>
        <w:t>5.</w:t>
      </w:r>
      <w:r w:rsidR="00512021" w:rsidRPr="00375059">
        <w:rPr>
          <w:rFonts w:ascii="Times New Roman" w:hAnsi="Times New Roman"/>
          <w:b/>
          <w:sz w:val="28"/>
          <w:szCs w:val="28"/>
        </w:rPr>
        <w:t xml:space="preserve"> </w:t>
      </w:r>
      <w:r w:rsidRPr="00375059">
        <w:rPr>
          <w:rFonts w:ascii="Times New Roman" w:hAnsi="Times New Roman"/>
          <w:b/>
          <w:sz w:val="28"/>
          <w:szCs w:val="28"/>
        </w:rPr>
        <w:t>Услуги на перевозку пассажиров электрическим транспортом и услуги железнодорожного транспорта в местном сообщении</w:t>
      </w:r>
    </w:p>
    <w:p w14:paraId="50E9FC43" w14:textId="680C07FF" w:rsidR="002B169F" w:rsidRPr="00955C44" w:rsidRDefault="002B169F" w:rsidP="00955C44">
      <w:pPr>
        <w:widowControl w:val="0"/>
        <w:spacing w:after="0" w:line="240" w:lineRule="auto"/>
        <w:ind w:firstLine="567"/>
        <w:jc w:val="both"/>
        <w:rPr>
          <w:rFonts w:ascii="Times New Roman" w:hAnsi="Times New Roman"/>
          <w:sz w:val="28"/>
          <w:szCs w:val="28"/>
        </w:rPr>
      </w:pPr>
      <w:r w:rsidRPr="00375059">
        <w:rPr>
          <w:rFonts w:ascii="Times New Roman" w:hAnsi="Times New Roman"/>
          <w:bCs/>
          <w:sz w:val="28"/>
          <w:szCs w:val="28"/>
        </w:rPr>
        <w:t xml:space="preserve">Предельные уровни тарифов на услуги по перевозке пассажиров электрическим транспортом остались на уровне 2020 года. Стоимость </w:t>
      </w:r>
      <w:r w:rsidRPr="00375059">
        <w:rPr>
          <w:rFonts w:ascii="Times New Roman" w:hAnsi="Times New Roman"/>
          <w:sz w:val="28"/>
          <w:szCs w:val="28"/>
        </w:rPr>
        <w:t xml:space="preserve">услуг железнодорожного транспорта в местном сообщении увеличилась в среднем на 6,0% по сравнению с тарифами, действовавшими в базисном году. </w:t>
      </w:r>
    </w:p>
    <w:p w14:paraId="3B7F6E88"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b/>
          <w:i/>
          <w:sz w:val="28"/>
          <w:szCs w:val="28"/>
        </w:rPr>
        <w:lastRenderedPageBreak/>
        <w:t>Ценовая и тарифная политика в сфере социально значимых товаров (работ, услуг)</w:t>
      </w:r>
      <w:r w:rsidRPr="00375059">
        <w:rPr>
          <w:rFonts w:ascii="Times New Roman" w:hAnsi="Times New Roman"/>
          <w:sz w:val="28"/>
          <w:szCs w:val="28"/>
        </w:rPr>
        <w:t xml:space="preserve"> формировалась с учетом норм действующего законодательства в области ценообразования.</w:t>
      </w:r>
    </w:p>
    <w:p w14:paraId="22C0293B" w14:textId="717674DB" w:rsidR="002B169F" w:rsidRPr="00375059" w:rsidRDefault="002B169F" w:rsidP="001463C8">
      <w:pPr>
        <w:widowControl w:val="0"/>
        <w:tabs>
          <w:tab w:val="left" w:pos="993"/>
        </w:tabs>
        <w:spacing w:after="0" w:line="240" w:lineRule="auto"/>
        <w:ind w:firstLine="567"/>
        <w:jc w:val="both"/>
        <w:rPr>
          <w:rFonts w:ascii="Times New Roman" w:eastAsia="MS Mincho" w:hAnsi="Times New Roman"/>
          <w:b/>
          <w:bCs/>
          <w:sz w:val="28"/>
          <w:szCs w:val="28"/>
        </w:rPr>
      </w:pPr>
      <w:r w:rsidRPr="00375059">
        <w:rPr>
          <w:rFonts w:ascii="Times New Roman" w:hAnsi="Times New Roman"/>
          <w:b/>
          <w:sz w:val="28"/>
          <w:szCs w:val="28"/>
        </w:rPr>
        <w:t>1</w:t>
      </w:r>
      <w:r w:rsidR="00512021" w:rsidRPr="00375059">
        <w:rPr>
          <w:rFonts w:ascii="Times New Roman" w:hAnsi="Times New Roman"/>
          <w:b/>
          <w:sz w:val="28"/>
          <w:szCs w:val="28"/>
        </w:rPr>
        <w:t>.</w:t>
      </w:r>
      <w:r w:rsidRPr="00375059">
        <w:rPr>
          <w:rFonts w:ascii="Times New Roman" w:hAnsi="Times New Roman"/>
          <w:b/>
          <w:sz w:val="28"/>
          <w:szCs w:val="28"/>
        </w:rPr>
        <w:t xml:space="preserve"> Мука для хлебопечения, </w:t>
      </w:r>
      <w:r w:rsidRPr="00375059">
        <w:rPr>
          <w:rFonts w:ascii="Times New Roman" w:eastAsia="MS Mincho" w:hAnsi="Times New Roman"/>
          <w:b/>
          <w:bCs/>
          <w:iCs/>
          <w:sz w:val="28"/>
          <w:szCs w:val="28"/>
        </w:rPr>
        <w:t>хлеб и хлебобулочные изделия</w:t>
      </w:r>
    </w:p>
    <w:p w14:paraId="40FA7D66"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В расчетном периоде регулирования с 1 декабря 2020 года по 30 ноября 2021 года предельные отпускные цены на муку для хлебопечения выросли на 20,4% по сравнению с базисным периодом.</w:t>
      </w:r>
    </w:p>
    <w:p w14:paraId="64A97809"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Основной причиной увеличения стоимости муки для хлебопечения послужило повышение стоимости сырья (пшеницы урожая 2020 года) на 41,4%, обусловленное ростом затрат на его производство (импортируемые горюче-смазочные материалы, семена, удобрения) на внутреннем рынке Приднестровской Молдавской Республики.</w:t>
      </w:r>
    </w:p>
    <w:p w14:paraId="546EE422" w14:textId="77777777" w:rsidR="002B169F" w:rsidRPr="00375059" w:rsidRDefault="002B169F" w:rsidP="001463C8">
      <w:pPr>
        <w:widowControl w:val="0"/>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Это сказалось на росте отпускных цен на хлеб и хлебобулочные изделия в среднем на 10,0%-12,8% по сравнению с уровнем 2020 года.</w:t>
      </w:r>
    </w:p>
    <w:p w14:paraId="3D32D7A6" w14:textId="5C187B6B" w:rsidR="002B169F" w:rsidRPr="00375059" w:rsidRDefault="002B169F" w:rsidP="001463C8">
      <w:pPr>
        <w:spacing w:after="0" w:line="240" w:lineRule="auto"/>
        <w:ind w:firstLine="567"/>
        <w:contextualSpacing/>
        <w:jc w:val="both"/>
        <w:rPr>
          <w:rFonts w:ascii="Times New Roman" w:hAnsi="Times New Roman"/>
          <w:b/>
          <w:sz w:val="28"/>
          <w:szCs w:val="28"/>
        </w:rPr>
      </w:pPr>
      <w:r w:rsidRPr="00375059">
        <w:rPr>
          <w:rFonts w:ascii="Times New Roman" w:hAnsi="Times New Roman"/>
          <w:b/>
          <w:sz w:val="28"/>
          <w:szCs w:val="28"/>
        </w:rPr>
        <w:t>2</w:t>
      </w:r>
      <w:r w:rsidR="00512021" w:rsidRPr="00375059">
        <w:rPr>
          <w:rFonts w:ascii="Times New Roman" w:hAnsi="Times New Roman"/>
          <w:b/>
          <w:sz w:val="28"/>
          <w:szCs w:val="28"/>
        </w:rPr>
        <w:t>.</w:t>
      </w:r>
      <w:r w:rsidRPr="00375059">
        <w:rPr>
          <w:rFonts w:ascii="Times New Roman" w:hAnsi="Times New Roman"/>
          <w:b/>
          <w:sz w:val="28"/>
          <w:szCs w:val="28"/>
        </w:rPr>
        <w:t xml:space="preserve"> Услуги по перевозке пассажиров и багажа автомобильным транспортом общего пользования на регулярных маршрутах и услуги по продаже проездных документов </w:t>
      </w:r>
    </w:p>
    <w:p w14:paraId="6287D957"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 xml:space="preserve">Тарифы на услуги по перевозке пассажиров и багажа автомобильным транспортом общего пользования на регулярных маршрутах и услуги по продаже проездных документов в 2021 году были сохранены на уровне тарифов, утвержденных на 2020 год. </w:t>
      </w:r>
    </w:p>
    <w:p w14:paraId="10A9B6E0" w14:textId="5F1F62FE" w:rsidR="002B169F" w:rsidRPr="00375059" w:rsidRDefault="002B169F" w:rsidP="001463C8">
      <w:pPr>
        <w:widowControl w:val="0"/>
        <w:tabs>
          <w:tab w:val="left" w:pos="709"/>
        </w:tabs>
        <w:spacing w:after="0" w:line="240" w:lineRule="auto"/>
        <w:ind w:firstLine="567"/>
        <w:jc w:val="both"/>
        <w:rPr>
          <w:rFonts w:ascii="Times New Roman" w:hAnsi="Times New Roman"/>
          <w:bCs/>
          <w:sz w:val="28"/>
          <w:szCs w:val="28"/>
        </w:rPr>
      </w:pPr>
      <w:r w:rsidRPr="00375059">
        <w:rPr>
          <w:rFonts w:ascii="Times New Roman" w:hAnsi="Times New Roman"/>
          <w:b/>
          <w:sz w:val="28"/>
          <w:szCs w:val="28"/>
        </w:rPr>
        <w:t>3</w:t>
      </w:r>
      <w:r w:rsidR="00512021" w:rsidRPr="00375059">
        <w:rPr>
          <w:rFonts w:ascii="Times New Roman" w:hAnsi="Times New Roman"/>
          <w:b/>
          <w:sz w:val="28"/>
          <w:szCs w:val="28"/>
        </w:rPr>
        <w:t>.</w:t>
      </w:r>
      <w:r w:rsidRPr="00375059">
        <w:rPr>
          <w:rFonts w:ascii="Times New Roman" w:hAnsi="Times New Roman"/>
          <w:b/>
          <w:sz w:val="28"/>
          <w:szCs w:val="28"/>
        </w:rPr>
        <w:t xml:space="preserve"> </w:t>
      </w:r>
      <w:r w:rsidRPr="00375059">
        <w:rPr>
          <w:rFonts w:ascii="Times New Roman" w:eastAsia="MS Mincho" w:hAnsi="Times New Roman"/>
          <w:bCs/>
          <w:sz w:val="28"/>
          <w:szCs w:val="28"/>
        </w:rPr>
        <w:t>Двукратно вырос п</w:t>
      </w:r>
      <w:r w:rsidRPr="00375059">
        <w:rPr>
          <w:rFonts w:ascii="Times New Roman" w:hAnsi="Times New Roman"/>
          <w:bCs/>
          <w:sz w:val="28"/>
          <w:szCs w:val="28"/>
        </w:rPr>
        <w:t xml:space="preserve">редельный уровень тарифов на </w:t>
      </w:r>
      <w:r w:rsidRPr="00375059">
        <w:rPr>
          <w:rFonts w:ascii="Times New Roman" w:hAnsi="Times New Roman"/>
          <w:b/>
          <w:bCs/>
          <w:sz w:val="28"/>
          <w:szCs w:val="28"/>
        </w:rPr>
        <w:t>услуги по найму государственной и муниципальной жилой площади</w:t>
      </w:r>
      <w:r w:rsidRPr="00375059">
        <w:rPr>
          <w:rFonts w:ascii="Times New Roman" w:hAnsi="Times New Roman"/>
          <w:bCs/>
          <w:sz w:val="28"/>
          <w:szCs w:val="28"/>
        </w:rPr>
        <w:t xml:space="preserve"> (0,69 руб. против 0,34 руб. за 1 кв. м жилого помещения в месяц в 2020 году). При этом фактически применялся тариф в размере от 27,5% (г.</w:t>
      </w:r>
      <w:r w:rsidR="00512021" w:rsidRPr="00375059">
        <w:rPr>
          <w:rFonts w:ascii="Times New Roman" w:hAnsi="Times New Roman"/>
          <w:bCs/>
          <w:sz w:val="28"/>
          <w:szCs w:val="28"/>
        </w:rPr>
        <w:t xml:space="preserve"> </w:t>
      </w:r>
      <w:r w:rsidRPr="00375059">
        <w:rPr>
          <w:rFonts w:ascii="Times New Roman" w:hAnsi="Times New Roman"/>
          <w:bCs/>
          <w:sz w:val="28"/>
          <w:szCs w:val="28"/>
        </w:rPr>
        <w:t>Григориополь) до 72,5% (г.</w:t>
      </w:r>
      <w:r w:rsidR="00512021" w:rsidRPr="00375059">
        <w:rPr>
          <w:rFonts w:ascii="Times New Roman" w:hAnsi="Times New Roman"/>
          <w:bCs/>
          <w:sz w:val="28"/>
          <w:szCs w:val="28"/>
        </w:rPr>
        <w:t xml:space="preserve"> </w:t>
      </w:r>
      <w:r w:rsidRPr="00375059">
        <w:rPr>
          <w:rFonts w:ascii="Times New Roman" w:hAnsi="Times New Roman"/>
          <w:bCs/>
          <w:sz w:val="28"/>
          <w:szCs w:val="28"/>
        </w:rPr>
        <w:t>Дубоссары) от максимального уровня.</w:t>
      </w:r>
    </w:p>
    <w:p w14:paraId="59D961CD" w14:textId="52258BE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b/>
          <w:sz w:val="28"/>
          <w:szCs w:val="28"/>
        </w:rPr>
        <w:t>4</w:t>
      </w:r>
      <w:r w:rsidR="00512021" w:rsidRPr="00375059">
        <w:rPr>
          <w:rFonts w:ascii="Times New Roman" w:hAnsi="Times New Roman"/>
          <w:b/>
          <w:sz w:val="28"/>
          <w:szCs w:val="28"/>
        </w:rPr>
        <w:t>.</w:t>
      </w:r>
      <w:r w:rsidRPr="00375059">
        <w:rPr>
          <w:rFonts w:ascii="Times New Roman" w:hAnsi="Times New Roman"/>
          <w:b/>
          <w:sz w:val="28"/>
          <w:szCs w:val="28"/>
        </w:rPr>
        <w:t xml:space="preserve"> Предельные уровни тарифов на услуги по содержанию и ремонту (включая капитальный) жилищного фонда, санитарному содержанию зданий и прилегающих территорий</w:t>
      </w:r>
      <w:r w:rsidRPr="00375059">
        <w:rPr>
          <w:rFonts w:ascii="Times New Roman" w:hAnsi="Times New Roman"/>
          <w:sz w:val="28"/>
          <w:szCs w:val="28"/>
        </w:rPr>
        <w:t xml:space="preserve"> на 2021 год сохранились на уровне базисного периода. Исключением стало повышение предельной стоимости услуг по капитальному ремонту лифтов (+14,3%) до 0,32 руб. за 1 кв.</w:t>
      </w:r>
      <w:r w:rsidR="00512021" w:rsidRPr="00375059">
        <w:rPr>
          <w:rFonts w:ascii="Times New Roman" w:hAnsi="Times New Roman"/>
          <w:sz w:val="28"/>
          <w:szCs w:val="28"/>
        </w:rPr>
        <w:t xml:space="preserve"> </w:t>
      </w:r>
      <w:r w:rsidRPr="00375059">
        <w:rPr>
          <w:rFonts w:ascii="Times New Roman" w:hAnsi="Times New Roman"/>
          <w:sz w:val="28"/>
          <w:szCs w:val="28"/>
        </w:rPr>
        <w:t xml:space="preserve">м, работы по техническому обслуживанию и ремонту лифтов (от +1,6% до +9,4%),  их диагностики и электроизмерительных работ (+12,5%), а также стоимости уборки мест общего пользования зданий. </w:t>
      </w:r>
    </w:p>
    <w:p w14:paraId="0389D8AF" w14:textId="65C46DDC" w:rsidR="002B169F" w:rsidRPr="00375059" w:rsidRDefault="002B169F" w:rsidP="001463C8">
      <w:pPr>
        <w:spacing w:after="0" w:line="240" w:lineRule="auto"/>
        <w:ind w:firstLine="567"/>
        <w:contextualSpacing/>
        <w:jc w:val="both"/>
        <w:rPr>
          <w:rFonts w:ascii="Times New Roman" w:hAnsi="Times New Roman"/>
          <w:b/>
          <w:sz w:val="28"/>
          <w:szCs w:val="28"/>
        </w:rPr>
      </w:pPr>
      <w:r w:rsidRPr="00375059">
        <w:rPr>
          <w:rFonts w:ascii="Times New Roman" w:hAnsi="Times New Roman"/>
          <w:b/>
          <w:sz w:val="28"/>
          <w:szCs w:val="28"/>
        </w:rPr>
        <w:t>5</w:t>
      </w:r>
      <w:r w:rsidR="00512021" w:rsidRPr="00375059">
        <w:rPr>
          <w:rFonts w:ascii="Times New Roman" w:hAnsi="Times New Roman"/>
          <w:b/>
          <w:sz w:val="28"/>
          <w:szCs w:val="28"/>
        </w:rPr>
        <w:t>.</w:t>
      </w:r>
      <w:r w:rsidRPr="00375059">
        <w:rPr>
          <w:rFonts w:ascii="Times New Roman" w:hAnsi="Times New Roman"/>
          <w:b/>
          <w:sz w:val="28"/>
          <w:szCs w:val="28"/>
        </w:rPr>
        <w:t xml:space="preserve"> Услуги по сбору и вывозу твёрдых и жидких бытовых отходов </w:t>
      </w:r>
    </w:p>
    <w:p w14:paraId="5A4A5191" w14:textId="77777777" w:rsidR="002B169F" w:rsidRPr="00375059" w:rsidRDefault="002B169F" w:rsidP="001463C8">
      <w:pPr>
        <w:spacing w:after="0" w:line="240" w:lineRule="auto"/>
        <w:ind w:firstLine="567"/>
        <w:contextualSpacing/>
        <w:jc w:val="both"/>
        <w:rPr>
          <w:rFonts w:ascii="Times New Roman" w:hAnsi="Times New Roman"/>
          <w:i/>
          <w:iCs/>
          <w:sz w:val="28"/>
          <w:szCs w:val="28"/>
        </w:rPr>
      </w:pPr>
      <w:r w:rsidRPr="00375059">
        <w:rPr>
          <w:rFonts w:ascii="Times New Roman" w:hAnsi="Times New Roman"/>
          <w:sz w:val="28"/>
          <w:szCs w:val="28"/>
        </w:rPr>
        <w:t>Изменение тарифов на услуги по сбору и вывозу твердых и жидких бытовых отходов с 1 января 2021 года носило дифференцированный характер в соответствии со сроком вступления в силу Постановления Правительства Приднестровской Молдавской Республики от 15 августа 2019 года № 300</w:t>
      </w:r>
      <w:r w:rsidRPr="00375059">
        <w:rPr>
          <w:rFonts w:ascii="Times New Roman" w:hAnsi="Times New Roman"/>
          <w:sz w:val="28"/>
          <w:szCs w:val="28"/>
        </w:rPr>
        <w:br/>
        <w:t>«Об утверждении порядка формирования регулируемых тарифов на услуги по сбору и вывозу твердых и жидких бытовых отходов».</w:t>
      </w:r>
    </w:p>
    <w:p w14:paraId="70281704" w14:textId="095DBE20" w:rsidR="002B169F" w:rsidRPr="00375059" w:rsidRDefault="002B169F" w:rsidP="00CC49F3">
      <w:pPr>
        <w:widowControl w:val="0"/>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 xml:space="preserve">В 2021 году произошло снижение предельных тарифов на услуги по сбору и вывозу твердых бытовых отходов на территории большинства городов и районов Приднестровской Молдавской Республики от -2,5% до </w:t>
      </w:r>
      <w:r w:rsidRPr="00375059">
        <w:rPr>
          <w:rFonts w:ascii="Times New Roman" w:hAnsi="Times New Roman"/>
          <w:sz w:val="28"/>
          <w:szCs w:val="28"/>
        </w:rPr>
        <w:br/>
        <w:t xml:space="preserve">-18,2%. Вместе с тем увеличение тарифов отмечалось по г. </w:t>
      </w:r>
      <w:proofErr w:type="spellStart"/>
      <w:r w:rsidRPr="00375059">
        <w:rPr>
          <w:rFonts w:ascii="Times New Roman" w:hAnsi="Times New Roman"/>
          <w:sz w:val="28"/>
          <w:szCs w:val="28"/>
        </w:rPr>
        <w:t>Слободзея</w:t>
      </w:r>
      <w:proofErr w:type="spellEnd"/>
      <w:r w:rsidRPr="00375059">
        <w:rPr>
          <w:rFonts w:ascii="Times New Roman" w:hAnsi="Times New Roman"/>
          <w:sz w:val="28"/>
          <w:szCs w:val="28"/>
        </w:rPr>
        <w:t xml:space="preserve">, </w:t>
      </w:r>
      <w:r w:rsidRPr="00375059">
        <w:rPr>
          <w:rFonts w:ascii="Times New Roman" w:hAnsi="Times New Roman"/>
          <w:sz w:val="28"/>
          <w:szCs w:val="28"/>
        </w:rPr>
        <w:lastRenderedPageBreak/>
        <w:t>г</w:t>
      </w:r>
      <w:r w:rsidR="00512021" w:rsidRPr="00375059">
        <w:rPr>
          <w:rFonts w:ascii="Times New Roman" w:hAnsi="Times New Roman"/>
          <w:sz w:val="28"/>
          <w:szCs w:val="28"/>
        </w:rPr>
        <w:t>. </w:t>
      </w:r>
      <w:r w:rsidRPr="00375059">
        <w:rPr>
          <w:rFonts w:ascii="Times New Roman" w:hAnsi="Times New Roman"/>
          <w:sz w:val="28"/>
          <w:szCs w:val="28"/>
        </w:rPr>
        <w:t>Дубоссары, г. Рыбница, г.</w:t>
      </w:r>
      <w:r w:rsidR="00512021" w:rsidRPr="00375059">
        <w:rPr>
          <w:rFonts w:ascii="Times New Roman" w:hAnsi="Times New Roman"/>
          <w:sz w:val="28"/>
          <w:szCs w:val="28"/>
        </w:rPr>
        <w:t xml:space="preserve"> </w:t>
      </w:r>
      <w:r w:rsidRPr="00375059">
        <w:rPr>
          <w:rFonts w:ascii="Times New Roman" w:hAnsi="Times New Roman"/>
          <w:sz w:val="28"/>
          <w:szCs w:val="28"/>
        </w:rPr>
        <w:t>Каменка от 2,2% до 11,4%.</w:t>
      </w:r>
    </w:p>
    <w:p w14:paraId="4D07F182" w14:textId="77777777" w:rsidR="002B169F" w:rsidRPr="00375059" w:rsidRDefault="002B169F" w:rsidP="001463C8">
      <w:pPr>
        <w:pStyle w:val="a3"/>
        <w:tabs>
          <w:tab w:val="left" w:pos="993"/>
        </w:tabs>
        <w:spacing w:after="0" w:line="240" w:lineRule="auto"/>
        <w:ind w:left="0" w:firstLine="567"/>
        <w:jc w:val="both"/>
        <w:rPr>
          <w:rFonts w:ascii="Times New Roman" w:hAnsi="Times New Roman"/>
          <w:sz w:val="6"/>
          <w:szCs w:val="6"/>
        </w:rPr>
      </w:pPr>
      <w:r w:rsidRPr="00375059">
        <w:rPr>
          <w:rFonts w:ascii="Times New Roman" w:hAnsi="Times New Roman"/>
          <w:sz w:val="28"/>
          <w:szCs w:val="28"/>
        </w:rPr>
        <w:t>В отчетном периоде увеличились тарифы по сбору и вывозу жидких бытовых отходов в диапазоне от +2,3% до +16,3%, снижение произошло только по г. Тирасполь (-3,1 %).</w:t>
      </w:r>
    </w:p>
    <w:p w14:paraId="44C8E836" w14:textId="07C0DE6B" w:rsidR="002B169F" w:rsidRPr="00375059" w:rsidRDefault="002B169F" w:rsidP="001463C8">
      <w:pPr>
        <w:spacing w:after="0" w:line="240" w:lineRule="auto"/>
        <w:ind w:firstLine="567"/>
        <w:contextualSpacing/>
        <w:jc w:val="both"/>
        <w:rPr>
          <w:rFonts w:ascii="Times New Roman" w:hAnsi="Times New Roman"/>
          <w:b/>
          <w:sz w:val="28"/>
          <w:szCs w:val="28"/>
        </w:rPr>
      </w:pPr>
      <w:r w:rsidRPr="00375059">
        <w:rPr>
          <w:rFonts w:ascii="Times New Roman" w:hAnsi="Times New Roman"/>
          <w:b/>
          <w:sz w:val="28"/>
          <w:szCs w:val="28"/>
        </w:rPr>
        <w:t>6</w:t>
      </w:r>
      <w:r w:rsidR="00512021" w:rsidRPr="00375059">
        <w:rPr>
          <w:rFonts w:ascii="Times New Roman" w:hAnsi="Times New Roman"/>
          <w:b/>
          <w:sz w:val="28"/>
          <w:szCs w:val="28"/>
        </w:rPr>
        <w:t>.</w:t>
      </w:r>
      <w:r w:rsidRPr="00375059">
        <w:rPr>
          <w:rFonts w:ascii="Times New Roman" w:hAnsi="Times New Roman"/>
          <w:b/>
          <w:sz w:val="28"/>
          <w:szCs w:val="28"/>
        </w:rPr>
        <w:t xml:space="preserve"> Услуги телефонной сети</w:t>
      </w:r>
    </w:p>
    <w:p w14:paraId="6A812D3E" w14:textId="77777777" w:rsidR="002B169F" w:rsidRPr="00375059" w:rsidRDefault="002B169F" w:rsidP="001463C8">
      <w:pPr>
        <w:widowControl w:val="0"/>
        <w:spacing w:after="0" w:line="240" w:lineRule="auto"/>
        <w:ind w:firstLine="567"/>
        <w:jc w:val="both"/>
        <w:rPr>
          <w:rFonts w:ascii="Times New Roman" w:hAnsi="Times New Roman"/>
          <w:bCs/>
          <w:sz w:val="28"/>
          <w:szCs w:val="28"/>
        </w:rPr>
      </w:pPr>
      <w:r w:rsidRPr="00375059">
        <w:rPr>
          <w:rFonts w:ascii="Times New Roman" w:hAnsi="Times New Roman"/>
          <w:bCs/>
          <w:sz w:val="28"/>
          <w:szCs w:val="28"/>
        </w:rPr>
        <w:t>Абонентская плата за пользование основным телефонным аппаратом выросла до 28,50 руб. (+5,0%). При стабильном тарифе на междугородние разговоры, минута местного соединения подешевела до 0,19 руб. (-5,0%).</w:t>
      </w:r>
    </w:p>
    <w:p w14:paraId="78B18441" w14:textId="5661CF82"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b/>
          <w:sz w:val="28"/>
          <w:szCs w:val="28"/>
        </w:rPr>
        <w:t>7</w:t>
      </w:r>
      <w:r w:rsidR="00512021" w:rsidRPr="00375059">
        <w:rPr>
          <w:rFonts w:ascii="Times New Roman" w:hAnsi="Times New Roman"/>
          <w:b/>
          <w:sz w:val="28"/>
          <w:szCs w:val="28"/>
        </w:rPr>
        <w:t>.</w:t>
      </w:r>
      <w:r w:rsidRPr="00375059">
        <w:rPr>
          <w:rFonts w:ascii="Times New Roman" w:hAnsi="Times New Roman"/>
          <w:b/>
          <w:sz w:val="28"/>
          <w:szCs w:val="28"/>
        </w:rPr>
        <w:t xml:space="preserve"> </w:t>
      </w:r>
      <w:r w:rsidRPr="00375059">
        <w:rPr>
          <w:rFonts w:ascii="Times New Roman" w:hAnsi="Times New Roman"/>
          <w:bCs/>
          <w:sz w:val="28"/>
          <w:szCs w:val="28"/>
        </w:rPr>
        <w:t xml:space="preserve">Предельные уровни тарифов на </w:t>
      </w:r>
      <w:r w:rsidRPr="00375059">
        <w:rPr>
          <w:rFonts w:ascii="Times New Roman" w:hAnsi="Times New Roman"/>
          <w:b/>
          <w:bCs/>
          <w:sz w:val="28"/>
          <w:szCs w:val="28"/>
        </w:rPr>
        <w:t>услуги почтовой связи</w:t>
      </w:r>
      <w:r w:rsidRPr="00375059">
        <w:rPr>
          <w:rFonts w:ascii="Times New Roman" w:eastAsia="MS Mincho" w:hAnsi="Times New Roman"/>
          <w:bCs/>
          <w:sz w:val="28"/>
          <w:szCs w:val="28"/>
        </w:rPr>
        <w:t xml:space="preserve"> (пересылка письменной корреспонденции, посылок, денежных переводов) </w:t>
      </w:r>
      <w:r w:rsidRPr="00375059">
        <w:rPr>
          <w:rFonts w:ascii="Times New Roman" w:hAnsi="Times New Roman"/>
          <w:sz w:val="28"/>
          <w:szCs w:val="28"/>
        </w:rPr>
        <w:t xml:space="preserve">соответствовали действовавшим </w:t>
      </w:r>
      <w:r w:rsidRPr="00375059">
        <w:rPr>
          <w:rFonts w:ascii="Times New Roman" w:hAnsi="Times New Roman"/>
          <w:bCs/>
          <w:sz w:val="28"/>
          <w:szCs w:val="28"/>
        </w:rPr>
        <w:t>в 2020 году</w:t>
      </w:r>
      <w:r w:rsidRPr="00375059">
        <w:rPr>
          <w:rFonts w:ascii="Times New Roman" w:hAnsi="Times New Roman"/>
          <w:sz w:val="28"/>
          <w:szCs w:val="28"/>
        </w:rPr>
        <w:t>.</w:t>
      </w:r>
    </w:p>
    <w:p w14:paraId="1D6EB1FD" w14:textId="77777777" w:rsidR="002B169F" w:rsidRPr="00375059" w:rsidRDefault="002B169F" w:rsidP="001463C8">
      <w:pPr>
        <w:spacing w:after="0" w:line="240" w:lineRule="auto"/>
        <w:ind w:firstLine="567"/>
        <w:jc w:val="both"/>
        <w:rPr>
          <w:rFonts w:ascii="Times New Roman" w:hAnsi="Times New Roman"/>
          <w:b/>
          <w:i/>
          <w:iCs/>
          <w:sz w:val="28"/>
          <w:szCs w:val="28"/>
        </w:rPr>
      </w:pPr>
      <w:r w:rsidRPr="00375059">
        <w:rPr>
          <w:rFonts w:ascii="Times New Roman" w:hAnsi="Times New Roman"/>
          <w:b/>
          <w:i/>
          <w:iCs/>
          <w:sz w:val="28"/>
          <w:szCs w:val="28"/>
        </w:rPr>
        <w:t>Тарифная политика в сфере услуг государственных и муниципальных учреждений</w:t>
      </w:r>
    </w:p>
    <w:p w14:paraId="3AAEE8D0"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В 2021 году по сравнению с 2020 годом предельные уровни тарифов на услуги государственных и муниципальных учреждений в среднем увеличились на 6,7%.</w:t>
      </w:r>
    </w:p>
    <w:p w14:paraId="63264C5A"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eastAsia="MS Mincho" w:hAnsi="Times New Roman"/>
          <w:bCs/>
          <w:sz w:val="28"/>
          <w:szCs w:val="28"/>
        </w:rPr>
        <w:t xml:space="preserve">Предельные уровни тарифов на платные услуги, оказываемые </w:t>
      </w:r>
      <w:r w:rsidRPr="00375059">
        <w:rPr>
          <w:rFonts w:ascii="Times New Roman" w:hAnsi="Times New Roman"/>
          <w:sz w:val="28"/>
          <w:szCs w:val="28"/>
          <w:lang w:bidi="ru-RU"/>
        </w:rPr>
        <w:t xml:space="preserve">государственными и муниципальными учреждениями, подведомственными Государственной администрации </w:t>
      </w:r>
      <w:proofErr w:type="spellStart"/>
      <w:r w:rsidRPr="00375059">
        <w:rPr>
          <w:rFonts w:ascii="Times New Roman" w:eastAsia="MS Mincho" w:hAnsi="Times New Roman"/>
          <w:bCs/>
          <w:sz w:val="28"/>
          <w:szCs w:val="28"/>
        </w:rPr>
        <w:t>Дубоссарского</w:t>
      </w:r>
      <w:proofErr w:type="spellEnd"/>
      <w:r w:rsidRPr="00375059">
        <w:rPr>
          <w:rFonts w:ascii="Times New Roman" w:eastAsia="MS Mincho" w:hAnsi="Times New Roman"/>
          <w:bCs/>
          <w:sz w:val="28"/>
          <w:szCs w:val="28"/>
        </w:rPr>
        <w:t xml:space="preserve"> района и города Дубоссары, Государственной службе управления документацией и архивами Приднестровской Молдавской Республики, Государственной службе по культуре и историческому наследию Приднестровской Молдавской Республики, Государственной службе экологического контроля и охране окружающей среды Приднестровской Молдавской Республики, Государственной службе средств массовой информации Приднестровской Молдавской Республики, Министерству экономического развития Приднестровской Молдавской Республики, Министерству просвещения Приднестровской Молдавской Республики были сохранены на базисном уровне.</w:t>
      </w:r>
    </w:p>
    <w:p w14:paraId="4F4BFBE6"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В отношении услуг, оказываемых муниципальными учреждениями Государственной администрации Григориопольского района и города Григориополь, Государственной администрации Рыбницкого района и города Рыбница, было отмечено снижение на 6,5% и 0,1% соответственно.</w:t>
      </w:r>
    </w:p>
    <w:p w14:paraId="310B9347"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Тарифы на услуги ГОУ «Приднестровского государственного университета им. Т.Г. Шевченко» также сократились на 1,7%.</w:t>
      </w:r>
    </w:p>
    <w:p w14:paraId="241DD3C6"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На изменение тарифов оказали влияние инфляционные процессы, изменение структуры себестоимости, а также снижение фактического количества оказанных услуг государственными учреждениями.</w:t>
      </w:r>
    </w:p>
    <w:p w14:paraId="161398AC" w14:textId="6C538F24" w:rsidR="002B169F" w:rsidRPr="00375059" w:rsidRDefault="002B169F" w:rsidP="001463C8">
      <w:pPr>
        <w:spacing w:after="0" w:line="240" w:lineRule="auto"/>
        <w:ind w:firstLine="567"/>
        <w:contextualSpacing/>
        <w:jc w:val="both"/>
        <w:rPr>
          <w:rFonts w:ascii="Times New Roman" w:hAnsi="Times New Roman"/>
          <w:b/>
          <w:i/>
          <w:iCs/>
          <w:sz w:val="28"/>
          <w:szCs w:val="28"/>
        </w:rPr>
      </w:pPr>
      <w:r w:rsidRPr="00375059">
        <w:rPr>
          <w:rFonts w:ascii="Times New Roman" w:hAnsi="Times New Roman"/>
          <w:b/>
          <w:i/>
          <w:iCs/>
          <w:sz w:val="28"/>
          <w:szCs w:val="28"/>
        </w:rPr>
        <w:t>Тарифная политика в сфере работ, услуг по стандартизации, метрологии и обязательной сертификации продукции и услуг</w:t>
      </w:r>
    </w:p>
    <w:p w14:paraId="08D4C525" w14:textId="77777777" w:rsidR="002B169F" w:rsidRPr="00375059" w:rsidRDefault="002B169F" w:rsidP="001463C8">
      <w:pPr>
        <w:spacing w:after="0" w:line="240" w:lineRule="auto"/>
        <w:ind w:firstLine="567"/>
        <w:contextualSpacing/>
        <w:jc w:val="both"/>
        <w:rPr>
          <w:rFonts w:ascii="Times New Roman" w:hAnsi="Times New Roman"/>
          <w:sz w:val="28"/>
          <w:szCs w:val="28"/>
        </w:rPr>
      </w:pPr>
      <w:r w:rsidRPr="00375059">
        <w:rPr>
          <w:rFonts w:ascii="Times New Roman" w:hAnsi="Times New Roman"/>
          <w:sz w:val="28"/>
          <w:szCs w:val="28"/>
        </w:rPr>
        <w:t>В 2021 году стоимость работ (услуг) по обязательной сертификации продукции и работы (услуги) по стандартизации и метрологии выросла на 0,5% и 15,2% соответственно. На повышение повлияло изменение структуры себестоимости, а также сохраняющаяся тенденция снижения количества фактически оказанных услуг в этой сфере.</w:t>
      </w:r>
    </w:p>
    <w:p w14:paraId="2A9260FC" w14:textId="569F1B56" w:rsidR="009940AD" w:rsidRDefault="009940AD" w:rsidP="001463C8">
      <w:pPr>
        <w:spacing w:after="0" w:line="240" w:lineRule="auto"/>
        <w:ind w:firstLine="567"/>
        <w:contextualSpacing/>
        <w:jc w:val="both"/>
        <w:rPr>
          <w:rFonts w:ascii="Times New Roman" w:hAnsi="Times New Roman"/>
          <w:sz w:val="28"/>
          <w:szCs w:val="28"/>
        </w:rPr>
        <w:sectPr w:rsidR="009940AD" w:rsidSect="00931A27">
          <w:headerReference w:type="even" r:id="rId51"/>
          <w:headerReference w:type="default" r:id="rId52"/>
          <w:headerReference w:type="first" r:id="rId53"/>
          <w:pgSz w:w="11906" w:h="16838"/>
          <w:pgMar w:top="1134" w:right="850" w:bottom="1134" w:left="1701" w:header="454" w:footer="454" w:gutter="0"/>
          <w:cols w:space="708"/>
          <w:titlePg/>
          <w:docGrid w:linePitch="360"/>
        </w:sectPr>
      </w:pPr>
    </w:p>
    <w:p w14:paraId="0819322A" w14:textId="55C1FD72" w:rsidR="002B169F" w:rsidRDefault="002B169F" w:rsidP="00FC2395">
      <w:pPr>
        <w:pStyle w:val="2"/>
        <w:spacing w:before="0" w:line="240" w:lineRule="auto"/>
        <w:ind w:firstLine="567"/>
        <w:rPr>
          <w:rFonts w:ascii="Times New Roman" w:hAnsi="Times New Roman" w:cs="Times New Roman"/>
          <w:b/>
          <w:color w:val="auto"/>
          <w:sz w:val="28"/>
        </w:rPr>
      </w:pPr>
      <w:bookmarkStart w:id="37" w:name="_Toc101441788"/>
      <w:r w:rsidRPr="00375059">
        <w:rPr>
          <w:rFonts w:ascii="Times New Roman" w:hAnsi="Times New Roman" w:cs="Times New Roman"/>
          <w:b/>
          <w:color w:val="auto"/>
          <w:sz w:val="28"/>
        </w:rPr>
        <w:lastRenderedPageBreak/>
        <w:t>Состояние социальной сферы</w:t>
      </w:r>
      <w:bookmarkEnd w:id="37"/>
      <w:r w:rsidRPr="00375059">
        <w:rPr>
          <w:rFonts w:ascii="Times New Roman" w:hAnsi="Times New Roman" w:cs="Times New Roman"/>
          <w:b/>
          <w:color w:val="auto"/>
          <w:sz w:val="28"/>
        </w:rPr>
        <w:t xml:space="preserve"> </w:t>
      </w:r>
    </w:p>
    <w:p w14:paraId="0E24D077" w14:textId="77777777" w:rsidR="00FC2395" w:rsidRPr="00FC2395" w:rsidRDefault="00FC2395" w:rsidP="00FC2395">
      <w:pPr>
        <w:spacing w:after="0"/>
      </w:pPr>
    </w:p>
    <w:p w14:paraId="5D348BF2" w14:textId="77777777" w:rsidR="00201041" w:rsidRPr="00375059" w:rsidRDefault="00201041" w:rsidP="00FC2395">
      <w:pPr>
        <w:pStyle w:val="2"/>
        <w:spacing w:before="0" w:line="240" w:lineRule="auto"/>
        <w:ind w:firstLine="567"/>
        <w:rPr>
          <w:rFonts w:ascii="Times New Roman" w:hAnsi="Times New Roman" w:cs="Times New Roman"/>
          <w:b/>
          <w:color w:val="auto"/>
          <w:sz w:val="28"/>
        </w:rPr>
      </w:pPr>
      <w:bookmarkStart w:id="38" w:name="_Hlk99542038"/>
      <w:bookmarkStart w:id="39" w:name="_Toc101441789"/>
      <w:bookmarkEnd w:id="38"/>
      <w:r w:rsidRPr="00375059">
        <w:rPr>
          <w:rFonts w:ascii="Times New Roman" w:hAnsi="Times New Roman" w:cs="Times New Roman"/>
          <w:b/>
          <w:color w:val="auto"/>
          <w:sz w:val="28"/>
        </w:rPr>
        <w:t>Уровень жизни населения</w:t>
      </w:r>
      <w:bookmarkEnd w:id="39"/>
    </w:p>
    <w:p w14:paraId="76B62CAF" w14:textId="77777777" w:rsidR="00201041" w:rsidRPr="00AB2550" w:rsidRDefault="00201041" w:rsidP="001463C8">
      <w:pPr>
        <w:widowControl w:val="0"/>
        <w:spacing w:after="0" w:line="240" w:lineRule="auto"/>
        <w:ind w:firstLine="567"/>
        <w:jc w:val="both"/>
        <w:rPr>
          <w:rFonts w:ascii="Times New Roman" w:hAnsi="Times New Roman"/>
          <w:sz w:val="28"/>
          <w:szCs w:val="28"/>
          <w:shd w:val="clear" w:color="auto" w:fill="FFFFFF"/>
        </w:rPr>
      </w:pPr>
      <w:r w:rsidRPr="00AB2550">
        <w:rPr>
          <w:rFonts w:ascii="Times New Roman" w:hAnsi="Times New Roman"/>
          <w:sz w:val="28"/>
          <w:szCs w:val="28"/>
        </w:rPr>
        <w:t xml:space="preserve">В 2021 году в большинстве отраслей экономики сохранялась тенденция увеличения заработных плат работников. </w:t>
      </w:r>
      <w:r w:rsidRPr="00AB2550">
        <w:rPr>
          <w:rFonts w:ascii="Times New Roman" w:hAnsi="Times New Roman"/>
          <w:sz w:val="28"/>
          <w:szCs w:val="28"/>
          <w:shd w:val="clear" w:color="auto" w:fill="FFFFFF"/>
        </w:rPr>
        <w:t>По данным Государственной службы статистики Министерства экономического развития Приднестровской Молдавской Республики, среднемесячная номинальная начисленная заработная плата в целом по экономике с учетом субъектов малого предпринимательства и некоммерческих организаций (без учета силовых структур и таможенных органов) по итогам отчетного года оценена на уровне 5 345 руб., что на 10,0% выше показателя 2020 года (на 5,7% с поправкой на влияние ценового фактора).</w:t>
      </w:r>
    </w:p>
    <w:p w14:paraId="45DD2ECF" w14:textId="77777777" w:rsidR="00201041" w:rsidRPr="00AB2550" w:rsidRDefault="00201041" w:rsidP="001463C8">
      <w:pPr>
        <w:spacing w:after="0" w:line="240" w:lineRule="auto"/>
        <w:ind w:firstLine="567"/>
        <w:jc w:val="both"/>
        <w:rPr>
          <w:rFonts w:ascii="Times New Roman" w:hAnsi="Times New Roman"/>
          <w:sz w:val="28"/>
          <w:szCs w:val="28"/>
          <w:shd w:val="clear" w:color="auto" w:fill="FFFFFF"/>
        </w:rPr>
      </w:pPr>
      <w:r w:rsidRPr="00AB2550">
        <w:rPr>
          <w:rFonts w:ascii="Times New Roman" w:hAnsi="Times New Roman"/>
          <w:sz w:val="28"/>
          <w:szCs w:val="28"/>
          <w:shd w:val="clear" w:color="auto" w:fill="FFFFFF"/>
        </w:rPr>
        <w:t>Рост уровня заработных плат на фоне умеренной динамики стоимости минимального набора товаров и услуг, необходимых для поддержания жизнедеятельности трудоспособного населения (+3,1% до 1 707,6 руб.), определил увеличение покупательной способности усредненной зарплаты до 3,13 такого набора против 2,93 – в 2020 году.</w:t>
      </w:r>
    </w:p>
    <w:p w14:paraId="51599124" w14:textId="42BF85C0" w:rsidR="00201041" w:rsidRPr="00AB2550" w:rsidRDefault="00201041" w:rsidP="001463C8">
      <w:pPr>
        <w:spacing w:after="0" w:line="240" w:lineRule="auto"/>
        <w:ind w:firstLine="567"/>
        <w:jc w:val="both"/>
        <w:rPr>
          <w:rFonts w:ascii="Times New Roman" w:hAnsi="Times New Roman"/>
          <w:sz w:val="28"/>
          <w:szCs w:val="28"/>
          <w:shd w:val="clear" w:color="auto" w:fill="FFFFFF"/>
        </w:rPr>
      </w:pPr>
      <w:r w:rsidRPr="00AB2550">
        <w:rPr>
          <w:rFonts w:ascii="Times New Roman" w:hAnsi="Times New Roman"/>
          <w:sz w:val="28"/>
          <w:szCs w:val="28"/>
          <w:shd w:val="clear" w:color="auto" w:fill="FFFFFF"/>
        </w:rPr>
        <w:t xml:space="preserve">При этом размер средней заработной платы в крупных и средних организациях за 2021 год увеличился на 10,4% до 5 477 руб. (+6,1% с учетом инфляционного фактора), что обусловило заметное повышение ее покупательной способности (табл. </w:t>
      </w:r>
      <w:r w:rsidR="00512021" w:rsidRPr="00AB2550">
        <w:rPr>
          <w:rFonts w:ascii="Times New Roman" w:hAnsi="Times New Roman"/>
          <w:sz w:val="28"/>
          <w:szCs w:val="28"/>
          <w:shd w:val="clear" w:color="auto" w:fill="FFFFFF"/>
        </w:rPr>
        <w:t>5</w:t>
      </w:r>
      <w:r w:rsidRPr="00AB2550">
        <w:rPr>
          <w:rFonts w:ascii="Times New Roman" w:hAnsi="Times New Roman"/>
          <w:sz w:val="28"/>
          <w:szCs w:val="28"/>
          <w:shd w:val="clear" w:color="auto" w:fill="FFFFFF"/>
        </w:rPr>
        <w:t>).</w:t>
      </w:r>
    </w:p>
    <w:p w14:paraId="7421F907" w14:textId="7D206194" w:rsidR="00201041" w:rsidRPr="00AB2550" w:rsidRDefault="00201041" w:rsidP="008E362D">
      <w:pPr>
        <w:spacing w:after="0" w:line="240" w:lineRule="auto"/>
        <w:jc w:val="right"/>
        <w:rPr>
          <w:rFonts w:ascii="Times New Roman" w:hAnsi="Times New Roman"/>
          <w:b/>
          <w:i/>
          <w:sz w:val="28"/>
        </w:rPr>
      </w:pPr>
      <w:r w:rsidRPr="00AB2550">
        <w:rPr>
          <w:rFonts w:ascii="Times New Roman" w:hAnsi="Times New Roman"/>
          <w:b/>
          <w:i/>
          <w:sz w:val="28"/>
        </w:rPr>
        <w:t>Таблица</w:t>
      </w:r>
      <w:r w:rsidR="00512021" w:rsidRPr="00AB2550">
        <w:rPr>
          <w:rFonts w:ascii="Times New Roman" w:hAnsi="Times New Roman"/>
          <w:b/>
          <w:i/>
          <w:sz w:val="28"/>
        </w:rPr>
        <w:t xml:space="preserve"> 5</w:t>
      </w:r>
    </w:p>
    <w:p w14:paraId="565B7169" w14:textId="77777777" w:rsidR="00201041" w:rsidRPr="00AB2550" w:rsidRDefault="00201041" w:rsidP="00201041">
      <w:pPr>
        <w:widowControl w:val="0"/>
        <w:spacing w:after="0" w:line="240" w:lineRule="auto"/>
        <w:jc w:val="center"/>
        <w:rPr>
          <w:rFonts w:ascii="Times New Roman" w:hAnsi="Times New Roman"/>
          <w:b/>
          <w:sz w:val="28"/>
          <w:szCs w:val="24"/>
          <w:shd w:val="clear" w:color="auto" w:fill="FFFFFF"/>
        </w:rPr>
      </w:pPr>
      <w:r w:rsidRPr="00AB2550">
        <w:rPr>
          <w:rFonts w:ascii="Times New Roman" w:hAnsi="Times New Roman"/>
          <w:b/>
          <w:sz w:val="28"/>
          <w:szCs w:val="24"/>
          <w:shd w:val="clear" w:color="auto" w:fill="FFFFFF"/>
        </w:rPr>
        <w:t xml:space="preserve">Покупательная способность среднемесячной заработной платы </w:t>
      </w:r>
    </w:p>
    <w:p w14:paraId="0D1AAA54" w14:textId="77777777" w:rsidR="00201041" w:rsidRPr="00AB2550" w:rsidRDefault="00201041" w:rsidP="00201041">
      <w:pPr>
        <w:widowControl w:val="0"/>
        <w:spacing w:after="0" w:line="240" w:lineRule="auto"/>
        <w:ind w:firstLineChars="150" w:firstLine="422"/>
        <w:jc w:val="center"/>
        <w:rPr>
          <w:rFonts w:ascii="Times New Roman" w:hAnsi="Times New Roman"/>
          <w:b/>
          <w:sz w:val="28"/>
          <w:szCs w:val="24"/>
          <w:shd w:val="clear" w:color="auto" w:fill="FFFFFF"/>
        </w:rPr>
      </w:pPr>
      <w:r w:rsidRPr="00AB2550">
        <w:rPr>
          <w:rFonts w:ascii="Times New Roman" w:hAnsi="Times New Roman"/>
          <w:b/>
          <w:sz w:val="28"/>
          <w:szCs w:val="24"/>
          <w:shd w:val="clear" w:color="auto" w:fill="FFFFFF"/>
        </w:rPr>
        <w:t>(по крупным и средним организациям), единиц минимальных наборов товаров и услуг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976"/>
        <w:gridCol w:w="2835"/>
      </w:tblGrid>
      <w:tr w:rsidR="00201041" w:rsidRPr="00AB2550" w14:paraId="11B93499" w14:textId="77777777" w:rsidTr="00201041">
        <w:trPr>
          <w:trHeight w:val="292"/>
          <w:jc w:val="center"/>
        </w:trPr>
        <w:tc>
          <w:tcPr>
            <w:tcW w:w="382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05228B" w14:textId="77777777" w:rsidR="00201041" w:rsidRPr="00AB2550" w:rsidRDefault="00201041" w:rsidP="00201041">
            <w:pPr>
              <w:widowControl w:val="0"/>
              <w:spacing w:after="0"/>
              <w:jc w:val="center"/>
              <w:rPr>
                <w:rFonts w:ascii="Times New Roman" w:hAnsi="Times New Roman"/>
                <w:b/>
                <w:sz w:val="24"/>
                <w:szCs w:val="24"/>
              </w:rPr>
            </w:pPr>
            <w:r w:rsidRPr="00AB2550">
              <w:rPr>
                <w:rFonts w:ascii="Times New Roman" w:hAnsi="Times New Roman"/>
                <w:b/>
                <w:sz w:val="24"/>
                <w:szCs w:val="24"/>
              </w:rPr>
              <w:t>Показатель</w:t>
            </w:r>
          </w:p>
        </w:tc>
        <w:tc>
          <w:tcPr>
            <w:tcW w:w="29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70B1A06" w14:textId="77777777" w:rsidR="00201041" w:rsidRPr="00AB2550" w:rsidRDefault="00201041" w:rsidP="00201041">
            <w:pPr>
              <w:widowControl w:val="0"/>
              <w:spacing w:after="0"/>
              <w:jc w:val="center"/>
              <w:rPr>
                <w:rFonts w:ascii="Times New Roman" w:hAnsi="Times New Roman"/>
                <w:b/>
                <w:sz w:val="24"/>
                <w:szCs w:val="24"/>
              </w:rPr>
            </w:pPr>
            <w:r w:rsidRPr="00AB2550">
              <w:rPr>
                <w:rFonts w:ascii="Times New Roman" w:hAnsi="Times New Roman"/>
                <w:b/>
                <w:sz w:val="24"/>
                <w:szCs w:val="24"/>
              </w:rPr>
              <w:t>2020 год*</w:t>
            </w:r>
          </w:p>
        </w:tc>
        <w:tc>
          <w:tcPr>
            <w:tcW w:w="28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FF1FE64" w14:textId="77777777" w:rsidR="00201041" w:rsidRPr="00AB2550" w:rsidRDefault="00201041" w:rsidP="00201041">
            <w:pPr>
              <w:widowControl w:val="0"/>
              <w:spacing w:after="0"/>
              <w:jc w:val="center"/>
              <w:rPr>
                <w:rFonts w:ascii="Times New Roman" w:hAnsi="Times New Roman"/>
                <w:b/>
                <w:sz w:val="24"/>
                <w:szCs w:val="24"/>
              </w:rPr>
            </w:pPr>
            <w:r w:rsidRPr="00AB2550">
              <w:rPr>
                <w:rFonts w:ascii="Times New Roman" w:hAnsi="Times New Roman"/>
                <w:b/>
                <w:sz w:val="24"/>
                <w:szCs w:val="24"/>
              </w:rPr>
              <w:t>2021 год</w:t>
            </w:r>
          </w:p>
        </w:tc>
      </w:tr>
      <w:tr w:rsidR="00201041" w:rsidRPr="00AB2550" w14:paraId="267BDD19" w14:textId="77777777" w:rsidTr="00201041">
        <w:trPr>
          <w:trHeight w:val="60"/>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09238523" w14:textId="77777777" w:rsidR="00201041" w:rsidRPr="00AB2550" w:rsidRDefault="00201041" w:rsidP="00201041">
            <w:pPr>
              <w:widowControl w:val="0"/>
              <w:spacing w:after="0"/>
              <w:rPr>
                <w:rFonts w:ascii="Times New Roman" w:hAnsi="Times New Roman"/>
                <w:sz w:val="24"/>
                <w:szCs w:val="24"/>
              </w:rPr>
            </w:pPr>
            <w:r w:rsidRPr="00AB2550">
              <w:rPr>
                <w:rFonts w:ascii="Times New Roman" w:hAnsi="Times New Roman"/>
                <w:sz w:val="24"/>
                <w:szCs w:val="24"/>
              </w:rPr>
              <w:t>- в целом по республике</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2B741FE" w14:textId="77777777" w:rsidR="00201041" w:rsidRPr="00AB2550" w:rsidRDefault="00201041" w:rsidP="00201041">
            <w:pPr>
              <w:widowControl w:val="0"/>
              <w:spacing w:after="0"/>
              <w:jc w:val="center"/>
              <w:rPr>
                <w:rFonts w:ascii="Times New Roman" w:hAnsi="Times New Roman"/>
                <w:sz w:val="24"/>
                <w:szCs w:val="24"/>
              </w:rPr>
            </w:pPr>
            <w:r w:rsidRPr="00AB2550">
              <w:rPr>
                <w:rFonts w:ascii="Times New Roman" w:hAnsi="Times New Roman"/>
                <w:sz w:val="24"/>
                <w:szCs w:val="24"/>
              </w:rPr>
              <w:t>3,00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6B828B" w14:textId="77777777" w:rsidR="00201041" w:rsidRPr="00AB2550" w:rsidRDefault="00201041" w:rsidP="00201041">
            <w:pPr>
              <w:widowControl w:val="0"/>
              <w:spacing w:after="0"/>
              <w:jc w:val="center"/>
              <w:rPr>
                <w:rFonts w:ascii="Times New Roman" w:hAnsi="Times New Roman"/>
                <w:sz w:val="24"/>
                <w:szCs w:val="24"/>
              </w:rPr>
            </w:pPr>
            <w:r w:rsidRPr="00AB2550">
              <w:rPr>
                <w:rFonts w:ascii="Times New Roman" w:hAnsi="Times New Roman"/>
                <w:sz w:val="24"/>
                <w:szCs w:val="24"/>
              </w:rPr>
              <w:t>3,21</w:t>
            </w:r>
          </w:p>
        </w:tc>
      </w:tr>
      <w:tr w:rsidR="00201041" w:rsidRPr="00AB2550" w14:paraId="497C4581" w14:textId="77777777" w:rsidTr="00201041">
        <w:trPr>
          <w:trHeight w:val="60"/>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8DDD04F" w14:textId="77777777" w:rsidR="00201041" w:rsidRPr="00AB2550" w:rsidRDefault="00201041" w:rsidP="00201041">
            <w:pPr>
              <w:widowControl w:val="0"/>
              <w:spacing w:after="0"/>
              <w:rPr>
                <w:rFonts w:ascii="Times New Roman" w:hAnsi="Times New Roman"/>
                <w:sz w:val="24"/>
                <w:szCs w:val="24"/>
              </w:rPr>
            </w:pPr>
            <w:r w:rsidRPr="00AB2550">
              <w:rPr>
                <w:rFonts w:ascii="Times New Roman" w:hAnsi="Times New Roman"/>
                <w:sz w:val="24"/>
                <w:szCs w:val="24"/>
              </w:rPr>
              <w:t xml:space="preserve">- в хозрасчетном секторе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08D6ACC" w14:textId="77777777" w:rsidR="00201041" w:rsidRPr="00AB2550" w:rsidRDefault="00201041" w:rsidP="00201041">
            <w:pPr>
              <w:widowControl w:val="0"/>
              <w:spacing w:after="0"/>
              <w:jc w:val="center"/>
              <w:rPr>
                <w:rFonts w:ascii="Times New Roman" w:hAnsi="Times New Roman"/>
                <w:sz w:val="24"/>
                <w:szCs w:val="24"/>
              </w:rPr>
            </w:pPr>
            <w:r w:rsidRPr="00AB2550">
              <w:rPr>
                <w:rFonts w:ascii="Times New Roman" w:hAnsi="Times New Roman"/>
                <w:sz w:val="24"/>
                <w:szCs w:val="24"/>
              </w:rPr>
              <w:t>3,73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46F6F0" w14:textId="77777777" w:rsidR="00201041" w:rsidRPr="00AB2550" w:rsidRDefault="00201041" w:rsidP="00201041">
            <w:pPr>
              <w:widowControl w:val="0"/>
              <w:spacing w:after="0"/>
              <w:jc w:val="center"/>
              <w:rPr>
                <w:rFonts w:ascii="Times New Roman" w:hAnsi="Times New Roman"/>
                <w:sz w:val="24"/>
                <w:szCs w:val="24"/>
              </w:rPr>
            </w:pPr>
            <w:r w:rsidRPr="00AB2550">
              <w:rPr>
                <w:rFonts w:ascii="Times New Roman" w:hAnsi="Times New Roman"/>
                <w:sz w:val="24"/>
                <w:szCs w:val="24"/>
              </w:rPr>
              <w:t>3,99</w:t>
            </w:r>
          </w:p>
        </w:tc>
      </w:tr>
      <w:tr w:rsidR="00201041" w:rsidRPr="00AB2550" w14:paraId="69CB3750" w14:textId="77777777" w:rsidTr="00201041">
        <w:trPr>
          <w:trHeight w:val="60"/>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F834A7E" w14:textId="77777777" w:rsidR="00201041" w:rsidRPr="00AB2550" w:rsidRDefault="00201041" w:rsidP="00201041">
            <w:pPr>
              <w:widowControl w:val="0"/>
              <w:spacing w:after="0"/>
              <w:rPr>
                <w:rFonts w:ascii="Times New Roman" w:hAnsi="Times New Roman"/>
                <w:sz w:val="24"/>
                <w:szCs w:val="24"/>
              </w:rPr>
            </w:pPr>
            <w:r w:rsidRPr="00AB2550">
              <w:rPr>
                <w:rFonts w:ascii="Times New Roman" w:hAnsi="Times New Roman"/>
                <w:sz w:val="24"/>
                <w:szCs w:val="24"/>
              </w:rPr>
              <w:t>- в бюджетной сфере</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ACD9B71" w14:textId="77777777" w:rsidR="00201041" w:rsidRPr="00AB2550" w:rsidRDefault="00201041" w:rsidP="00201041">
            <w:pPr>
              <w:widowControl w:val="0"/>
              <w:spacing w:after="0"/>
              <w:jc w:val="center"/>
              <w:rPr>
                <w:rFonts w:ascii="Times New Roman" w:hAnsi="Times New Roman"/>
                <w:sz w:val="24"/>
                <w:szCs w:val="24"/>
              </w:rPr>
            </w:pPr>
            <w:r w:rsidRPr="00AB2550">
              <w:rPr>
                <w:rFonts w:ascii="Times New Roman" w:hAnsi="Times New Roman"/>
                <w:sz w:val="24"/>
                <w:szCs w:val="24"/>
              </w:rPr>
              <w:t>2,12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CD10575" w14:textId="77777777" w:rsidR="00201041" w:rsidRPr="00AB2550" w:rsidRDefault="00201041" w:rsidP="00201041">
            <w:pPr>
              <w:widowControl w:val="0"/>
              <w:spacing w:after="0"/>
              <w:jc w:val="center"/>
              <w:rPr>
                <w:rFonts w:ascii="Times New Roman" w:hAnsi="Times New Roman"/>
                <w:sz w:val="24"/>
                <w:szCs w:val="24"/>
              </w:rPr>
            </w:pPr>
            <w:r w:rsidRPr="00AB2550">
              <w:rPr>
                <w:rFonts w:ascii="Times New Roman" w:hAnsi="Times New Roman"/>
                <w:sz w:val="24"/>
                <w:szCs w:val="24"/>
              </w:rPr>
              <w:t>2,28</w:t>
            </w:r>
          </w:p>
        </w:tc>
      </w:tr>
    </w:tbl>
    <w:p w14:paraId="3415E1CA" w14:textId="77777777" w:rsidR="00201041" w:rsidRPr="00AB2550" w:rsidRDefault="00201041" w:rsidP="00201041">
      <w:pPr>
        <w:spacing w:after="0" w:line="240" w:lineRule="auto"/>
        <w:ind w:firstLine="426"/>
        <w:jc w:val="both"/>
        <w:rPr>
          <w:rFonts w:ascii="Times New Roman" w:hAnsi="Times New Roman"/>
          <w:sz w:val="24"/>
          <w:szCs w:val="24"/>
          <w:shd w:val="clear" w:color="auto" w:fill="FFFFFF"/>
        </w:rPr>
      </w:pPr>
      <w:r w:rsidRPr="00AB2550">
        <w:rPr>
          <w:rFonts w:ascii="Times New Roman" w:hAnsi="Times New Roman"/>
          <w:sz w:val="24"/>
          <w:szCs w:val="24"/>
          <w:shd w:val="clear" w:color="auto" w:fill="FFFFFF"/>
        </w:rPr>
        <w:t>* уточненные данные</w:t>
      </w:r>
    </w:p>
    <w:p w14:paraId="47969711" w14:textId="77777777" w:rsidR="00201041" w:rsidRPr="00AB2550" w:rsidRDefault="00201041" w:rsidP="001463C8">
      <w:pPr>
        <w:spacing w:after="0" w:line="240" w:lineRule="auto"/>
        <w:ind w:firstLine="567"/>
        <w:jc w:val="both"/>
        <w:rPr>
          <w:rFonts w:ascii="Times New Roman" w:hAnsi="Times New Roman"/>
          <w:sz w:val="28"/>
          <w:szCs w:val="28"/>
          <w:shd w:val="clear" w:color="auto" w:fill="FFFFFF"/>
        </w:rPr>
      </w:pPr>
      <w:r w:rsidRPr="00AB2550">
        <w:rPr>
          <w:rFonts w:ascii="Times New Roman" w:hAnsi="Times New Roman"/>
          <w:sz w:val="28"/>
          <w:szCs w:val="28"/>
          <w:shd w:val="clear" w:color="auto" w:fill="FFFFFF"/>
        </w:rPr>
        <w:t>На фоне сохранения диспропорции между бюджетным и хозрасчетным секторами фиксируется ее усиление в межотраслевом разрезе (соотношение величины зарплат в отраслях «</w:t>
      </w:r>
      <w:proofErr w:type="spellStart"/>
      <w:r w:rsidRPr="00AB2550">
        <w:rPr>
          <w:rFonts w:ascii="Times New Roman" w:hAnsi="Times New Roman"/>
          <w:sz w:val="28"/>
          <w:szCs w:val="28"/>
          <w:shd w:val="clear" w:color="auto" w:fill="FFFFFF"/>
        </w:rPr>
        <w:t>Электро</w:t>
      </w:r>
      <w:proofErr w:type="spellEnd"/>
      <w:r w:rsidRPr="00AB2550">
        <w:rPr>
          <w:rFonts w:ascii="Times New Roman" w:hAnsi="Times New Roman"/>
          <w:sz w:val="28"/>
          <w:szCs w:val="28"/>
          <w:shd w:val="clear" w:color="auto" w:fill="FFFFFF"/>
        </w:rPr>
        <w:t xml:space="preserve"> и радиосвязь» и «Лесное хозяйство» достигло 6,0 против 5,7 в 2020 году). </w:t>
      </w:r>
    </w:p>
    <w:p w14:paraId="772E3818" w14:textId="0E5B9200" w:rsidR="00201041" w:rsidRPr="00AB2550" w:rsidRDefault="00201041" w:rsidP="001463C8">
      <w:pPr>
        <w:spacing w:after="0" w:line="240" w:lineRule="auto"/>
        <w:ind w:firstLine="567"/>
        <w:jc w:val="both"/>
        <w:rPr>
          <w:rFonts w:ascii="Times New Roman" w:hAnsi="Times New Roman"/>
          <w:sz w:val="28"/>
          <w:szCs w:val="28"/>
          <w:shd w:val="clear" w:color="auto" w:fill="FFFFFF"/>
        </w:rPr>
      </w:pPr>
      <w:r w:rsidRPr="00AB2550">
        <w:rPr>
          <w:rFonts w:ascii="Times New Roman" w:hAnsi="Times New Roman"/>
          <w:sz w:val="28"/>
          <w:szCs w:val="28"/>
        </w:rPr>
        <w:t>В отчетном году темпы прироста заработной платы варьировали в диапазоне от +3,6% – у работников банков и кредитования до +20,0% – в сфере геологии и метеорологии (рис. </w:t>
      </w:r>
      <w:r w:rsidR="00512021" w:rsidRPr="00AB2550">
        <w:rPr>
          <w:rFonts w:ascii="Times New Roman" w:hAnsi="Times New Roman"/>
          <w:sz w:val="28"/>
          <w:szCs w:val="28"/>
        </w:rPr>
        <w:t>3</w:t>
      </w:r>
      <w:r w:rsidR="00540656">
        <w:rPr>
          <w:rFonts w:ascii="Times New Roman" w:hAnsi="Times New Roman"/>
          <w:sz w:val="28"/>
          <w:szCs w:val="28"/>
        </w:rPr>
        <w:t>9</w:t>
      </w:r>
      <w:r w:rsidRPr="00AB2550">
        <w:rPr>
          <w:rFonts w:ascii="Times New Roman" w:hAnsi="Times New Roman"/>
          <w:sz w:val="28"/>
          <w:szCs w:val="28"/>
        </w:rPr>
        <w:t>).</w:t>
      </w:r>
    </w:p>
    <w:p w14:paraId="20923E7F" w14:textId="77777777" w:rsidR="00AA381B" w:rsidRDefault="00AA381B">
      <w:pPr>
        <w:spacing w:after="160" w:line="259" w:lineRule="auto"/>
        <w:rPr>
          <w:rFonts w:ascii="Times New Roman" w:hAnsi="Times New Roman"/>
          <w:b/>
          <w:i/>
          <w:sz w:val="28"/>
          <w:szCs w:val="28"/>
        </w:rPr>
      </w:pPr>
      <w:r>
        <w:rPr>
          <w:rFonts w:ascii="Times New Roman" w:hAnsi="Times New Roman"/>
          <w:b/>
          <w:i/>
          <w:sz w:val="28"/>
          <w:szCs w:val="28"/>
        </w:rPr>
        <w:br w:type="page"/>
      </w:r>
    </w:p>
    <w:p w14:paraId="62665419" w14:textId="68919F23" w:rsidR="00201041" w:rsidRPr="00AB2550" w:rsidRDefault="00201041" w:rsidP="00512021">
      <w:pPr>
        <w:spacing w:after="0" w:line="240" w:lineRule="auto"/>
        <w:ind w:firstLine="567"/>
        <w:jc w:val="right"/>
        <w:rPr>
          <w:rFonts w:ascii="Times New Roman" w:hAnsi="Times New Roman"/>
          <w:sz w:val="28"/>
          <w:szCs w:val="28"/>
        </w:rPr>
      </w:pPr>
      <w:r w:rsidRPr="00AB2550">
        <w:rPr>
          <w:rFonts w:ascii="Times New Roman" w:hAnsi="Times New Roman"/>
          <w:b/>
          <w:i/>
          <w:sz w:val="28"/>
          <w:szCs w:val="28"/>
        </w:rPr>
        <w:lastRenderedPageBreak/>
        <w:t xml:space="preserve">Рисунок </w:t>
      </w:r>
      <w:r w:rsidR="00540656">
        <w:rPr>
          <w:rFonts w:ascii="Times New Roman" w:hAnsi="Times New Roman"/>
          <w:b/>
          <w:i/>
          <w:sz w:val="28"/>
          <w:szCs w:val="28"/>
        </w:rPr>
        <w:t>39</w:t>
      </w:r>
    </w:p>
    <w:p w14:paraId="0AB5386C" w14:textId="77777777" w:rsidR="00201041" w:rsidRPr="00375059" w:rsidRDefault="00201041" w:rsidP="00512021">
      <w:pPr>
        <w:spacing w:after="0" w:line="240" w:lineRule="auto"/>
        <w:jc w:val="center"/>
        <w:rPr>
          <w:rFonts w:ascii="Times New Roman" w:hAnsi="Times New Roman"/>
          <w:b/>
          <w:bCs/>
          <w:sz w:val="28"/>
          <w:szCs w:val="28"/>
        </w:rPr>
      </w:pPr>
      <w:r w:rsidRPr="00AB2550">
        <w:rPr>
          <w:rFonts w:ascii="Times New Roman" w:hAnsi="Times New Roman"/>
          <w:b/>
          <w:bCs/>
          <w:sz w:val="28"/>
          <w:szCs w:val="28"/>
        </w:rPr>
        <w:t xml:space="preserve">Динамика оплаты труда в разрезе </w:t>
      </w:r>
      <w:r w:rsidRPr="00375059">
        <w:rPr>
          <w:rFonts w:ascii="Times New Roman" w:hAnsi="Times New Roman"/>
          <w:b/>
          <w:bCs/>
          <w:sz w:val="28"/>
          <w:szCs w:val="28"/>
        </w:rPr>
        <w:t>отраслей экономики, руб.</w:t>
      </w:r>
    </w:p>
    <w:p w14:paraId="65424BF1" w14:textId="42D074A9" w:rsidR="00201041" w:rsidRPr="00375059" w:rsidRDefault="00201041" w:rsidP="00512021">
      <w:pPr>
        <w:spacing w:after="0" w:line="240" w:lineRule="auto"/>
        <w:jc w:val="center"/>
        <w:rPr>
          <w:rFonts w:ascii="Times New Roman" w:hAnsi="Times New Roman"/>
          <w:b/>
          <w:iCs/>
          <w:sz w:val="28"/>
          <w:szCs w:val="28"/>
        </w:rPr>
      </w:pPr>
      <w:r w:rsidRPr="00375059">
        <w:rPr>
          <w:rFonts w:ascii="Times New Roman" w:hAnsi="Times New Roman"/>
          <w:b/>
          <w:iCs/>
          <w:sz w:val="28"/>
          <w:szCs w:val="28"/>
        </w:rPr>
        <w:t>(без учета субъектов малого предпринимательств, некоммерческих организаций,</w:t>
      </w:r>
      <w:r w:rsidR="00512021" w:rsidRPr="00375059">
        <w:rPr>
          <w:rFonts w:ascii="Times New Roman" w:hAnsi="Times New Roman"/>
          <w:b/>
          <w:iCs/>
          <w:sz w:val="28"/>
          <w:szCs w:val="28"/>
        </w:rPr>
        <w:t xml:space="preserve"> </w:t>
      </w:r>
      <w:r w:rsidRPr="00375059">
        <w:rPr>
          <w:rFonts w:ascii="Times New Roman" w:hAnsi="Times New Roman"/>
          <w:b/>
          <w:iCs/>
          <w:sz w:val="28"/>
          <w:szCs w:val="28"/>
        </w:rPr>
        <w:t>силовых структур и таможенных органов)</w:t>
      </w:r>
    </w:p>
    <w:p w14:paraId="3B684C0B" w14:textId="77777777" w:rsidR="00201041" w:rsidRPr="00375059" w:rsidRDefault="00201041" w:rsidP="00201041">
      <w:pPr>
        <w:spacing w:after="0" w:line="240" w:lineRule="auto"/>
        <w:jc w:val="center"/>
        <w:rPr>
          <w:rFonts w:ascii="Times New Roman" w:hAnsi="Times New Roman"/>
          <w:sz w:val="28"/>
          <w:szCs w:val="28"/>
        </w:rPr>
      </w:pPr>
      <w:r w:rsidRPr="00375059">
        <w:rPr>
          <w:rFonts w:ascii="Times New Roman" w:hAnsi="Times New Roman"/>
          <w:noProof/>
        </w:rPr>
        <w:drawing>
          <wp:inline distT="0" distB="0" distL="0" distR="0" wp14:anchorId="4D2FFC5B" wp14:editId="7BB94503">
            <wp:extent cx="6045835" cy="3448050"/>
            <wp:effectExtent l="0" t="0" r="0" b="0"/>
            <wp:docPr id="94" name="Диаграмма 94">
              <a:extLst xmlns:a="http://schemas.openxmlformats.org/drawingml/2006/main">
                <a:ext uri="{FF2B5EF4-FFF2-40B4-BE49-F238E27FC236}">
                  <a16:creationId xmlns:a16="http://schemas.microsoft.com/office/drawing/2014/main" id="{06F49290-2CE4-4D18-A3D0-2F389D0CF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B3A26A0"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При этом в складывающихся условиях существенный рост отмечен в сфере здравоохранения – на 16,1% до 4 858 руб., что, однако, ниже среднего уровня по экономике (на 11,3%).</w:t>
      </w:r>
    </w:p>
    <w:p w14:paraId="70E89FCA" w14:textId="64C3AD80"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eastAsia="Calibri" w:hAnsi="Times New Roman"/>
          <w:b/>
          <w:sz w:val="28"/>
          <w:szCs w:val="28"/>
        </w:rPr>
        <w:t xml:space="preserve">Во внебюджетном секторе </w:t>
      </w:r>
      <w:r w:rsidRPr="00375059">
        <w:rPr>
          <w:rFonts w:ascii="Times New Roman" w:eastAsia="Calibri" w:hAnsi="Times New Roman"/>
          <w:sz w:val="28"/>
          <w:szCs w:val="28"/>
        </w:rPr>
        <w:t>начисленная среднемесячная заработная плата одного работника выросла по отношению к показателю 2020 года на 10,3% до 6 807 руб. (рис. </w:t>
      </w:r>
      <w:r w:rsidR="00540656">
        <w:rPr>
          <w:rFonts w:ascii="Times New Roman" w:eastAsia="Calibri" w:hAnsi="Times New Roman"/>
          <w:sz w:val="28"/>
          <w:szCs w:val="28"/>
        </w:rPr>
        <w:t>40</w:t>
      </w:r>
      <w:r w:rsidRPr="00375059">
        <w:rPr>
          <w:rFonts w:ascii="Times New Roman" w:eastAsia="Calibri" w:hAnsi="Times New Roman"/>
          <w:sz w:val="28"/>
          <w:szCs w:val="28"/>
        </w:rPr>
        <w:t>) (с учетом инфляционного фактора – на 5,9%), благодаря чему покупательная способность выплат достигла 3,99 стоимости минимально необходимого набора товаров и услуг (3,73 в 2020 году).</w:t>
      </w:r>
    </w:p>
    <w:p w14:paraId="7C13A704" w14:textId="77777777" w:rsidR="00AA381B" w:rsidRDefault="00AA381B">
      <w:pPr>
        <w:spacing w:after="160" w:line="259" w:lineRule="auto"/>
        <w:rPr>
          <w:rFonts w:ascii="Times New Roman" w:hAnsi="Times New Roman"/>
          <w:b/>
          <w:i/>
          <w:sz w:val="28"/>
          <w:szCs w:val="28"/>
        </w:rPr>
      </w:pPr>
      <w:r>
        <w:rPr>
          <w:rFonts w:ascii="Times New Roman" w:hAnsi="Times New Roman"/>
          <w:b/>
          <w:i/>
          <w:sz w:val="28"/>
          <w:szCs w:val="28"/>
        </w:rPr>
        <w:br w:type="page"/>
      </w:r>
    </w:p>
    <w:p w14:paraId="685E140D" w14:textId="313DD5B2" w:rsidR="00201041" w:rsidRPr="00375059" w:rsidRDefault="00201041" w:rsidP="0049764C">
      <w:pPr>
        <w:spacing w:after="0" w:line="240" w:lineRule="auto"/>
        <w:jc w:val="right"/>
        <w:rPr>
          <w:rFonts w:ascii="Times New Roman" w:hAnsi="Times New Roman"/>
          <w:b/>
          <w:i/>
          <w:sz w:val="28"/>
          <w:szCs w:val="28"/>
        </w:rPr>
      </w:pPr>
      <w:r w:rsidRPr="00375059">
        <w:rPr>
          <w:rFonts w:ascii="Times New Roman" w:hAnsi="Times New Roman"/>
          <w:b/>
          <w:i/>
          <w:sz w:val="28"/>
          <w:szCs w:val="28"/>
        </w:rPr>
        <w:lastRenderedPageBreak/>
        <w:t xml:space="preserve">Рисунок </w:t>
      </w:r>
      <w:r w:rsidR="00540656">
        <w:rPr>
          <w:rFonts w:ascii="Times New Roman" w:hAnsi="Times New Roman"/>
          <w:b/>
          <w:i/>
          <w:sz w:val="28"/>
          <w:szCs w:val="28"/>
        </w:rPr>
        <w:t>40</w:t>
      </w:r>
    </w:p>
    <w:p w14:paraId="7C342769" w14:textId="77777777" w:rsidR="00201041" w:rsidRPr="00375059" w:rsidRDefault="00201041" w:rsidP="0049764C">
      <w:pPr>
        <w:spacing w:after="0" w:line="240" w:lineRule="auto"/>
        <w:jc w:val="center"/>
        <w:rPr>
          <w:rFonts w:ascii="Times New Roman" w:hAnsi="Times New Roman"/>
          <w:b/>
          <w:sz w:val="28"/>
          <w:szCs w:val="28"/>
        </w:rPr>
      </w:pPr>
      <w:r w:rsidRPr="00375059">
        <w:rPr>
          <w:rFonts w:ascii="Times New Roman" w:hAnsi="Times New Roman"/>
          <w:b/>
          <w:bCs/>
          <w:sz w:val="28"/>
          <w:szCs w:val="28"/>
        </w:rPr>
        <w:t>Динамика оплаты труда во внебюджетном секторе, руб.</w:t>
      </w:r>
    </w:p>
    <w:p w14:paraId="77D8EE89" w14:textId="77777777" w:rsidR="00201041" w:rsidRPr="00375059" w:rsidRDefault="00201041" w:rsidP="00201041">
      <w:pPr>
        <w:spacing w:after="0" w:line="240" w:lineRule="auto"/>
        <w:jc w:val="center"/>
        <w:rPr>
          <w:rFonts w:ascii="Times New Roman" w:hAnsi="Times New Roman"/>
          <w:b/>
          <w:sz w:val="28"/>
          <w:szCs w:val="28"/>
        </w:rPr>
      </w:pPr>
      <w:r w:rsidRPr="00375059">
        <w:rPr>
          <w:rFonts w:ascii="Times New Roman" w:hAnsi="Times New Roman"/>
          <w:b/>
          <w:sz w:val="28"/>
          <w:szCs w:val="28"/>
        </w:rPr>
        <w:t>(без субъектов малого предпринимательства)</w:t>
      </w:r>
    </w:p>
    <w:p w14:paraId="584406AA" w14:textId="77777777" w:rsidR="00201041" w:rsidRPr="00375059" w:rsidRDefault="00201041" w:rsidP="00201041">
      <w:pPr>
        <w:widowControl w:val="0"/>
        <w:spacing w:after="0" w:line="240" w:lineRule="auto"/>
        <w:jc w:val="center"/>
        <w:rPr>
          <w:rFonts w:ascii="Times New Roman" w:eastAsia="Calibri" w:hAnsi="Times New Roman"/>
          <w:sz w:val="28"/>
          <w:szCs w:val="28"/>
        </w:rPr>
      </w:pPr>
      <w:r w:rsidRPr="00375059">
        <w:rPr>
          <w:rFonts w:ascii="Times New Roman" w:hAnsi="Times New Roman"/>
          <w:noProof/>
        </w:rPr>
        <w:drawing>
          <wp:inline distT="0" distB="0" distL="0" distR="0" wp14:anchorId="6F36E27B" wp14:editId="0D997ED3">
            <wp:extent cx="6045708" cy="3332531"/>
            <wp:effectExtent l="0" t="0" r="0" b="1270"/>
            <wp:docPr id="95" name="Диаграмма 95">
              <a:extLst xmlns:a="http://schemas.openxmlformats.org/drawingml/2006/main">
                <a:ext uri="{FF2B5EF4-FFF2-40B4-BE49-F238E27FC236}">
                  <a16:creationId xmlns:a16="http://schemas.microsoft.com/office/drawing/2014/main" id="{06F49290-2CE4-4D18-A3D0-2F389D0CF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4C07C34" w14:textId="77777777"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отчетном периоде заработная плата увеличилась у сотрудников троллейбусного транспорта (+23,4%), связи (+12,6%), сферы операций с недвижимостью (+14,9%) и сельского хозяйства (+8,4%). Также повышена оплата труда работников физкультуры, отдыха и туризма (+13,5%). </w:t>
      </w:r>
    </w:p>
    <w:p w14:paraId="3006190B" w14:textId="204E0C66" w:rsidR="00201041" w:rsidRPr="00375059" w:rsidRDefault="00201041" w:rsidP="00201041">
      <w:pPr>
        <w:widowControl w:val="0"/>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 xml:space="preserve">Рисунок </w:t>
      </w:r>
      <w:r w:rsidR="00540656">
        <w:rPr>
          <w:rFonts w:ascii="Times New Roman" w:hAnsi="Times New Roman"/>
          <w:b/>
          <w:i/>
          <w:sz w:val="28"/>
          <w:szCs w:val="28"/>
        </w:rPr>
        <w:t>41</w:t>
      </w:r>
    </w:p>
    <w:p w14:paraId="74FB7A62" w14:textId="176CA7B8" w:rsidR="00201041" w:rsidRPr="00375059" w:rsidRDefault="00201041" w:rsidP="00201041">
      <w:pPr>
        <w:widowControl w:val="0"/>
        <w:spacing w:after="0" w:line="240" w:lineRule="auto"/>
        <w:jc w:val="center"/>
        <w:rPr>
          <w:rFonts w:ascii="Times New Roman" w:hAnsi="Times New Roman"/>
          <w:b/>
          <w:sz w:val="28"/>
          <w:szCs w:val="24"/>
        </w:rPr>
      </w:pPr>
      <w:r w:rsidRPr="00375059">
        <w:rPr>
          <w:rFonts w:ascii="Times New Roman" w:hAnsi="Times New Roman"/>
          <w:b/>
          <w:bCs/>
          <w:kern w:val="24"/>
          <w:sz w:val="28"/>
          <w:szCs w:val="24"/>
        </w:rPr>
        <w:t xml:space="preserve">Динамика среднемесячной номинальной заработной платы </w:t>
      </w:r>
      <w:r w:rsidRPr="00375059">
        <w:rPr>
          <w:rFonts w:ascii="Times New Roman" w:hAnsi="Times New Roman"/>
          <w:b/>
          <w:bCs/>
          <w:kern w:val="24"/>
          <w:sz w:val="28"/>
          <w:szCs w:val="24"/>
        </w:rPr>
        <w:br/>
        <w:t>в разрезе подотраслей промышленности</w:t>
      </w:r>
      <w:r w:rsidR="005774B9">
        <w:rPr>
          <w:rFonts w:ascii="Times New Roman" w:hAnsi="Times New Roman"/>
          <w:b/>
          <w:bCs/>
          <w:kern w:val="24"/>
          <w:sz w:val="28"/>
          <w:szCs w:val="24"/>
        </w:rPr>
        <w:t xml:space="preserve"> (без учета субъектов МП)</w:t>
      </w:r>
      <w:r w:rsidRPr="00375059">
        <w:rPr>
          <w:rFonts w:ascii="Times New Roman" w:hAnsi="Times New Roman"/>
          <w:b/>
          <w:bCs/>
          <w:kern w:val="24"/>
          <w:sz w:val="28"/>
          <w:szCs w:val="24"/>
        </w:rPr>
        <w:t>, %</w:t>
      </w:r>
    </w:p>
    <w:p w14:paraId="53889C26" w14:textId="77777777" w:rsidR="00201041" w:rsidRPr="00375059" w:rsidRDefault="00201041" w:rsidP="0049764C">
      <w:pPr>
        <w:widowControl w:val="0"/>
        <w:spacing w:after="0" w:line="240" w:lineRule="auto"/>
        <w:jc w:val="both"/>
        <w:rPr>
          <w:rFonts w:ascii="Times New Roman" w:hAnsi="Times New Roman"/>
          <w:sz w:val="28"/>
          <w:szCs w:val="28"/>
        </w:rPr>
      </w:pPr>
      <w:r w:rsidRPr="00375059">
        <w:rPr>
          <w:rFonts w:ascii="Times New Roman" w:hAnsi="Times New Roman"/>
          <w:noProof/>
        </w:rPr>
        <w:drawing>
          <wp:inline distT="0" distB="0" distL="0" distR="0" wp14:anchorId="1363CF49" wp14:editId="54A32C82">
            <wp:extent cx="6202358" cy="2914518"/>
            <wp:effectExtent l="0" t="0" r="8255" b="635"/>
            <wp:docPr id="96" name="Диаграмма 96">
              <a:extLst xmlns:a="http://schemas.openxmlformats.org/drawingml/2006/main">
                <a:ext uri="{FF2B5EF4-FFF2-40B4-BE49-F238E27FC236}">
                  <a16:creationId xmlns:a16="http://schemas.microsoft.com/office/drawing/2014/main" id="{06F49290-2CE4-4D18-A3D0-2F389D0CF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7232F30" w14:textId="486C6E70" w:rsidR="005774B9" w:rsidRPr="00375059" w:rsidRDefault="005774B9" w:rsidP="001463C8">
      <w:pPr>
        <w:widowControl w:val="0"/>
        <w:spacing w:after="0" w:line="240" w:lineRule="auto"/>
        <w:ind w:firstLine="567"/>
        <w:jc w:val="both"/>
        <w:rPr>
          <w:rFonts w:ascii="Times New Roman" w:hAnsi="Times New Roman"/>
          <w:b/>
          <w:i/>
          <w:sz w:val="28"/>
          <w:szCs w:val="28"/>
        </w:rPr>
      </w:pPr>
      <w:r w:rsidRPr="00375059">
        <w:rPr>
          <w:rFonts w:ascii="Times New Roman" w:hAnsi="Times New Roman"/>
          <w:sz w:val="28"/>
          <w:szCs w:val="28"/>
        </w:rPr>
        <w:t xml:space="preserve">Размер среднемесячной заработной платы </w:t>
      </w:r>
      <w:r w:rsidRPr="00375059">
        <w:rPr>
          <w:rFonts w:ascii="Times New Roman" w:hAnsi="Times New Roman"/>
          <w:b/>
          <w:sz w:val="28"/>
          <w:szCs w:val="28"/>
        </w:rPr>
        <w:t xml:space="preserve">в индустриальном секторе </w:t>
      </w:r>
      <w:r w:rsidRPr="00375059">
        <w:rPr>
          <w:rFonts w:ascii="Times New Roman" w:hAnsi="Times New Roman"/>
          <w:sz w:val="28"/>
          <w:szCs w:val="28"/>
        </w:rPr>
        <w:t xml:space="preserve">составил 7 283 руб., что на 33,0% выше общереспубликанского уровня и на 7,0% – среднего показателя во внебюджетном секторе. В разрезе подотраслей повышение отмечено во всех отраслях: от +1,6% в полиграфической </w:t>
      </w:r>
      <w:r w:rsidRPr="00375059">
        <w:rPr>
          <w:rFonts w:ascii="Times New Roman" w:hAnsi="Times New Roman"/>
          <w:sz w:val="28"/>
          <w:szCs w:val="28"/>
        </w:rPr>
        <w:lastRenderedPageBreak/>
        <w:t xml:space="preserve">промышленности до +34,1% в деревообрабатывающей промышленности </w:t>
      </w:r>
      <w:r w:rsidRPr="00375059">
        <w:rPr>
          <w:rFonts w:ascii="Times New Roman" w:hAnsi="Times New Roman"/>
          <w:sz w:val="28"/>
          <w:szCs w:val="28"/>
        </w:rPr>
        <w:br/>
        <w:t xml:space="preserve">(рис. </w:t>
      </w:r>
      <w:r w:rsidR="00540656">
        <w:rPr>
          <w:rFonts w:ascii="Times New Roman" w:hAnsi="Times New Roman"/>
          <w:sz w:val="28"/>
          <w:szCs w:val="28"/>
        </w:rPr>
        <w:t>41</w:t>
      </w:r>
      <w:r w:rsidRPr="00375059">
        <w:rPr>
          <w:rFonts w:ascii="Times New Roman" w:hAnsi="Times New Roman"/>
          <w:sz w:val="28"/>
          <w:szCs w:val="28"/>
        </w:rPr>
        <w:t>).</w:t>
      </w:r>
    </w:p>
    <w:p w14:paraId="3ADB3BEA" w14:textId="77777777"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С 1 мая 2021 года было произведено увеличение на 8% лимитов на оплату труда врачей и педагогов при сохранении дополнительных выплат и надбавок медицинским работникам, а также на 4% – лимитов на оплату труда для госучреждений, реализующих пилотные проекты. В связи с этим средняя номинальная заработная плата занятых в </w:t>
      </w:r>
      <w:r w:rsidRPr="00375059">
        <w:rPr>
          <w:rFonts w:ascii="Times New Roman" w:hAnsi="Times New Roman"/>
          <w:b/>
          <w:sz w:val="28"/>
          <w:szCs w:val="28"/>
        </w:rPr>
        <w:t>бюджетном секторе</w:t>
      </w:r>
      <w:r w:rsidRPr="00375059">
        <w:rPr>
          <w:rFonts w:ascii="Times New Roman" w:hAnsi="Times New Roman"/>
          <w:sz w:val="28"/>
          <w:szCs w:val="28"/>
        </w:rPr>
        <w:t xml:space="preserve"> увеличилась до 3 894 руб. (+11,0% к отметке 2020 года), что обеспечило сокращение отставания от среднего значения по экономике до 28,9% (29,3% в 2020 году).</w:t>
      </w:r>
    </w:p>
    <w:p w14:paraId="12C67A12" w14:textId="59294F1E" w:rsidR="0049764C" w:rsidRPr="00375059" w:rsidRDefault="00201041" w:rsidP="001463C8">
      <w:pPr>
        <w:widowControl w:val="0"/>
        <w:spacing w:after="0" w:line="240" w:lineRule="auto"/>
        <w:ind w:firstLine="567"/>
        <w:jc w:val="both"/>
        <w:rPr>
          <w:rFonts w:ascii="Times New Roman" w:hAnsi="Times New Roman"/>
          <w:b/>
          <w:i/>
          <w:sz w:val="28"/>
          <w:szCs w:val="28"/>
        </w:rPr>
      </w:pPr>
      <w:r w:rsidRPr="00375059">
        <w:rPr>
          <w:rFonts w:ascii="Times New Roman" w:hAnsi="Times New Roman"/>
          <w:sz w:val="28"/>
          <w:szCs w:val="28"/>
        </w:rPr>
        <w:t>В рамках реализуемых государством ряда мероприятий достигнут рост заработной платы работников сельского хозяйства (+12,1%), жилищно-коммунального хозяйства (+11,2%) (рис. 4</w:t>
      </w:r>
      <w:r w:rsidR="00540656">
        <w:rPr>
          <w:rFonts w:ascii="Times New Roman" w:hAnsi="Times New Roman"/>
          <w:sz w:val="28"/>
          <w:szCs w:val="28"/>
        </w:rPr>
        <w:t>2</w:t>
      </w:r>
      <w:r w:rsidRPr="00375059">
        <w:rPr>
          <w:rFonts w:ascii="Times New Roman" w:hAnsi="Times New Roman"/>
          <w:sz w:val="28"/>
          <w:szCs w:val="28"/>
        </w:rPr>
        <w:t>).</w:t>
      </w:r>
    </w:p>
    <w:p w14:paraId="14EB1562" w14:textId="75901719" w:rsidR="00201041" w:rsidRPr="00375059" w:rsidRDefault="00201041" w:rsidP="00201041">
      <w:pPr>
        <w:spacing w:after="0"/>
        <w:jc w:val="right"/>
        <w:rPr>
          <w:rFonts w:ascii="Times New Roman" w:hAnsi="Times New Roman"/>
          <w:b/>
          <w:i/>
          <w:sz w:val="28"/>
          <w:szCs w:val="28"/>
        </w:rPr>
      </w:pPr>
      <w:r w:rsidRPr="00375059">
        <w:rPr>
          <w:rFonts w:ascii="Times New Roman" w:hAnsi="Times New Roman"/>
          <w:b/>
          <w:i/>
          <w:sz w:val="28"/>
          <w:szCs w:val="28"/>
        </w:rPr>
        <w:t>Рисунок 4</w:t>
      </w:r>
      <w:r w:rsidR="00540656">
        <w:rPr>
          <w:rFonts w:ascii="Times New Roman" w:hAnsi="Times New Roman"/>
          <w:b/>
          <w:i/>
          <w:sz w:val="28"/>
          <w:szCs w:val="28"/>
        </w:rPr>
        <w:t>2</w:t>
      </w:r>
    </w:p>
    <w:p w14:paraId="19A01371" w14:textId="77777777" w:rsidR="00201041" w:rsidRPr="00375059" w:rsidRDefault="00201041" w:rsidP="00201041">
      <w:pPr>
        <w:spacing w:after="0" w:line="240" w:lineRule="auto"/>
        <w:jc w:val="center"/>
        <w:rPr>
          <w:rFonts w:ascii="Times New Roman" w:hAnsi="Times New Roman"/>
          <w:b/>
          <w:bCs/>
          <w:sz w:val="28"/>
          <w:szCs w:val="24"/>
        </w:rPr>
      </w:pPr>
      <w:r w:rsidRPr="00375059">
        <w:rPr>
          <w:rFonts w:ascii="Times New Roman" w:hAnsi="Times New Roman"/>
          <w:b/>
          <w:bCs/>
          <w:sz w:val="28"/>
          <w:szCs w:val="24"/>
        </w:rPr>
        <w:t>Динамика оплаты труда в бюджетном секторе, руб.</w:t>
      </w:r>
    </w:p>
    <w:p w14:paraId="2D168A6D" w14:textId="77777777" w:rsidR="00201041" w:rsidRPr="00375059" w:rsidRDefault="00201041" w:rsidP="00201041">
      <w:pPr>
        <w:spacing w:after="0" w:line="240" w:lineRule="auto"/>
        <w:jc w:val="center"/>
        <w:rPr>
          <w:rFonts w:ascii="Times New Roman" w:hAnsi="Times New Roman"/>
          <w:b/>
          <w:i/>
          <w:sz w:val="28"/>
          <w:szCs w:val="24"/>
        </w:rPr>
      </w:pPr>
      <w:r w:rsidRPr="00375059">
        <w:rPr>
          <w:rFonts w:ascii="Times New Roman" w:hAnsi="Times New Roman"/>
          <w:b/>
          <w:iCs/>
          <w:sz w:val="28"/>
          <w:szCs w:val="24"/>
        </w:rPr>
        <w:t>(без силовых структур</w:t>
      </w:r>
      <w:r w:rsidRPr="00375059">
        <w:rPr>
          <w:rFonts w:ascii="Times New Roman" w:hAnsi="Times New Roman"/>
          <w:b/>
          <w:sz w:val="28"/>
          <w:szCs w:val="24"/>
        </w:rPr>
        <w:t>)</w:t>
      </w:r>
    </w:p>
    <w:p w14:paraId="54C95029" w14:textId="77777777" w:rsidR="00201041" w:rsidRPr="00375059" w:rsidRDefault="00201041" w:rsidP="00201041">
      <w:pPr>
        <w:spacing w:after="0" w:line="240" w:lineRule="auto"/>
        <w:jc w:val="center"/>
        <w:rPr>
          <w:rFonts w:ascii="Times New Roman" w:hAnsi="Times New Roman"/>
          <w:i/>
          <w:sz w:val="28"/>
          <w:szCs w:val="24"/>
        </w:rPr>
      </w:pPr>
      <w:r w:rsidRPr="00375059">
        <w:rPr>
          <w:rFonts w:ascii="Times New Roman" w:hAnsi="Times New Roman"/>
          <w:noProof/>
        </w:rPr>
        <w:drawing>
          <wp:inline distT="0" distB="0" distL="0" distR="0" wp14:anchorId="512E4F29" wp14:editId="7FE2B26E">
            <wp:extent cx="5972535" cy="3487948"/>
            <wp:effectExtent l="0" t="0" r="9525" b="17780"/>
            <wp:docPr id="97" name="Диаграмма 97">
              <a:extLst xmlns:a="http://schemas.openxmlformats.org/drawingml/2006/main">
                <a:ext uri="{FF2B5EF4-FFF2-40B4-BE49-F238E27FC236}">
                  <a16:creationId xmlns:a16="http://schemas.microsoft.com/office/drawing/2014/main" id="{06F49290-2CE4-4D18-A3D0-2F389D0CF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A15298F" w14:textId="77777777"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Средняя заработная плата в отрасли «Образование» (с учетом вспомогательного и обслуживающего персонала) в рассматриваемом периоде выросла на 10,0% и составила 3 459 руб. (63,2% среднереспубликанского уровня). В отрасли «Здравоохранение» (с учетом среднего и младшего медицинского, а также обслуживающего персонала) реализовано повышение на 15,5% до 4 773 руб., что позволило снизить отставание от среднего уровня по экономике до 12,9%.</w:t>
      </w:r>
    </w:p>
    <w:p w14:paraId="28E825AC" w14:textId="77777777"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По состоянию на 1 января 2022 года сумма задолженности по оплате труда в целом по республике (без субъектов малого предпринимательства, религиозных и некоммерческих организаций, силовых структур и таможенных органов) составила 3,9 млн руб. и сократилась относительно значения на аналогичную дату 2021 года на 8,7%. Задолженность накоплена </w:t>
      </w:r>
      <w:r w:rsidRPr="00375059">
        <w:rPr>
          <w:rFonts w:ascii="Times New Roman" w:hAnsi="Times New Roman"/>
          <w:sz w:val="28"/>
          <w:szCs w:val="28"/>
        </w:rPr>
        <w:lastRenderedPageBreak/>
        <w:t>во внебюджетном секторе организациями промышленности (50,1% показателя) и транспорта (49,9%).</w:t>
      </w:r>
    </w:p>
    <w:p w14:paraId="6CF9FF57"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Важной составляющей доходов населения и индикатором, характеризующим уровень жизни, являются </w:t>
      </w:r>
      <w:r w:rsidRPr="00375059">
        <w:rPr>
          <w:rFonts w:ascii="Times New Roman" w:hAnsi="Times New Roman"/>
          <w:b/>
          <w:sz w:val="28"/>
          <w:szCs w:val="28"/>
        </w:rPr>
        <w:t>пенсионные выплаты</w:t>
      </w:r>
      <w:r w:rsidRPr="00375059">
        <w:rPr>
          <w:rFonts w:ascii="Times New Roman" w:hAnsi="Times New Roman"/>
          <w:sz w:val="28"/>
          <w:szCs w:val="28"/>
        </w:rPr>
        <w:t>.</w:t>
      </w:r>
    </w:p>
    <w:p w14:paraId="3DF136E4" w14:textId="4505EFDF" w:rsidR="0049764C" w:rsidRPr="00375059" w:rsidRDefault="00201041" w:rsidP="001463C8">
      <w:pPr>
        <w:spacing w:after="0" w:line="240" w:lineRule="auto"/>
        <w:ind w:firstLine="567"/>
        <w:jc w:val="both"/>
        <w:rPr>
          <w:rFonts w:ascii="Times New Roman" w:hAnsi="Times New Roman"/>
          <w:b/>
          <w:i/>
          <w:sz w:val="28"/>
          <w:szCs w:val="28"/>
        </w:rPr>
      </w:pPr>
      <w:r w:rsidRPr="00375059">
        <w:rPr>
          <w:rFonts w:ascii="Times New Roman" w:hAnsi="Times New Roman"/>
          <w:sz w:val="28"/>
          <w:szCs w:val="28"/>
        </w:rPr>
        <w:t>На фоне выбытия пенсионеров старших возрастов и решений в пользу переоформления пенсий, число получателей пенсионных выплат в соответствии с законодательством Приднестровской Молдавской Республики по сравнению с уровнем прошлого года сократилось на 2 608 чел. (-2,7%) и составило  95 577 чел., средний размер пенсий с учетом надбавок и повышений сложился на отметке 1 438,4 руб. (+3,5%), что превышает прожиточный минимум пенсионера на 7,0% (рис. </w:t>
      </w:r>
      <w:r w:rsidR="00512021" w:rsidRPr="00375059">
        <w:rPr>
          <w:rFonts w:ascii="Times New Roman" w:hAnsi="Times New Roman"/>
          <w:sz w:val="28"/>
          <w:szCs w:val="28"/>
        </w:rPr>
        <w:t>4</w:t>
      </w:r>
      <w:r w:rsidR="00540656">
        <w:rPr>
          <w:rFonts w:ascii="Times New Roman" w:hAnsi="Times New Roman"/>
          <w:sz w:val="28"/>
          <w:szCs w:val="28"/>
        </w:rPr>
        <w:t>3</w:t>
      </w:r>
      <w:r w:rsidRPr="00375059">
        <w:rPr>
          <w:rFonts w:ascii="Times New Roman" w:hAnsi="Times New Roman"/>
          <w:sz w:val="28"/>
          <w:szCs w:val="28"/>
        </w:rPr>
        <w:t>).</w:t>
      </w:r>
    </w:p>
    <w:p w14:paraId="7717C3AE" w14:textId="3A69D7D0" w:rsidR="00201041" w:rsidRPr="00375059" w:rsidRDefault="00201041" w:rsidP="00201041">
      <w:pPr>
        <w:spacing w:after="0" w:line="240" w:lineRule="auto"/>
        <w:ind w:hanging="142"/>
        <w:jc w:val="right"/>
        <w:rPr>
          <w:rFonts w:ascii="Times New Roman" w:hAnsi="Times New Roman"/>
          <w:b/>
          <w:i/>
          <w:sz w:val="28"/>
          <w:szCs w:val="28"/>
        </w:rPr>
      </w:pPr>
      <w:r w:rsidRPr="00375059">
        <w:rPr>
          <w:rFonts w:ascii="Times New Roman" w:hAnsi="Times New Roman"/>
          <w:b/>
          <w:i/>
          <w:sz w:val="28"/>
          <w:szCs w:val="28"/>
        </w:rPr>
        <w:t xml:space="preserve">Рисунок </w:t>
      </w:r>
      <w:r w:rsidR="00512021" w:rsidRPr="00375059">
        <w:rPr>
          <w:rFonts w:ascii="Times New Roman" w:hAnsi="Times New Roman"/>
          <w:b/>
          <w:i/>
          <w:sz w:val="28"/>
          <w:szCs w:val="28"/>
        </w:rPr>
        <w:t>4</w:t>
      </w:r>
      <w:r w:rsidR="00540656">
        <w:rPr>
          <w:rFonts w:ascii="Times New Roman" w:hAnsi="Times New Roman"/>
          <w:b/>
          <w:i/>
          <w:sz w:val="28"/>
          <w:szCs w:val="28"/>
        </w:rPr>
        <w:t>3</w:t>
      </w:r>
    </w:p>
    <w:p w14:paraId="65BAD9B4" w14:textId="77777777" w:rsidR="00201041" w:rsidRPr="00375059" w:rsidRDefault="00201041" w:rsidP="00201041">
      <w:pPr>
        <w:spacing w:after="0" w:line="240" w:lineRule="auto"/>
        <w:jc w:val="center"/>
        <w:rPr>
          <w:rFonts w:ascii="Times New Roman" w:hAnsi="Times New Roman"/>
          <w:b/>
          <w:bCs/>
          <w:i/>
          <w:sz w:val="28"/>
          <w:szCs w:val="28"/>
        </w:rPr>
      </w:pPr>
      <w:r w:rsidRPr="00375059">
        <w:rPr>
          <w:rFonts w:ascii="Times New Roman" w:hAnsi="Times New Roman"/>
          <w:b/>
          <w:bCs/>
          <w:sz w:val="28"/>
          <w:szCs w:val="28"/>
        </w:rPr>
        <w:t>Динамика среднегодовой назначенной месячной пенсии и величины прожиточного минимума пенсионера, руб</w:t>
      </w:r>
      <w:r w:rsidRPr="00375059">
        <w:rPr>
          <w:rFonts w:ascii="Times New Roman" w:hAnsi="Times New Roman"/>
          <w:b/>
          <w:bCs/>
          <w:i/>
          <w:sz w:val="28"/>
          <w:szCs w:val="28"/>
        </w:rPr>
        <w:t>.</w:t>
      </w:r>
    </w:p>
    <w:p w14:paraId="1C669E7C" w14:textId="77777777" w:rsidR="00201041" w:rsidRPr="00375059" w:rsidRDefault="00201041" w:rsidP="00201041">
      <w:pPr>
        <w:spacing w:after="0" w:line="240" w:lineRule="auto"/>
        <w:jc w:val="center"/>
        <w:rPr>
          <w:rFonts w:ascii="Times New Roman" w:hAnsi="Times New Roman"/>
          <w:b/>
          <w:bCs/>
          <w:i/>
          <w:sz w:val="28"/>
          <w:szCs w:val="28"/>
        </w:rPr>
      </w:pPr>
      <w:bookmarkStart w:id="40" w:name="_Hlk100819799"/>
      <w:r w:rsidRPr="00375059">
        <w:rPr>
          <w:rFonts w:ascii="Times New Roman" w:hAnsi="Times New Roman"/>
          <w:b/>
          <w:i/>
          <w:noProof/>
          <w:sz w:val="28"/>
          <w:szCs w:val="28"/>
        </w:rPr>
        <w:drawing>
          <wp:inline distT="0" distB="0" distL="0" distR="0" wp14:anchorId="20139AC0" wp14:editId="638814A3">
            <wp:extent cx="5934973" cy="2202180"/>
            <wp:effectExtent l="0" t="0" r="8890" b="762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End w:id="40"/>
    </w:p>
    <w:p w14:paraId="27DAC275"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целях повышения материального благосостояния пенсионеров республики, каждому получателю пенсии выплачивалась ежемесячная гуманитарная помощь Российской Федерации в размере 150 руб.</w:t>
      </w:r>
    </w:p>
    <w:p w14:paraId="0E62B9F4"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Расходы по осуществлению основных функций бюджета по пенсионному обеспечению (страхованию) составили 2 057,1 млн руб. (выполнение плана – 99,0%) и производились за счет следующих источников:</w:t>
      </w:r>
    </w:p>
    <w:p w14:paraId="7C8488FF" w14:textId="77777777" w:rsidR="00201041" w:rsidRPr="00375059" w:rsidRDefault="00201041" w:rsidP="001463C8">
      <w:pPr>
        <w:numPr>
          <w:ilvl w:val="0"/>
          <w:numId w:val="5"/>
        </w:numPr>
        <w:tabs>
          <w:tab w:val="left" w:pos="284"/>
        </w:tabs>
        <w:spacing w:after="0" w:line="240" w:lineRule="auto"/>
        <w:ind w:left="0" w:firstLine="567"/>
        <w:contextualSpacing/>
        <w:jc w:val="both"/>
        <w:rPr>
          <w:rFonts w:ascii="Times New Roman" w:hAnsi="Times New Roman"/>
          <w:sz w:val="28"/>
          <w:szCs w:val="28"/>
        </w:rPr>
      </w:pPr>
      <w:r w:rsidRPr="00375059">
        <w:rPr>
          <w:rFonts w:ascii="Times New Roman" w:hAnsi="Times New Roman"/>
          <w:sz w:val="28"/>
          <w:szCs w:val="28"/>
        </w:rPr>
        <w:t>средств Единого государственного фонда социального страхования Приднестровской Молдавской Республики – 1 600,1 млн руб., или 77,8% расходов;</w:t>
      </w:r>
    </w:p>
    <w:p w14:paraId="0388AA28" w14:textId="77777777" w:rsidR="00201041" w:rsidRPr="00375059" w:rsidRDefault="00201041" w:rsidP="001463C8">
      <w:pPr>
        <w:numPr>
          <w:ilvl w:val="0"/>
          <w:numId w:val="5"/>
        </w:numPr>
        <w:tabs>
          <w:tab w:val="left" w:pos="709"/>
        </w:tabs>
        <w:spacing w:after="0" w:line="240" w:lineRule="auto"/>
        <w:ind w:left="0" w:firstLine="567"/>
        <w:contextualSpacing/>
        <w:jc w:val="both"/>
        <w:rPr>
          <w:rFonts w:ascii="Times New Roman" w:hAnsi="Times New Roman"/>
          <w:sz w:val="28"/>
          <w:szCs w:val="28"/>
        </w:rPr>
      </w:pPr>
      <w:r w:rsidRPr="00375059">
        <w:rPr>
          <w:rFonts w:ascii="Times New Roman" w:hAnsi="Times New Roman"/>
          <w:sz w:val="28"/>
          <w:szCs w:val="28"/>
        </w:rPr>
        <w:t>средств республиканского бюджета – 195,4 млн руб., или 9,5%;</w:t>
      </w:r>
    </w:p>
    <w:p w14:paraId="2CF47C67" w14:textId="00CB71EB" w:rsidR="00201041" w:rsidRPr="00375059" w:rsidRDefault="00201041" w:rsidP="001463C8">
      <w:pPr>
        <w:numPr>
          <w:ilvl w:val="0"/>
          <w:numId w:val="5"/>
        </w:numPr>
        <w:tabs>
          <w:tab w:val="left" w:pos="851"/>
        </w:tabs>
        <w:spacing w:after="0" w:line="240" w:lineRule="auto"/>
        <w:ind w:left="0" w:firstLine="567"/>
        <w:contextualSpacing/>
        <w:jc w:val="both"/>
        <w:rPr>
          <w:rFonts w:ascii="Times New Roman" w:hAnsi="Times New Roman"/>
          <w:sz w:val="28"/>
          <w:szCs w:val="28"/>
        </w:rPr>
      </w:pPr>
      <w:r w:rsidRPr="00375059">
        <w:rPr>
          <w:rFonts w:ascii="Times New Roman" w:hAnsi="Times New Roman"/>
          <w:sz w:val="28"/>
          <w:szCs w:val="28"/>
        </w:rPr>
        <w:t>средств гуманитарной помощи Российской Федерации –</w:t>
      </w:r>
      <w:r w:rsidR="0049764C" w:rsidRPr="00375059">
        <w:rPr>
          <w:rFonts w:ascii="Times New Roman" w:hAnsi="Times New Roman"/>
          <w:sz w:val="28"/>
          <w:szCs w:val="28"/>
        </w:rPr>
        <w:t xml:space="preserve"> </w:t>
      </w:r>
      <w:r w:rsidRPr="00375059">
        <w:rPr>
          <w:rFonts w:ascii="Times New Roman" w:hAnsi="Times New Roman"/>
          <w:sz w:val="28"/>
          <w:szCs w:val="28"/>
        </w:rPr>
        <w:t>261,6</w:t>
      </w:r>
      <w:r w:rsidR="0049764C" w:rsidRPr="00375059">
        <w:rPr>
          <w:rFonts w:ascii="Times New Roman" w:hAnsi="Times New Roman"/>
          <w:lang w:val="en-US"/>
        </w:rPr>
        <w:t> </w:t>
      </w:r>
      <w:r w:rsidRPr="00375059">
        <w:rPr>
          <w:rFonts w:ascii="Times New Roman" w:hAnsi="Times New Roman"/>
          <w:sz w:val="28"/>
          <w:szCs w:val="28"/>
        </w:rPr>
        <w:t>млн руб., или 12,7%.</w:t>
      </w:r>
    </w:p>
    <w:p w14:paraId="3A5533EA" w14:textId="59804A9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Расходы на выплату пенсий с надбавками и повышениями, начисляемых в соответствии с Законом Приднестровской Молдавской Республики от 17 февраля 2005 года № 537-З-III «О пенсионном обеспечении граждан в Приднестровской Молдавской Республике» (САЗ 05-08), составили 1 709,4</w:t>
      </w:r>
      <w:r w:rsidR="00190CE5">
        <w:rPr>
          <w:rFonts w:ascii="Times New Roman" w:hAnsi="Times New Roman"/>
          <w:sz w:val="28"/>
          <w:szCs w:val="28"/>
        </w:rPr>
        <w:t> </w:t>
      </w:r>
      <w:r w:rsidRPr="00375059">
        <w:rPr>
          <w:rFonts w:ascii="Times New Roman" w:hAnsi="Times New Roman"/>
          <w:sz w:val="28"/>
          <w:szCs w:val="28"/>
        </w:rPr>
        <w:t>млн  руб., или 99,0% от плана, что связано с отсутствием получателей по месту жительства в момент доставки пенсий, а также с уменьшением числа пенсионеров.</w:t>
      </w:r>
    </w:p>
    <w:p w14:paraId="589E2659" w14:textId="69ECA0C6" w:rsidR="00201041" w:rsidRPr="00375059" w:rsidRDefault="00201041" w:rsidP="001463C8">
      <w:pPr>
        <w:widowControl w:val="0"/>
        <w:spacing w:after="0" w:line="240" w:lineRule="auto"/>
        <w:ind w:firstLine="567"/>
        <w:jc w:val="both"/>
        <w:rPr>
          <w:rFonts w:ascii="Times New Roman" w:hAnsi="Times New Roman"/>
          <w:b/>
          <w:i/>
          <w:sz w:val="28"/>
          <w:szCs w:val="28"/>
        </w:rPr>
      </w:pPr>
      <w:r w:rsidRPr="00375059">
        <w:rPr>
          <w:rFonts w:ascii="Times New Roman" w:hAnsi="Times New Roman"/>
          <w:sz w:val="28"/>
          <w:szCs w:val="28"/>
        </w:rPr>
        <w:t xml:space="preserve">Величина </w:t>
      </w:r>
      <w:r w:rsidRPr="00375059">
        <w:rPr>
          <w:rFonts w:ascii="Times New Roman" w:hAnsi="Times New Roman"/>
          <w:b/>
          <w:sz w:val="28"/>
          <w:szCs w:val="28"/>
        </w:rPr>
        <w:t>прожиточного минимума</w:t>
      </w:r>
      <w:r w:rsidRPr="00375059">
        <w:rPr>
          <w:rFonts w:ascii="Times New Roman" w:hAnsi="Times New Roman"/>
          <w:sz w:val="28"/>
          <w:szCs w:val="28"/>
        </w:rPr>
        <w:t xml:space="preserve">, определяющая минимально </w:t>
      </w:r>
      <w:r w:rsidRPr="00375059">
        <w:rPr>
          <w:rFonts w:ascii="Times New Roman" w:hAnsi="Times New Roman"/>
          <w:sz w:val="28"/>
          <w:szCs w:val="28"/>
        </w:rPr>
        <w:lastRenderedPageBreak/>
        <w:t>допустимый уровень потребления человеком товаров и услуг, обеспечивающих удовлетворение физиологических, социально-культурных и иных базовых потребностей, в 2021 году в среднем на душу населения составила 1 585,0 руб. (+3,0%), в том числе расходы на питание – 802,2 руб. (+5,0%) или 50,6% от общего показателя. Затраты на непродовольственные товары – 307,9 руб. (+1,3%), оплата жилищно-коммунальных услуг – 448,0</w:t>
      </w:r>
      <w:r w:rsidR="00190CE5">
        <w:rPr>
          <w:rFonts w:ascii="Times New Roman" w:hAnsi="Times New Roman"/>
          <w:sz w:val="28"/>
          <w:szCs w:val="28"/>
        </w:rPr>
        <w:t> </w:t>
      </w:r>
      <w:r w:rsidRPr="00375059">
        <w:rPr>
          <w:rFonts w:ascii="Times New Roman" w:hAnsi="Times New Roman"/>
          <w:sz w:val="28"/>
          <w:szCs w:val="28"/>
        </w:rPr>
        <w:t xml:space="preserve">руб. (+0,7%), обязательные платежи и сборы – 26,9 руб. (+1,4%) </w:t>
      </w:r>
      <w:r w:rsidR="00AA381B">
        <w:rPr>
          <w:rFonts w:ascii="Times New Roman" w:hAnsi="Times New Roman"/>
          <w:sz w:val="28"/>
          <w:szCs w:val="28"/>
        </w:rPr>
        <w:br/>
      </w:r>
      <w:r w:rsidRPr="00375059">
        <w:rPr>
          <w:rFonts w:ascii="Times New Roman" w:hAnsi="Times New Roman"/>
          <w:sz w:val="28"/>
          <w:szCs w:val="28"/>
        </w:rPr>
        <w:t xml:space="preserve">(рис. </w:t>
      </w:r>
      <w:r w:rsidR="00512021" w:rsidRPr="00375059">
        <w:rPr>
          <w:rFonts w:ascii="Times New Roman" w:hAnsi="Times New Roman"/>
          <w:sz w:val="28"/>
          <w:szCs w:val="28"/>
        </w:rPr>
        <w:t>4</w:t>
      </w:r>
      <w:r w:rsidR="00540656">
        <w:rPr>
          <w:rFonts w:ascii="Times New Roman" w:hAnsi="Times New Roman"/>
          <w:sz w:val="28"/>
          <w:szCs w:val="28"/>
        </w:rPr>
        <w:t>4</w:t>
      </w:r>
      <w:r w:rsidRPr="00375059">
        <w:rPr>
          <w:rFonts w:ascii="Times New Roman" w:hAnsi="Times New Roman"/>
          <w:sz w:val="28"/>
          <w:szCs w:val="28"/>
        </w:rPr>
        <w:t>).</w:t>
      </w:r>
    </w:p>
    <w:p w14:paraId="46320BA8" w14:textId="080793F0" w:rsidR="00201041" w:rsidRPr="00375059" w:rsidRDefault="00201041" w:rsidP="00201041">
      <w:pPr>
        <w:spacing w:after="0" w:line="240" w:lineRule="auto"/>
        <w:ind w:firstLine="709"/>
        <w:jc w:val="right"/>
        <w:rPr>
          <w:rFonts w:ascii="Times New Roman" w:hAnsi="Times New Roman"/>
          <w:b/>
          <w:i/>
          <w:sz w:val="28"/>
          <w:szCs w:val="28"/>
        </w:rPr>
      </w:pPr>
      <w:r w:rsidRPr="00375059">
        <w:rPr>
          <w:rFonts w:ascii="Times New Roman" w:hAnsi="Times New Roman"/>
          <w:b/>
          <w:i/>
          <w:sz w:val="28"/>
          <w:szCs w:val="28"/>
        </w:rPr>
        <w:t xml:space="preserve">Рисунок </w:t>
      </w:r>
      <w:r w:rsidR="00512021" w:rsidRPr="00375059">
        <w:rPr>
          <w:rFonts w:ascii="Times New Roman" w:hAnsi="Times New Roman"/>
          <w:b/>
          <w:i/>
          <w:sz w:val="28"/>
          <w:szCs w:val="28"/>
        </w:rPr>
        <w:t>4</w:t>
      </w:r>
      <w:r w:rsidR="00540656">
        <w:rPr>
          <w:rFonts w:ascii="Times New Roman" w:hAnsi="Times New Roman"/>
          <w:b/>
          <w:i/>
          <w:sz w:val="28"/>
          <w:szCs w:val="28"/>
        </w:rPr>
        <w:t>4</w:t>
      </w:r>
    </w:p>
    <w:p w14:paraId="08F61862" w14:textId="77777777" w:rsidR="00201041" w:rsidRPr="00375059" w:rsidRDefault="00201041" w:rsidP="00201041">
      <w:pPr>
        <w:spacing w:after="0" w:line="240" w:lineRule="auto"/>
        <w:jc w:val="center"/>
        <w:rPr>
          <w:rFonts w:ascii="Times New Roman" w:hAnsi="Times New Roman"/>
          <w:sz w:val="24"/>
          <w:szCs w:val="24"/>
        </w:rPr>
      </w:pPr>
      <w:r w:rsidRPr="00375059">
        <w:rPr>
          <w:rFonts w:ascii="Times New Roman" w:hAnsi="Times New Roman"/>
          <w:b/>
          <w:bCs/>
          <w:color w:val="000000"/>
          <w:kern w:val="24"/>
          <w:sz w:val="28"/>
          <w:szCs w:val="24"/>
        </w:rPr>
        <w:t>Структура прожиточного минимума в среднем на душу населения, руб</w:t>
      </w:r>
      <w:r w:rsidRPr="00375059">
        <w:rPr>
          <w:rFonts w:ascii="Times New Roman" w:hAnsi="Times New Roman"/>
          <w:b/>
          <w:bCs/>
          <w:color w:val="000000"/>
          <w:kern w:val="24"/>
          <w:sz w:val="24"/>
          <w:szCs w:val="24"/>
        </w:rPr>
        <w:t>.</w:t>
      </w:r>
    </w:p>
    <w:p w14:paraId="64120DBD" w14:textId="77777777" w:rsidR="00201041" w:rsidRPr="00375059" w:rsidRDefault="00201041" w:rsidP="00201041">
      <w:pPr>
        <w:spacing w:after="0" w:line="240" w:lineRule="auto"/>
        <w:jc w:val="center"/>
        <w:rPr>
          <w:rFonts w:ascii="Times New Roman" w:hAnsi="Times New Roman"/>
          <w:b/>
          <w:i/>
          <w:sz w:val="28"/>
          <w:szCs w:val="28"/>
        </w:rPr>
      </w:pPr>
      <w:r w:rsidRPr="00375059">
        <w:rPr>
          <w:rFonts w:ascii="Times New Roman" w:hAnsi="Times New Roman"/>
          <w:b/>
          <w:noProof/>
          <w:color w:val="FF0000"/>
        </w:rPr>
        <w:drawing>
          <wp:inline distT="0" distB="0" distL="0" distR="0" wp14:anchorId="2FBC5B89" wp14:editId="17DDED82">
            <wp:extent cx="5886450" cy="2543175"/>
            <wp:effectExtent l="0" t="0" r="0" b="0"/>
            <wp:docPr id="253"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3A5F6F6" w14:textId="4809CD1B"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 разрезе социально-демографических групп населения величина прожиточного минимума сложилась следующим образом</w:t>
      </w:r>
      <w:r w:rsidR="00512021" w:rsidRPr="00375059">
        <w:rPr>
          <w:rFonts w:ascii="Times New Roman" w:hAnsi="Times New Roman"/>
          <w:sz w:val="28"/>
          <w:szCs w:val="28"/>
        </w:rPr>
        <w:t xml:space="preserve"> (табл.6).</w:t>
      </w:r>
    </w:p>
    <w:p w14:paraId="30FFF30A" w14:textId="0E03985A" w:rsidR="00201041" w:rsidRPr="00375059" w:rsidRDefault="00201041" w:rsidP="00201041">
      <w:pPr>
        <w:widowControl w:val="0"/>
        <w:spacing w:after="0" w:line="240" w:lineRule="auto"/>
        <w:ind w:firstLine="426"/>
        <w:jc w:val="right"/>
        <w:rPr>
          <w:rFonts w:ascii="Times New Roman" w:hAnsi="Times New Roman"/>
          <w:b/>
          <w:bCs/>
          <w:i/>
          <w:sz w:val="28"/>
          <w:szCs w:val="28"/>
        </w:rPr>
      </w:pPr>
      <w:r w:rsidRPr="00375059">
        <w:rPr>
          <w:rFonts w:ascii="Times New Roman" w:hAnsi="Times New Roman"/>
          <w:b/>
          <w:bCs/>
          <w:i/>
          <w:sz w:val="28"/>
          <w:szCs w:val="28"/>
        </w:rPr>
        <w:t xml:space="preserve">Таблица </w:t>
      </w:r>
      <w:r w:rsidR="00512021" w:rsidRPr="00375059">
        <w:rPr>
          <w:rFonts w:ascii="Times New Roman" w:hAnsi="Times New Roman"/>
          <w:b/>
          <w:bCs/>
          <w:i/>
          <w:sz w:val="28"/>
          <w:szCs w:val="28"/>
        </w:rPr>
        <w:t>6</w:t>
      </w:r>
    </w:p>
    <w:p w14:paraId="661B9EE5" w14:textId="77777777" w:rsidR="00201041" w:rsidRPr="00375059" w:rsidRDefault="00201041" w:rsidP="00CE10DF">
      <w:pPr>
        <w:widowControl w:val="0"/>
        <w:spacing w:after="0" w:line="240" w:lineRule="auto"/>
        <w:jc w:val="center"/>
        <w:rPr>
          <w:rFonts w:ascii="Times New Roman" w:hAnsi="Times New Roman"/>
          <w:b/>
          <w:sz w:val="28"/>
          <w:szCs w:val="28"/>
        </w:rPr>
      </w:pPr>
      <w:r w:rsidRPr="00375059">
        <w:rPr>
          <w:rFonts w:ascii="Times New Roman" w:hAnsi="Times New Roman"/>
          <w:b/>
          <w:sz w:val="28"/>
          <w:szCs w:val="28"/>
        </w:rPr>
        <w:t>Величина прожиточного минимума за 2021 год,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854"/>
        <w:gridCol w:w="1856"/>
        <w:gridCol w:w="1374"/>
      </w:tblGrid>
      <w:tr w:rsidR="00201041" w:rsidRPr="00375059" w14:paraId="09A5C3DD" w14:textId="77777777" w:rsidTr="002706DB">
        <w:trPr>
          <w:trHeight w:val="365"/>
          <w:jc w:val="center"/>
        </w:trPr>
        <w:tc>
          <w:tcPr>
            <w:tcW w:w="2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ABB658" w14:textId="77777777" w:rsidR="00201041" w:rsidRPr="00375059" w:rsidRDefault="00201041" w:rsidP="00CE10DF">
            <w:pPr>
              <w:widowControl w:val="0"/>
              <w:spacing w:after="0" w:line="240" w:lineRule="auto"/>
              <w:ind w:left="34"/>
              <w:jc w:val="center"/>
              <w:rPr>
                <w:rFonts w:ascii="Times New Roman" w:hAnsi="Times New Roman"/>
                <w:b/>
                <w:sz w:val="24"/>
              </w:rPr>
            </w:pPr>
            <w:r w:rsidRPr="00375059">
              <w:rPr>
                <w:rFonts w:ascii="Times New Roman" w:hAnsi="Times New Roman"/>
                <w:b/>
                <w:sz w:val="24"/>
              </w:rPr>
              <w:t>Показатель</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7F312C" w14:textId="77777777" w:rsidR="00201041" w:rsidRPr="00375059" w:rsidRDefault="00201041" w:rsidP="00CE10DF">
            <w:pPr>
              <w:widowControl w:val="0"/>
              <w:spacing w:after="0"/>
              <w:ind w:left="-76" w:right="-96"/>
              <w:jc w:val="center"/>
              <w:rPr>
                <w:rFonts w:ascii="Times New Roman" w:hAnsi="Times New Roman"/>
                <w:b/>
                <w:sz w:val="24"/>
              </w:rPr>
            </w:pPr>
            <w:r w:rsidRPr="00375059">
              <w:rPr>
                <w:rFonts w:ascii="Times New Roman" w:hAnsi="Times New Roman"/>
                <w:b/>
                <w:sz w:val="24"/>
              </w:rPr>
              <w:t>2020 год</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E51B5" w14:textId="77777777" w:rsidR="00201041" w:rsidRPr="00375059" w:rsidRDefault="00201041" w:rsidP="00CE10DF">
            <w:pPr>
              <w:widowControl w:val="0"/>
              <w:spacing w:after="0"/>
              <w:ind w:left="34" w:right="-107"/>
              <w:jc w:val="center"/>
              <w:rPr>
                <w:rFonts w:ascii="Times New Roman" w:hAnsi="Times New Roman"/>
                <w:b/>
                <w:sz w:val="24"/>
              </w:rPr>
            </w:pPr>
            <w:r w:rsidRPr="00375059">
              <w:rPr>
                <w:rFonts w:ascii="Times New Roman" w:hAnsi="Times New Roman"/>
                <w:b/>
                <w:sz w:val="24"/>
              </w:rPr>
              <w:t>2021 год</w:t>
            </w:r>
          </w:p>
        </w:tc>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155CF" w14:textId="42577EB0" w:rsidR="00201041" w:rsidRPr="00375059" w:rsidRDefault="00E16DD0" w:rsidP="00CE10DF">
            <w:pPr>
              <w:widowControl w:val="0"/>
              <w:spacing w:after="0" w:line="240" w:lineRule="auto"/>
              <w:ind w:firstLine="34"/>
              <w:jc w:val="center"/>
              <w:rPr>
                <w:rFonts w:ascii="Times New Roman" w:hAnsi="Times New Roman"/>
                <w:b/>
                <w:sz w:val="24"/>
              </w:rPr>
            </w:pPr>
            <w:r w:rsidRPr="00375059">
              <w:rPr>
                <w:rFonts w:ascii="Times New Roman" w:hAnsi="Times New Roman"/>
                <w:b/>
                <w:sz w:val="24"/>
              </w:rPr>
              <w:t>темп роста к 2020 году, %</w:t>
            </w:r>
          </w:p>
        </w:tc>
      </w:tr>
      <w:tr w:rsidR="00201041" w:rsidRPr="00375059" w14:paraId="02016AA5" w14:textId="77777777" w:rsidTr="002706DB">
        <w:trPr>
          <w:trHeight w:val="244"/>
          <w:jc w:val="center"/>
        </w:trPr>
        <w:tc>
          <w:tcPr>
            <w:tcW w:w="2280" w:type="pct"/>
            <w:tcBorders>
              <w:top w:val="single" w:sz="4" w:space="0" w:color="auto"/>
              <w:left w:val="single" w:sz="4" w:space="0" w:color="auto"/>
              <w:bottom w:val="single" w:sz="4" w:space="0" w:color="auto"/>
              <w:right w:val="single" w:sz="4" w:space="0" w:color="auto"/>
            </w:tcBorders>
            <w:hideMark/>
          </w:tcPr>
          <w:p w14:paraId="3757AAB6" w14:textId="77777777" w:rsidR="00201041" w:rsidRPr="00375059" w:rsidRDefault="00201041" w:rsidP="00201041">
            <w:pPr>
              <w:widowControl w:val="0"/>
              <w:spacing w:after="0" w:line="240" w:lineRule="auto"/>
              <w:ind w:left="34"/>
              <w:rPr>
                <w:rFonts w:ascii="Times New Roman" w:hAnsi="Times New Roman"/>
                <w:sz w:val="24"/>
              </w:rPr>
            </w:pPr>
            <w:r w:rsidRPr="00375059">
              <w:rPr>
                <w:rFonts w:ascii="Times New Roman" w:hAnsi="Times New Roman"/>
                <w:sz w:val="24"/>
              </w:rPr>
              <w:t>Мужчины трудоспособного возраста</w:t>
            </w:r>
          </w:p>
        </w:tc>
        <w:tc>
          <w:tcPr>
            <w:tcW w:w="992" w:type="pct"/>
            <w:tcBorders>
              <w:top w:val="single" w:sz="4" w:space="0" w:color="auto"/>
              <w:left w:val="single" w:sz="4" w:space="0" w:color="auto"/>
              <w:bottom w:val="single" w:sz="4" w:space="0" w:color="auto"/>
              <w:right w:val="single" w:sz="4" w:space="0" w:color="auto"/>
            </w:tcBorders>
            <w:vAlign w:val="center"/>
            <w:hideMark/>
          </w:tcPr>
          <w:p w14:paraId="393CCF26"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1 714,3</w:t>
            </w:r>
          </w:p>
        </w:tc>
        <w:tc>
          <w:tcPr>
            <w:tcW w:w="993" w:type="pct"/>
            <w:tcBorders>
              <w:top w:val="single" w:sz="4" w:space="0" w:color="auto"/>
              <w:left w:val="single" w:sz="4" w:space="0" w:color="auto"/>
              <w:bottom w:val="single" w:sz="4" w:space="0" w:color="auto"/>
              <w:right w:val="single" w:sz="4" w:space="0" w:color="auto"/>
            </w:tcBorders>
            <w:vAlign w:val="center"/>
            <w:hideMark/>
          </w:tcPr>
          <w:p w14:paraId="6CE3C622"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1 769,3</w:t>
            </w:r>
          </w:p>
        </w:tc>
        <w:tc>
          <w:tcPr>
            <w:tcW w:w="735" w:type="pct"/>
            <w:tcBorders>
              <w:top w:val="single" w:sz="4" w:space="0" w:color="auto"/>
              <w:left w:val="single" w:sz="4" w:space="0" w:color="auto"/>
              <w:bottom w:val="single" w:sz="4" w:space="0" w:color="auto"/>
              <w:right w:val="single" w:sz="4" w:space="0" w:color="auto"/>
            </w:tcBorders>
            <w:vAlign w:val="center"/>
            <w:hideMark/>
          </w:tcPr>
          <w:p w14:paraId="793504AD"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103,2</w:t>
            </w:r>
          </w:p>
        </w:tc>
      </w:tr>
      <w:tr w:rsidR="00201041" w:rsidRPr="00375059" w14:paraId="6A27C0AD" w14:textId="77777777" w:rsidTr="002706DB">
        <w:trPr>
          <w:trHeight w:val="257"/>
          <w:jc w:val="center"/>
        </w:trPr>
        <w:tc>
          <w:tcPr>
            <w:tcW w:w="2280" w:type="pct"/>
            <w:tcBorders>
              <w:top w:val="single" w:sz="4" w:space="0" w:color="auto"/>
              <w:left w:val="single" w:sz="4" w:space="0" w:color="auto"/>
              <w:bottom w:val="single" w:sz="4" w:space="0" w:color="auto"/>
              <w:right w:val="single" w:sz="4" w:space="0" w:color="auto"/>
            </w:tcBorders>
            <w:hideMark/>
          </w:tcPr>
          <w:p w14:paraId="0B64F0EB" w14:textId="77777777" w:rsidR="00201041" w:rsidRPr="00375059" w:rsidRDefault="00201041" w:rsidP="00201041">
            <w:pPr>
              <w:widowControl w:val="0"/>
              <w:spacing w:after="0" w:line="240" w:lineRule="auto"/>
              <w:ind w:left="34"/>
              <w:rPr>
                <w:rFonts w:ascii="Times New Roman" w:hAnsi="Times New Roman"/>
                <w:sz w:val="24"/>
              </w:rPr>
            </w:pPr>
            <w:r w:rsidRPr="00375059">
              <w:rPr>
                <w:rFonts w:ascii="Times New Roman" w:hAnsi="Times New Roman"/>
                <w:sz w:val="24"/>
              </w:rPr>
              <w:t>Женщины трудоспособного возраста</w:t>
            </w:r>
          </w:p>
        </w:tc>
        <w:tc>
          <w:tcPr>
            <w:tcW w:w="992" w:type="pct"/>
            <w:tcBorders>
              <w:top w:val="single" w:sz="4" w:space="0" w:color="auto"/>
              <w:left w:val="single" w:sz="4" w:space="0" w:color="auto"/>
              <w:bottom w:val="single" w:sz="4" w:space="0" w:color="auto"/>
              <w:right w:val="single" w:sz="4" w:space="0" w:color="auto"/>
            </w:tcBorders>
            <w:vAlign w:val="center"/>
            <w:hideMark/>
          </w:tcPr>
          <w:p w14:paraId="3A7B2AF6"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1 592,4</w:t>
            </w:r>
          </w:p>
        </w:tc>
        <w:tc>
          <w:tcPr>
            <w:tcW w:w="993" w:type="pct"/>
            <w:tcBorders>
              <w:top w:val="single" w:sz="4" w:space="0" w:color="auto"/>
              <w:left w:val="single" w:sz="4" w:space="0" w:color="auto"/>
              <w:bottom w:val="single" w:sz="4" w:space="0" w:color="auto"/>
              <w:right w:val="single" w:sz="4" w:space="0" w:color="auto"/>
            </w:tcBorders>
            <w:vAlign w:val="center"/>
            <w:hideMark/>
          </w:tcPr>
          <w:p w14:paraId="222BE3B2"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1 640,6</w:t>
            </w:r>
          </w:p>
        </w:tc>
        <w:tc>
          <w:tcPr>
            <w:tcW w:w="735" w:type="pct"/>
            <w:tcBorders>
              <w:top w:val="single" w:sz="4" w:space="0" w:color="auto"/>
              <w:left w:val="single" w:sz="4" w:space="0" w:color="auto"/>
              <w:bottom w:val="single" w:sz="4" w:space="0" w:color="auto"/>
              <w:right w:val="single" w:sz="4" w:space="0" w:color="auto"/>
            </w:tcBorders>
            <w:vAlign w:val="center"/>
            <w:hideMark/>
          </w:tcPr>
          <w:p w14:paraId="08CAE109"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103,0</w:t>
            </w:r>
          </w:p>
        </w:tc>
      </w:tr>
      <w:tr w:rsidR="00201041" w:rsidRPr="00375059" w14:paraId="42D65F26" w14:textId="77777777" w:rsidTr="002706DB">
        <w:trPr>
          <w:trHeight w:val="70"/>
          <w:jc w:val="center"/>
        </w:trPr>
        <w:tc>
          <w:tcPr>
            <w:tcW w:w="2280" w:type="pct"/>
            <w:tcBorders>
              <w:top w:val="single" w:sz="4" w:space="0" w:color="auto"/>
              <w:left w:val="single" w:sz="4" w:space="0" w:color="auto"/>
              <w:bottom w:val="single" w:sz="4" w:space="0" w:color="auto"/>
              <w:right w:val="single" w:sz="4" w:space="0" w:color="auto"/>
            </w:tcBorders>
            <w:hideMark/>
          </w:tcPr>
          <w:p w14:paraId="1217A5B6" w14:textId="77777777" w:rsidR="00201041" w:rsidRPr="00375059" w:rsidRDefault="00201041" w:rsidP="00201041">
            <w:pPr>
              <w:widowControl w:val="0"/>
              <w:spacing w:after="0" w:line="240" w:lineRule="auto"/>
              <w:ind w:left="34"/>
              <w:rPr>
                <w:rFonts w:ascii="Times New Roman" w:hAnsi="Times New Roman"/>
                <w:sz w:val="24"/>
              </w:rPr>
            </w:pPr>
            <w:r w:rsidRPr="00375059">
              <w:rPr>
                <w:rFonts w:ascii="Times New Roman" w:hAnsi="Times New Roman"/>
                <w:sz w:val="24"/>
              </w:rPr>
              <w:t>Пенсионеры</w:t>
            </w:r>
          </w:p>
        </w:tc>
        <w:tc>
          <w:tcPr>
            <w:tcW w:w="992" w:type="pct"/>
            <w:tcBorders>
              <w:top w:val="single" w:sz="4" w:space="0" w:color="auto"/>
              <w:left w:val="single" w:sz="4" w:space="0" w:color="auto"/>
              <w:bottom w:val="single" w:sz="4" w:space="0" w:color="auto"/>
              <w:right w:val="single" w:sz="4" w:space="0" w:color="auto"/>
            </w:tcBorders>
            <w:vAlign w:val="center"/>
            <w:hideMark/>
          </w:tcPr>
          <w:p w14:paraId="303CEA12"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1 300,3</w:t>
            </w:r>
          </w:p>
        </w:tc>
        <w:tc>
          <w:tcPr>
            <w:tcW w:w="993" w:type="pct"/>
            <w:tcBorders>
              <w:top w:val="single" w:sz="4" w:space="0" w:color="auto"/>
              <w:left w:val="single" w:sz="4" w:space="0" w:color="auto"/>
              <w:bottom w:val="single" w:sz="4" w:space="0" w:color="auto"/>
              <w:right w:val="single" w:sz="4" w:space="0" w:color="auto"/>
            </w:tcBorders>
            <w:vAlign w:val="center"/>
            <w:hideMark/>
          </w:tcPr>
          <w:p w14:paraId="2BEC7BCC"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1 344,4</w:t>
            </w:r>
          </w:p>
        </w:tc>
        <w:tc>
          <w:tcPr>
            <w:tcW w:w="735" w:type="pct"/>
            <w:tcBorders>
              <w:top w:val="single" w:sz="4" w:space="0" w:color="auto"/>
              <w:left w:val="single" w:sz="4" w:space="0" w:color="auto"/>
              <w:bottom w:val="single" w:sz="4" w:space="0" w:color="auto"/>
              <w:right w:val="single" w:sz="4" w:space="0" w:color="auto"/>
            </w:tcBorders>
            <w:vAlign w:val="center"/>
            <w:hideMark/>
          </w:tcPr>
          <w:p w14:paraId="2A5610FC"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103,4</w:t>
            </w:r>
          </w:p>
        </w:tc>
      </w:tr>
      <w:tr w:rsidR="00201041" w:rsidRPr="00375059" w14:paraId="7698456E" w14:textId="77777777" w:rsidTr="002706DB">
        <w:trPr>
          <w:trHeight w:val="257"/>
          <w:jc w:val="center"/>
        </w:trPr>
        <w:tc>
          <w:tcPr>
            <w:tcW w:w="2280" w:type="pct"/>
            <w:tcBorders>
              <w:top w:val="single" w:sz="4" w:space="0" w:color="auto"/>
              <w:left w:val="single" w:sz="4" w:space="0" w:color="auto"/>
              <w:bottom w:val="single" w:sz="4" w:space="0" w:color="auto"/>
              <w:right w:val="single" w:sz="4" w:space="0" w:color="auto"/>
            </w:tcBorders>
            <w:hideMark/>
          </w:tcPr>
          <w:p w14:paraId="350D1936" w14:textId="77777777" w:rsidR="00201041" w:rsidRPr="00375059" w:rsidRDefault="00201041" w:rsidP="00201041">
            <w:pPr>
              <w:widowControl w:val="0"/>
              <w:spacing w:after="0" w:line="240" w:lineRule="auto"/>
              <w:ind w:left="34"/>
              <w:rPr>
                <w:rFonts w:ascii="Times New Roman" w:hAnsi="Times New Roman"/>
                <w:sz w:val="24"/>
              </w:rPr>
            </w:pPr>
            <w:r w:rsidRPr="00375059">
              <w:rPr>
                <w:rFonts w:ascii="Times New Roman" w:hAnsi="Times New Roman"/>
                <w:sz w:val="24"/>
              </w:rPr>
              <w:t>Дети от 0 до 6 лет</w:t>
            </w:r>
          </w:p>
        </w:tc>
        <w:tc>
          <w:tcPr>
            <w:tcW w:w="992" w:type="pct"/>
            <w:tcBorders>
              <w:top w:val="single" w:sz="4" w:space="0" w:color="auto"/>
              <w:left w:val="single" w:sz="4" w:space="0" w:color="auto"/>
              <w:bottom w:val="single" w:sz="4" w:space="0" w:color="auto"/>
              <w:right w:val="single" w:sz="4" w:space="0" w:color="auto"/>
            </w:tcBorders>
            <w:vAlign w:val="center"/>
            <w:hideMark/>
          </w:tcPr>
          <w:p w14:paraId="528CEF61"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1 413,3</w:t>
            </w:r>
          </w:p>
        </w:tc>
        <w:tc>
          <w:tcPr>
            <w:tcW w:w="993" w:type="pct"/>
            <w:tcBorders>
              <w:top w:val="single" w:sz="4" w:space="0" w:color="auto"/>
              <w:left w:val="single" w:sz="4" w:space="0" w:color="auto"/>
              <w:bottom w:val="single" w:sz="4" w:space="0" w:color="auto"/>
              <w:right w:val="single" w:sz="4" w:space="0" w:color="auto"/>
            </w:tcBorders>
            <w:vAlign w:val="center"/>
            <w:hideMark/>
          </w:tcPr>
          <w:p w14:paraId="03C83003"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1 457,6</w:t>
            </w:r>
          </w:p>
        </w:tc>
        <w:tc>
          <w:tcPr>
            <w:tcW w:w="735" w:type="pct"/>
            <w:tcBorders>
              <w:top w:val="single" w:sz="4" w:space="0" w:color="auto"/>
              <w:left w:val="single" w:sz="4" w:space="0" w:color="auto"/>
              <w:bottom w:val="single" w:sz="4" w:space="0" w:color="auto"/>
              <w:right w:val="single" w:sz="4" w:space="0" w:color="auto"/>
            </w:tcBorders>
            <w:vAlign w:val="center"/>
            <w:hideMark/>
          </w:tcPr>
          <w:p w14:paraId="31E6996A"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103,1</w:t>
            </w:r>
          </w:p>
        </w:tc>
      </w:tr>
      <w:tr w:rsidR="00201041" w:rsidRPr="00375059" w14:paraId="7363627A" w14:textId="77777777" w:rsidTr="002706DB">
        <w:trPr>
          <w:trHeight w:val="257"/>
          <w:jc w:val="center"/>
        </w:trPr>
        <w:tc>
          <w:tcPr>
            <w:tcW w:w="2280" w:type="pct"/>
            <w:tcBorders>
              <w:top w:val="single" w:sz="4" w:space="0" w:color="auto"/>
              <w:left w:val="single" w:sz="4" w:space="0" w:color="auto"/>
              <w:bottom w:val="single" w:sz="4" w:space="0" w:color="auto"/>
              <w:right w:val="single" w:sz="4" w:space="0" w:color="auto"/>
            </w:tcBorders>
            <w:hideMark/>
          </w:tcPr>
          <w:p w14:paraId="4AAC8991" w14:textId="77777777" w:rsidR="00201041" w:rsidRPr="00375059" w:rsidRDefault="00201041" w:rsidP="00201041">
            <w:pPr>
              <w:widowControl w:val="0"/>
              <w:spacing w:after="0" w:line="240" w:lineRule="auto"/>
              <w:ind w:left="34"/>
              <w:rPr>
                <w:rFonts w:ascii="Times New Roman" w:hAnsi="Times New Roman"/>
                <w:sz w:val="24"/>
              </w:rPr>
            </w:pPr>
            <w:r w:rsidRPr="00375059">
              <w:rPr>
                <w:rFonts w:ascii="Times New Roman" w:hAnsi="Times New Roman"/>
                <w:sz w:val="24"/>
              </w:rPr>
              <w:t>Дети от 7 до 15 лет</w:t>
            </w:r>
          </w:p>
        </w:tc>
        <w:tc>
          <w:tcPr>
            <w:tcW w:w="992" w:type="pct"/>
            <w:tcBorders>
              <w:top w:val="single" w:sz="4" w:space="0" w:color="auto"/>
              <w:left w:val="single" w:sz="4" w:space="0" w:color="auto"/>
              <w:bottom w:val="single" w:sz="4" w:space="0" w:color="auto"/>
              <w:right w:val="single" w:sz="4" w:space="0" w:color="auto"/>
            </w:tcBorders>
            <w:vAlign w:val="center"/>
            <w:hideMark/>
          </w:tcPr>
          <w:p w14:paraId="58265C36"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1 737,0</w:t>
            </w:r>
          </w:p>
        </w:tc>
        <w:tc>
          <w:tcPr>
            <w:tcW w:w="993" w:type="pct"/>
            <w:tcBorders>
              <w:top w:val="single" w:sz="4" w:space="0" w:color="auto"/>
              <w:left w:val="single" w:sz="4" w:space="0" w:color="auto"/>
              <w:bottom w:val="single" w:sz="4" w:space="0" w:color="auto"/>
              <w:right w:val="single" w:sz="4" w:space="0" w:color="auto"/>
            </w:tcBorders>
            <w:vAlign w:val="center"/>
            <w:hideMark/>
          </w:tcPr>
          <w:p w14:paraId="52AC69F8"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1 784,7</w:t>
            </w:r>
          </w:p>
        </w:tc>
        <w:tc>
          <w:tcPr>
            <w:tcW w:w="735" w:type="pct"/>
            <w:tcBorders>
              <w:top w:val="single" w:sz="4" w:space="0" w:color="auto"/>
              <w:left w:val="single" w:sz="4" w:space="0" w:color="auto"/>
              <w:bottom w:val="single" w:sz="4" w:space="0" w:color="auto"/>
              <w:right w:val="single" w:sz="4" w:space="0" w:color="auto"/>
            </w:tcBorders>
            <w:vAlign w:val="center"/>
            <w:hideMark/>
          </w:tcPr>
          <w:p w14:paraId="3B6A2D94" w14:textId="77777777" w:rsidR="00201041" w:rsidRPr="00375059" w:rsidRDefault="00201041" w:rsidP="00201041">
            <w:pPr>
              <w:widowControl w:val="0"/>
              <w:spacing w:after="0" w:line="240" w:lineRule="auto"/>
              <w:ind w:firstLine="34"/>
              <w:jc w:val="center"/>
              <w:rPr>
                <w:rFonts w:ascii="Times New Roman" w:hAnsi="Times New Roman"/>
                <w:sz w:val="24"/>
              </w:rPr>
            </w:pPr>
            <w:r w:rsidRPr="00375059">
              <w:rPr>
                <w:rFonts w:ascii="Times New Roman" w:hAnsi="Times New Roman"/>
                <w:sz w:val="24"/>
              </w:rPr>
              <w:t>102,7</w:t>
            </w:r>
          </w:p>
        </w:tc>
      </w:tr>
    </w:tbl>
    <w:p w14:paraId="46C5C8BF" w14:textId="77777777" w:rsidR="00201041" w:rsidRPr="00375059" w:rsidRDefault="00201041" w:rsidP="00201041">
      <w:pPr>
        <w:spacing w:after="0" w:line="240" w:lineRule="auto"/>
        <w:ind w:firstLine="709"/>
        <w:jc w:val="both"/>
        <w:rPr>
          <w:rFonts w:ascii="Times New Roman" w:hAnsi="Times New Roman"/>
          <w:sz w:val="28"/>
          <w:szCs w:val="28"/>
        </w:rPr>
      </w:pPr>
    </w:p>
    <w:p w14:paraId="68D5858B" w14:textId="37ED635A" w:rsidR="00201041" w:rsidRPr="00375059" w:rsidRDefault="00201041" w:rsidP="005774B9">
      <w:pPr>
        <w:pStyle w:val="2"/>
        <w:spacing w:before="0" w:line="240" w:lineRule="auto"/>
        <w:ind w:firstLine="426"/>
        <w:rPr>
          <w:rFonts w:ascii="Times New Roman" w:hAnsi="Times New Roman" w:cs="Times New Roman"/>
          <w:b/>
          <w:color w:val="auto"/>
          <w:sz w:val="28"/>
        </w:rPr>
      </w:pPr>
      <w:bookmarkStart w:id="41" w:name="_Toc101441790"/>
      <w:r w:rsidRPr="00375059">
        <w:rPr>
          <w:rFonts w:ascii="Times New Roman" w:hAnsi="Times New Roman" w:cs="Times New Roman"/>
          <w:b/>
          <w:color w:val="auto"/>
          <w:sz w:val="28"/>
        </w:rPr>
        <w:t>Рынок труда и сфера занятости</w:t>
      </w:r>
      <w:bookmarkEnd w:id="41"/>
    </w:p>
    <w:p w14:paraId="272AF372" w14:textId="77777777" w:rsidR="00201041" w:rsidRPr="00375059" w:rsidRDefault="00201041" w:rsidP="005774B9">
      <w:pPr>
        <w:tabs>
          <w:tab w:val="left" w:pos="709"/>
          <w:tab w:val="left" w:pos="851"/>
        </w:tabs>
        <w:spacing w:after="0" w:line="240" w:lineRule="auto"/>
        <w:ind w:firstLine="426"/>
        <w:jc w:val="both"/>
        <w:rPr>
          <w:rFonts w:ascii="Times New Roman" w:hAnsi="Times New Roman"/>
          <w:sz w:val="28"/>
          <w:szCs w:val="28"/>
        </w:rPr>
      </w:pPr>
      <w:r w:rsidRPr="00375059">
        <w:rPr>
          <w:rFonts w:ascii="Times New Roman" w:hAnsi="Times New Roman"/>
          <w:sz w:val="28"/>
          <w:szCs w:val="28"/>
        </w:rPr>
        <w:t>Ситуация на рынке труда в 2021 году складывалась под влиянием социально-экономических и демографических процессов, происходящих в республике.</w:t>
      </w:r>
    </w:p>
    <w:p w14:paraId="35CA2A91" w14:textId="77777777" w:rsidR="00201041" w:rsidRPr="00375059" w:rsidRDefault="00201041" w:rsidP="005774B9">
      <w:pPr>
        <w:tabs>
          <w:tab w:val="left" w:pos="709"/>
          <w:tab w:val="left" w:pos="851"/>
        </w:tabs>
        <w:spacing w:after="0" w:line="240" w:lineRule="auto"/>
        <w:ind w:firstLine="426"/>
        <w:jc w:val="both"/>
        <w:rPr>
          <w:rFonts w:ascii="Times New Roman" w:hAnsi="Times New Roman"/>
          <w:sz w:val="28"/>
          <w:szCs w:val="28"/>
        </w:rPr>
      </w:pPr>
      <w:r w:rsidRPr="00375059">
        <w:rPr>
          <w:rFonts w:ascii="Times New Roman" w:hAnsi="Times New Roman"/>
          <w:sz w:val="28"/>
          <w:szCs w:val="28"/>
        </w:rPr>
        <w:t>По состоянию на 1 января 2022 года численность экономически активного населения сложилась на уровне 129,8 тыс. человек (без учета работников силовых структур республики), уменьшившись по сравнению с сопоставимым показателем 2021 года на 2,7 тыс. человек.</w:t>
      </w:r>
    </w:p>
    <w:p w14:paraId="35071F86" w14:textId="4FAF20B2" w:rsidR="0049764C" w:rsidRPr="00375059" w:rsidRDefault="00201041" w:rsidP="005774B9">
      <w:pPr>
        <w:spacing w:after="0" w:line="240" w:lineRule="auto"/>
        <w:ind w:firstLine="426"/>
        <w:jc w:val="both"/>
        <w:rPr>
          <w:rFonts w:ascii="Times New Roman" w:hAnsi="Times New Roman"/>
          <w:b/>
          <w:i/>
          <w:sz w:val="28"/>
          <w:szCs w:val="28"/>
        </w:rPr>
      </w:pPr>
      <w:r w:rsidRPr="00375059">
        <w:rPr>
          <w:rFonts w:ascii="Times New Roman" w:hAnsi="Times New Roman"/>
          <w:sz w:val="28"/>
          <w:szCs w:val="28"/>
        </w:rPr>
        <w:lastRenderedPageBreak/>
        <w:t>В составе экономически активного населения 127,8 тыс. человек (98,5%) были заняты в экономике республики и 2,0 тыс. человек (1,5%) не имели работы, но активно ее искали и состояли на учете в Центрах социального страхования и социальной защиты</w:t>
      </w:r>
      <w:r w:rsidR="0049764C" w:rsidRPr="00375059">
        <w:rPr>
          <w:rFonts w:ascii="Times New Roman" w:hAnsi="Times New Roman"/>
          <w:sz w:val="28"/>
          <w:szCs w:val="28"/>
        </w:rPr>
        <w:t xml:space="preserve"> (рис. 4</w:t>
      </w:r>
      <w:r w:rsidR="00540656">
        <w:rPr>
          <w:rFonts w:ascii="Times New Roman" w:hAnsi="Times New Roman"/>
          <w:sz w:val="28"/>
          <w:szCs w:val="28"/>
        </w:rPr>
        <w:t>5</w:t>
      </w:r>
      <w:r w:rsidR="0049764C" w:rsidRPr="00375059">
        <w:rPr>
          <w:rFonts w:ascii="Times New Roman" w:hAnsi="Times New Roman"/>
          <w:sz w:val="28"/>
          <w:szCs w:val="28"/>
        </w:rPr>
        <w:t>)</w:t>
      </w:r>
      <w:r w:rsidRPr="00375059">
        <w:rPr>
          <w:rFonts w:ascii="Times New Roman" w:hAnsi="Times New Roman"/>
          <w:sz w:val="28"/>
          <w:szCs w:val="28"/>
        </w:rPr>
        <w:t xml:space="preserve">. </w:t>
      </w:r>
    </w:p>
    <w:p w14:paraId="683D9BF7" w14:textId="483E9048" w:rsidR="00201041" w:rsidRPr="00375059" w:rsidRDefault="00201041" w:rsidP="0049764C">
      <w:pPr>
        <w:spacing w:after="0" w:line="240" w:lineRule="auto"/>
        <w:jc w:val="right"/>
        <w:rPr>
          <w:rFonts w:ascii="Times New Roman" w:hAnsi="Times New Roman"/>
          <w:b/>
          <w:i/>
          <w:sz w:val="28"/>
          <w:szCs w:val="28"/>
        </w:rPr>
      </w:pPr>
      <w:r w:rsidRPr="00375059">
        <w:rPr>
          <w:rFonts w:ascii="Times New Roman" w:hAnsi="Times New Roman"/>
          <w:b/>
          <w:i/>
          <w:sz w:val="28"/>
          <w:szCs w:val="28"/>
        </w:rPr>
        <w:t>Рисунок</w:t>
      </w:r>
      <w:r w:rsidR="0049764C" w:rsidRPr="00375059">
        <w:rPr>
          <w:rFonts w:ascii="Times New Roman" w:hAnsi="Times New Roman"/>
          <w:b/>
          <w:i/>
          <w:sz w:val="28"/>
          <w:szCs w:val="28"/>
        </w:rPr>
        <w:t xml:space="preserve"> 4</w:t>
      </w:r>
      <w:r w:rsidR="00540656">
        <w:rPr>
          <w:rFonts w:ascii="Times New Roman" w:hAnsi="Times New Roman"/>
          <w:b/>
          <w:i/>
          <w:sz w:val="28"/>
          <w:szCs w:val="28"/>
        </w:rPr>
        <w:t>5</w:t>
      </w:r>
    </w:p>
    <w:p w14:paraId="1E95333E" w14:textId="77777777" w:rsidR="00201041" w:rsidRPr="00375059" w:rsidRDefault="00201041" w:rsidP="0049764C">
      <w:pPr>
        <w:spacing w:after="0" w:line="240" w:lineRule="auto"/>
        <w:jc w:val="center"/>
        <w:rPr>
          <w:rFonts w:ascii="Times New Roman" w:hAnsi="Times New Roman"/>
          <w:b/>
          <w:sz w:val="28"/>
          <w:szCs w:val="28"/>
        </w:rPr>
      </w:pPr>
      <w:r w:rsidRPr="00375059">
        <w:rPr>
          <w:rFonts w:ascii="Times New Roman" w:hAnsi="Times New Roman"/>
          <w:b/>
          <w:sz w:val="28"/>
          <w:szCs w:val="28"/>
        </w:rPr>
        <w:t>Структура экономически активного населения, %</w:t>
      </w:r>
    </w:p>
    <w:p w14:paraId="5CDB8333" w14:textId="451FC30F" w:rsidR="00201041" w:rsidRPr="00375059" w:rsidRDefault="00201041" w:rsidP="00201041">
      <w:pPr>
        <w:tabs>
          <w:tab w:val="left" w:pos="709"/>
          <w:tab w:val="left" w:pos="851"/>
        </w:tabs>
        <w:spacing w:after="0" w:line="240" w:lineRule="auto"/>
        <w:ind w:firstLine="426"/>
        <w:jc w:val="both"/>
        <w:rPr>
          <w:rFonts w:ascii="Times New Roman" w:hAnsi="Times New Roman"/>
          <w:b/>
          <w:i/>
          <w:sz w:val="28"/>
          <w:szCs w:val="28"/>
        </w:rPr>
      </w:pPr>
      <w:r w:rsidRPr="00375059">
        <w:rPr>
          <w:rFonts w:ascii="Times New Roman" w:hAnsi="Times New Roman"/>
          <w:b/>
          <w:noProof/>
          <w:sz w:val="28"/>
          <w:szCs w:val="28"/>
        </w:rPr>
        <w:drawing>
          <wp:inline distT="0" distB="0" distL="0" distR="0" wp14:anchorId="2E0A5DE6" wp14:editId="6C90642B">
            <wp:extent cx="5650302" cy="2324100"/>
            <wp:effectExtent l="0" t="0" r="7620" b="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3C70C80" w14:textId="67C50B2A"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По данным Государственной службы статистики Министерства экономического развития Приднестровской Молдавской Республики, численность работников организаций всех отраслей экономики (кроме субъектов малого предпринимательства) на 1 января 2022 года составила </w:t>
      </w:r>
      <w:r w:rsidRPr="00375059">
        <w:rPr>
          <w:rFonts w:ascii="Times New Roman" w:hAnsi="Times New Roman"/>
          <w:sz w:val="28"/>
          <w:szCs w:val="28"/>
        </w:rPr>
        <w:br/>
        <w:t>89,1 тыс. человек. Всего с начала 2021 года принято на работу 18,4</w:t>
      </w:r>
      <w:r w:rsidR="001D0457">
        <w:rPr>
          <w:rFonts w:ascii="Times New Roman" w:hAnsi="Times New Roman"/>
          <w:sz w:val="28"/>
          <w:szCs w:val="28"/>
        </w:rPr>
        <w:t> </w:t>
      </w:r>
      <w:r w:rsidRPr="00375059">
        <w:rPr>
          <w:rFonts w:ascii="Times New Roman" w:hAnsi="Times New Roman"/>
          <w:sz w:val="28"/>
          <w:szCs w:val="28"/>
        </w:rPr>
        <w:t>тыс.</w:t>
      </w:r>
      <w:r w:rsidR="001D0457">
        <w:rPr>
          <w:rFonts w:ascii="Times New Roman" w:hAnsi="Times New Roman"/>
          <w:sz w:val="28"/>
          <w:szCs w:val="28"/>
        </w:rPr>
        <w:t> </w:t>
      </w:r>
      <w:r w:rsidRPr="00375059">
        <w:rPr>
          <w:rFonts w:ascii="Times New Roman" w:hAnsi="Times New Roman"/>
          <w:sz w:val="28"/>
          <w:szCs w:val="28"/>
        </w:rPr>
        <w:t>человек</w:t>
      </w:r>
      <w:r w:rsidRPr="00375059">
        <w:rPr>
          <w:rFonts w:ascii="Times New Roman" w:hAnsi="Times New Roman"/>
          <w:b/>
          <w:sz w:val="28"/>
          <w:szCs w:val="28"/>
        </w:rPr>
        <w:t>,</w:t>
      </w:r>
      <w:r w:rsidRPr="00375059">
        <w:rPr>
          <w:rFonts w:ascii="Times New Roman" w:hAnsi="Times New Roman"/>
          <w:sz w:val="28"/>
          <w:szCs w:val="28"/>
        </w:rPr>
        <w:t xml:space="preserve"> из них 928 человек – на вновь созданные и дополнительно введенные рабочие места. Численность выбывших работников превысила число принятых на 2 287 человек. </w:t>
      </w:r>
    </w:p>
    <w:p w14:paraId="76374FCE"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течение 2021 года из учреждений и организаций уволилось 20 706 человек, что составляет 22,7 % от списочной численности работников на начало года. Основной причиной выбытия является увольнение по инициативе работника (89,4% от общего числа уволившихся). </w:t>
      </w:r>
    </w:p>
    <w:p w14:paraId="42FD92B6"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рассматриваемом периоде 34 организации республики информировали Центры социального страхования и социальной защиты городов и районов республики о предстоящем проведении мероприятий по увольнению работников в связи с ликвидацией организации, сокращением численности или штата работников организации. К увольнению было намечено 195 работников, среди которых молодежь 16-29 лет составила 4,6%, граждане предпенсионного возраста – 9,2 %.</w:t>
      </w:r>
    </w:p>
    <w:p w14:paraId="14F23A25"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разрезе отраслей экономики наибольшее количество намеченных к высвобождению работников пришлось на жилищно-коммунальное хозяйство (27,7%), транспорт и связь (24,6%), промышленность (20,5%).</w:t>
      </w:r>
    </w:p>
    <w:p w14:paraId="2BAD51BE"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При этом фактически в связи с ликвидацией организации и сокращением численности персонала было уволено 135 работников.</w:t>
      </w:r>
    </w:p>
    <w:p w14:paraId="3325B79F" w14:textId="77777777" w:rsidR="00201041" w:rsidRPr="00375059" w:rsidRDefault="00201041" w:rsidP="00AA381B">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За 2021 год в Центры социального страхования и социальной защиты городов и районов республики за содействием в поиске подходящей работы и получением консультаций обратились около 15,2 тыс. человек (-23,2% к </w:t>
      </w:r>
      <w:r w:rsidRPr="00375059">
        <w:rPr>
          <w:rFonts w:ascii="Times New Roman" w:hAnsi="Times New Roman"/>
          <w:sz w:val="28"/>
          <w:szCs w:val="28"/>
        </w:rPr>
        <w:lastRenderedPageBreak/>
        <w:t>показателю 2020 года).</w:t>
      </w:r>
    </w:p>
    <w:p w14:paraId="4902212F"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Численность граждан, получивших консультации по вопросам выбора места работы, законодательству о труде и занятости, возможности прохождения профессионального обучения и другим вопросам, составила 10,3 тыс. человек (за 2020 год – 11,9 тыс. человек). Услугами по профориентации воспользовались 4,9 тыс. граждан, психологическую поддержку получили свыше полутысячи человек.</w:t>
      </w:r>
    </w:p>
    <w:p w14:paraId="71BFDA6B" w14:textId="2D3FA482"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За отчетный период в качестве лиц, ищущих работу, зарегистрировано 4 662 гражданина, официально признаны безработными 3 445 человек, что, соответственно, на 1 902 человека и на 1 859 человек меньше, чем в 2020 году. (рис</w:t>
      </w:r>
      <w:r w:rsidR="0049764C" w:rsidRPr="00375059">
        <w:rPr>
          <w:rFonts w:ascii="Times New Roman" w:hAnsi="Times New Roman"/>
          <w:sz w:val="28"/>
          <w:szCs w:val="28"/>
        </w:rPr>
        <w:t>. 4</w:t>
      </w:r>
      <w:r w:rsidR="00540656">
        <w:rPr>
          <w:rFonts w:ascii="Times New Roman" w:hAnsi="Times New Roman"/>
          <w:sz w:val="28"/>
          <w:szCs w:val="28"/>
        </w:rPr>
        <w:t>6</w:t>
      </w:r>
      <w:r w:rsidRPr="00375059">
        <w:rPr>
          <w:rFonts w:ascii="Times New Roman" w:hAnsi="Times New Roman"/>
          <w:sz w:val="28"/>
          <w:szCs w:val="28"/>
        </w:rPr>
        <w:t>)</w:t>
      </w:r>
    </w:p>
    <w:p w14:paraId="682B2C9C" w14:textId="10A29E7F" w:rsidR="00201041" w:rsidRPr="00375059" w:rsidRDefault="00201041" w:rsidP="0049764C">
      <w:pPr>
        <w:tabs>
          <w:tab w:val="left" w:pos="709"/>
          <w:tab w:val="left" w:pos="851"/>
        </w:tabs>
        <w:spacing w:after="0" w:line="240" w:lineRule="auto"/>
        <w:ind w:firstLine="426"/>
        <w:jc w:val="right"/>
        <w:rPr>
          <w:rFonts w:ascii="Times New Roman" w:hAnsi="Times New Roman"/>
          <w:b/>
          <w:i/>
          <w:sz w:val="28"/>
          <w:szCs w:val="28"/>
        </w:rPr>
      </w:pPr>
      <w:r w:rsidRPr="00375059">
        <w:rPr>
          <w:rFonts w:ascii="Times New Roman" w:hAnsi="Times New Roman"/>
          <w:sz w:val="28"/>
          <w:szCs w:val="28"/>
        </w:rPr>
        <w:t xml:space="preserve"> </w:t>
      </w:r>
      <w:r w:rsidRPr="00375059">
        <w:rPr>
          <w:rFonts w:ascii="Times New Roman" w:hAnsi="Times New Roman"/>
          <w:b/>
          <w:i/>
          <w:sz w:val="28"/>
          <w:szCs w:val="28"/>
        </w:rPr>
        <w:t xml:space="preserve">Рисунок </w:t>
      </w:r>
      <w:r w:rsidR="0049764C" w:rsidRPr="00375059">
        <w:rPr>
          <w:rFonts w:ascii="Times New Roman" w:hAnsi="Times New Roman"/>
          <w:b/>
          <w:i/>
          <w:sz w:val="28"/>
          <w:szCs w:val="28"/>
        </w:rPr>
        <w:t>4</w:t>
      </w:r>
      <w:r w:rsidR="00540656">
        <w:rPr>
          <w:rFonts w:ascii="Times New Roman" w:hAnsi="Times New Roman"/>
          <w:b/>
          <w:i/>
          <w:sz w:val="28"/>
          <w:szCs w:val="28"/>
        </w:rPr>
        <w:t>6</w:t>
      </w:r>
    </w:p>
    <w:p w14:paraId="5B5B52AF" w14:textId="77777777" w:rsidR="00201041" w:rsidRPr="00375059" w:rsidRDefault="00201041" w:rsidP="0049764C">
      <w:pPr>
        <w:spacing w:after="0" w:line="240" w:lineRule="auto"/>
        <w:jc w:val="center"/>
        <w:rPr>
          <w:rFonts w:ascii="Times New Roman" w:hAnsi="Times New Roman"/>
          <w:sz w:val="28"/>
          <w:szCs w:val="28"/>
        </w:rPr>
      </w:pPr>
      <w:r w:rsidRPr="00375059">
        <w:rPr>
          <w:rFonts w:ascii="Times New Roman" w:hAnsi="Times New Roman"/>
          <w:b/>
          <w:bCs/>
          <w:sz w:val="28"/>
          <w:szCs w:val="28"/>
        </w:rPr>
        <w:t>Динамика численности граждан, зарегистрированных в службе занятости, чел.</w:t>
      </w:r>
    </w:p>
    <w:p w14:paraId="597FE0A2" w14:textId="1F1E27E5" w:rsidR="00201041" w:rsidRPr="00375059" w:rsidRDefault="00201041" w:rsidP="0049764C">
      <w:pPr>
        <w:spacing w:after="0" w:line="240" w:lineRule="auto"/>
        <w:jc w:val="both"/>
        <w:rPr>
          <w:rFonts w:ascii="Times New Roman" w:hAnsi="Times New Roman"/>
          <w:sz w:val="28"/>
          <w:szCs w:val="28"/>
        </w:rPr>
      </w:pPr>
      <w:r w:rsidRPr="00375059">
        <w:rPr>
          <w:rFonts w:ascii="Times New Roman" w:hAnsi="Times New Roman"/>
          <w:noProof/>
          <w:sz w:val="28"/>
          <w:szCs w:val="28"/>
        </w:rPr>
        <w:drawing>
          <wp:inline distT="0" distB="0" distL="0" distR="0" wp14:anchorId="5EC119A5" wp14:editId="4AC91457">
            <wp:extent cx="5934075" cy="2495550"/>
            <wp:effectExtent l="0" t="0" r="0" b="0"/>
            <wp:docPr id="112" name="Диаграмма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9D9979F"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целом по республике 61,8% зарегистрированных в службе занятости граждан являлись жителями городов. В то же время, по трем районам республики в числе зарегистрированных граждан преобладали жители сельской местности, удельный вес которых составил: </w:t>
      </w:r>
    </w:p>
    <w:p w14:paraId="4B9A7066" w14:textId="610BD28A" w:rsidR="00201041" w:rsidRPr="00375059" w:rsidRDefault="0049764C"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01041" w:rsidRPr="00375059">
        <w:rPr>
          <w:rFonts w:ascii="Times New Roman" w:hAnsi="Times New Roman"/>
          <w:sz w:val="28"/>
          <w:szCs w:val="28"/>
        </w:rPr>
        <w:t xml:space="preserve"> в Григориопольском районе – 78,1%;</w:t>
      </w:r>
    </w:p>
    <w:p w14:paraId="7ED6D763" w14:textId="3369EDF4" w:rsidR="00201041" w:rsidRPr="00375059" w:rsidRDefault="0049764C"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01041" w:rsidRPr="00375059">
        <w:rPr>
          <w:rFonts w:ascii="Times New Roman" w:hAnsi="Times New Roman"/>
          <w:sz w:val="28"/>
          <w:szCs w:val="28"/>
        </w:rPr>
        <w:t xml:space="preserve"> в Слободзейском районе – 59,7 %;</w:t>
      </w:r>
    </w:p>
    <w:p w14:paraId="1311E51B" w14:textId="4D596413" w:rsidR="00201041" w:rsidRPr="00375059" w:rsidRDefault="0049764C"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01041" w:rsidRPr="00375059">
        <w:rPr>
          <w:rFonts w:ascii="Times New Roman" w:hAnsi="Times New Roman"/>
          <w:sz w:val="28"/>
          <w:szCs w:val="28"/>
        </w:rPr>
        <w:t xml:space="preserve"> в Каменском районе – 56,8%.</w:t>
      </w:r>
    </w:p>
    <w:p w14:paraId="308F0544"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Наибольшее количество регистраций пришлось на Центры социального страхования и социальной защиты г. Рыбница и Рыбницкого района (1 368 человек), г. Тирасполь (896 человек), г. </w:t>
      </w:r>
      <w:proofErr w:type="spellStart"/>
      <w:r w:rsidRPr="00375059">
        <w:rPr>
          <w:rFonts w:ascii="Times New Roman" w:hAnsi="Times New Roman"/>
          <w:sz w:val="28"/>
          <w:szCs w:val="28"/>
        </w:rPr>
        <w:t>Слободзея</w:t>
      </w:r>
      <w:proofErr w:type="spellEnd"/>
      <w:r w:rsidRPr="00375059">
        <w:rPr>
          <w:rFonts w:ascii="Times New Roman" w:hAnsi="Times New Roman"/>
          <w:sz w:val="28"/>
          <w:szCs w:val="28"/>
        </w:rPr>
        <w:t xml:space="preserve"> и </w:t>
      </w:r>
      <w:proofErr w:type="spellStart"/>
      <w:r w:rsidRPr="00375059">
        <w:rPr>
          <w:rFonts w:ascii="Times New Roman" w:hAnsi="Times New Roman"/>
          <w:sz w:val="28"/>
          <w:szCs w:val="28"/>
        </w:rPr>
        <w:t>Слободзейского</w:t>
      </w:r>
      <w:proofErr w:type="spellEnd"/>
      <w:r w:rsidRPr="00375059">
        <w:rPr>
          <w:rFonts w:ascii="Times New Roman" w:hAnsi="Times New Roman"/>
          <w:sz w:val="28"/>
          <w:szCs w:val="28"/>
        </w:rPr>
        <w:t xml:space="preserve"> района (874 человека).</w:t>
      </w:r>
    </w:p>
    <w:p w14:paraId="79C9CDFA"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Наиболее многочисленными являлись следующие категории граждан:</w:t>
      </w:r>
    </w:p>
    <w:p w14:paraId="4DEFEC93" w14:textId="10758834" w:rsidR="00201041" w:rsidRPr="00375059" w:rsidRDefault="0049764C"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01041" w:rsidRPr="00375059">
        <w:rPr>
          <w:rFonts w:ascii="Times New Roman" w:hAnsi="Times New Roman"/>
          <w:sz w:val="28"/>
          <w:szCs w:val="28"/>
        </w:rPr>
        <w:t xml:space="preserve"> граждане, имеющие длительный (более года) перерыв в работе – 2 339 человек, или 50,2% (в 2020 году – 50,6%);</w:t>
      </w:r>
    </w:p>
    <w:p w14:paraId="0853ADE1" w14:textId="10F25C00" w:rsidR="00201041" w:rsidRPr="00375059" w:rsidRDefault="0049764C"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01041" w:rsidRPr="00375059">
        <w:rPr>
          <w:rFonts w:ascii="Times New Roman" w:hAnsi="Times New Roman"/>
          <w:sz w:val="28"/>
          <w:szCs w:val="28"/>
        </w:rPr>
        <w:t xml:space="preserve"> граждане, ранее не работавшие, ищущие работу впервые – 1 009 человек, или 21,6 % (в 2020 году – 15,4%);</w:t>
      </w:r>
    </w:p>
    <w:p w14:paraId="0D42487D" w14:textId="7C546D69" w:rsidR="00201041" w:rsidRPr="00375059" w:rsidRDefault="0049764C"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w:t>
      </w:r>
      <w:r w:rsidR="00201041" w:rsidRPr="00375059">
        <w:rPr>
          <w:rFonts w:ascii="Times New Roman" w:hAnsi="Times New Roman"/>
          <w:sz w:val="28"/>
          <w:szCs w:val="28"/>
        </w:rPr>
        <w:t xml:space="preserve"> граждане, уволенные с последнего места работы в связи с ликвидацией организации, сокращением численности или штата работников организации и </w:t>
      </w:r>
      <w:r w:rsidR="00201041" w:rsidRPr="00375059">
        <w:rPr>
          <w:rFonts w:ascii="Times New Roman" w:hAnsi="Times New Roman"/>
          <w:sz w:val="28"/>
          <w:szCs w:val="28"/>
        </w:rPr>
        <w:lastRenderedPageBreak/>
        <w:t>обратившиеся в отдел занятости в течение года – 129 человек, или 2,8 % (в 2020 году – 6,1%).</w:t>
      </w:r>
    </w:p>
    <w:p w14:paraId="42E39C48" w14:textId="7128DC44"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По состоянию на 1 января 2022 года численность граждан, состоявших на учете службе занятости, составила 2 003 человека (на 1 января 2021 года – 3 339 чел.), из них 1 535 граждан имели статус безработного (на 1 января</w:t>
      </w:r>
      <w:r w:rsidR="000801C5">
        <w:rPr>
          <w:rFonts w:ascii="Times New Roman" w:hAnsi="Times New Roman"/>
          <w:sz w:val="28"/>
          <w:szCs w:val="28"/>
        </w:rPr>
        <w:t xml:space="preserve"> </w:t>
      </w:r>
      <w:r w:rsidRPr="00375059">
        <w:rPr>
          <w:rFonts w:ascii="Times New Roman" w:hAnsi="Times New Roman"/>
          <w:sz w:val="28"/>
          <w:szCs w:val="28"/>
        </w:rPr>
        <w:t>2021</w:t>
      </w:r>
      <w:r w:rsidR="000801C5">
        <w:rPr>
          <w:rFonts w:ascii="Times New Roman" w:hAnsi="Times New Roman"/>
          <w:sz w:val="28"/>
          <w:szCs w:val="28"/>
        </w:rPr>
        <w:t> </w:t>
      </w:r>
      <w:r w:rsidRPr="00375059">
        <w:rPr>
          <w:rFonts w:ascii="Times New Roman" w:hAnsi="Times New Roman"/>
          <w:sz w:val="28"/>
          <w:szCs w:val="28"/>
        </w:rPr>
        <w:t>года – 2 870 чел.).</w:t>
      </w:r>
    </w:p>
    <w:p w14:paraId="30EF4AD4" w14:textId="1C9F01C8"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Уровень регистрируемой безработицы в среднем по республике по состоянию на 1 января 2022 года составил 1,54% к численности экономически активного населения (без учета работающих в силовых структурах) и уменьшился по сравнению с показателем на 1 января 2021 года на 0,98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(рис</w:t>
      </w:r>
      <w:r w:rsidR="00E16DD0" w:rsidRPr="00375059">
        <w:rPr>
          <w:rFonts w:ascii="Times New Roman" w:hAnsi="Times New Roman"/>
          <w:sz w:val="28"/>
          <w:szCs w:val="28"/>
        </w:rPr>
        <w:t>. 4</w:t>
      </w:r>
      <w:r w:rsidR="00540656">
        <w:rPr>
          <w:rFonts w:ascii="Times New Roman" w:hAnsi="Times New Roman"/>
          <w:sz w:val="28"/>
          <w:szCs w:val="28"/>
        </w:rPr>
        <w:t>7</w:t>
      </w:r>
      <w:r w:rsidRPr="00375059">
        <w:rPr>
          <w:rFonts w:ascii="Times New Roman" w:hAnsi="Times New Roman"/>
          <w:sz w:val="28"/>
          <w:szCs w:val="28"/>
        </w:rPr>
        <w:t>). Уровень безработицы в 2021 году уменьшился за счет снижения количества граждан, зарегистрированных в Центрах социального страхования и социальной защиты.</w:t>
      </w:r>
    </w:p>
    <w:p w14:paraId="6716643B"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При этом следует отметить большую степень дифференциации городов и районов республики по уровню безработицы и напряженности на рынке труда. В отчетном периоде наиболее сложная ситуация складывалась по г. </w:t>
      </w:r>
      <w:proofErr w:type="spellStart"/>
      <w:r w:rsidRPr="00375059">
        <w:rPr>
          <w:rFonts w:ascii="Times New Roman" w:hAnsi="Times New Roman"/>
          <w:sz w:val="28"/>
          <w:szCs w:val="28"/>
        </w:rPr>
        <w:t>Слободзея</w:t>
      </w:r>
      <w:proofErr w:type="spellEnd"/>
      <w:r w:rsidRPr="00375059">
        <w:rPr>
          <w:rFonts w:ascii="Times New Roman" w:hAnsi="Times New Roman"/>
          <w:sz w:val="28"/>
          <w:szCs w:val="28"/>
        </w:rPr>
        <w:t xml:space="preserve"> и </w:t>
      </w:r>
      <w:proofErr w:type="spellStart"/>
      <w:r w:rsidRPr="00375059">
        <w:rPr>
          <w:rFonts w:ascii="Times New Roman" w:hAnsi="Times New Roman"/>
          <w:sz w:val="28"/>
          <w:szCs w:val="28"/>
        </w:rPr>
        <w:t>Слободзейскому</w:t>
      </w:r>
      <w:proofErr w:type="spellEnd"/>
      <w:r w:rsidRPr="00375059">
        <w:rPr>
          <w:rFonts w:ascii="Times New Roman" w:hAnsi="Times New Roman"/>
          <w:sz w:val="28"/>
          <w:szCs w:val="28"/>
        </w:rPr>
        <w:t xml:space="preserve"> району, г. Григориополь и </w:t>
      </w:r>
      <w:proofErr w:type="spellStart"/>
      <w:r w:rsidRPr="00375059">
        <w:rPr>
          <w:rFonts w:ascii="Times New Roman" w:hAnsi="Times New Roman"/>
          <w:sz w:val="28"/>
          <w:szCs w:val="28"/>
        </w:rPr>
        <w:t>Григориопольскому</w:t>
      </w:r>
      <w:proofErr w:type="spellEnd"/>
      <w:r w:rsidRPr="00375059">
        <w:rPr>
          <w:rFonts w:ascii="Times New Roman" w:hAnsi="Times New Roman"/>
          <w:sz w:val="28"/>
          <w:szCs w:val="28"/>
        </w:rPr>
        <w:t xml:space="preserve"> району, г. Рыбница и </w:t>
      </w:r>
      <w:proofErr w:type="spellStart"/>
      <w:r w:rsidRPr="00375059">
        <w:rPr>
          <w:rFonts w:ascii="Times New Roman" w:hAnsi="Times New Roman"/>
          <w:sz w:val="28"/>
          <w:szCs w:val="28"/>
        </w:rPr>
        <w:t>Рыбницкому</w:t>
      </w:r>
      <w:proofErr w:type="spellEnd"/>
      <w:r w:rsidRPr="00375059">
        <w:rPr>
          <w:rFonts w:ascii="Times New Roman" w:hAnsi="Times New Roman"/>
          <w:sz w:val="28"/>
          <w:szCs w:val="28"/>
        </w:rPr>
        <w:t xml:space="preserve"> району, где уровень регистрируемой безработицы в конце отчетного периода превысил среднереспубликанский уровень в 2,6 раза, в 2,3 раза, в 2 раза соответственно.</w:t>
      </w:r>
    </w:p>
    <w:p w14:paraId="40F46597" w14:textId="1FC036A3" w:rsidR="00201041" w:rsidRPr="00375059" w:rsidRDefault="00201041" w:rsidP="0049764C">
      <w:pPr>
        <w:tabs>
          <w:tab w:val="left" w:pos="709"/>
          <w:tab w:val="left" w:pos="851"/>
        </w:tabs>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t>Рисунок</w:t>
      </w:r>
      <w:r w:rsidR="00E16DD0" w:rsidRPr="00375059">
        <w:rPr>
          <w:rFonts w:ascii="Times New Roman" w:hAnsi="Times New Roman"/>
          <w:b/>
          <w:i/>
          <w:sz w:val="28"/>
          <w:szCs w:val="28"/>
        </w:rPr>
        <w:t xml:space="preserve"> 4</w:t>
      </w:r>
      <w:r w:rsidR="00540656">
        <w:rPr>
          <w:rFonts w:ascii="Times New Roman" w:hAnsi="Times New Roman"/>
          <w:b/>
          <w:i/>
          <w:sz w:val="28"/>
          <w:szCs w:val="28"/>
        </w:rPr>
        <w:t>7</w:t>
      </w:r>
    </w:p>
    <w:p w14:paraId="7AEA2A6B" w14:textId="77777777" w:rsidR="00201041" w:rsidRPr="00375059" w:rsidRDefault="00201041" w:rsidP="0049764C">
      <w:pPr>
        <w:tabs>
          <w:tab w:val="left" w:pos="709"/>
          <w:tab w:val="left" w:pos="851"/>
        </w:tabs>
        <w:spacing w:after="0" w:line="240" w:lineRule="auto"/>
        <w:jc w:val="center"/>
        <w:rPr>
          <w:rFonts w:ascii="Times New Roman" w:hAnsi="Times New Roman"/>
          <w:b/>
          <w:bCs/>
          <w:sz w:val="28"/>
          <w:szCs w:val="28"/>
        </w:rPr>
      </w:pPr>
      <w:r w:rsidRPr="00375059">
        <w:rPr>
          <w:rFonts w:ascii="Times New Roman" w:hAnsi="Times New Roman"/>
          <w:b/>
          <w:bCs/>
          <w:sz w:val="28"/>
          <w:szCs w:val="28"/>
        </w:rPr>
        <w:t>Уровень регистрируемой безработицы, %</w:t>
      </w:r>
    </w:p>
    <w:p w14:paraId="046A3F8A" w14:textId="634BE7B7" w:rsidR="00201041" w:rsidRPr="00375059" w:rsidRDefault="00201041" w:rsidP="00201041">
      <w:pPr>
        <w:tabs>
          <w:tab w:val="left" w:pos="709"/>
          <w:tab w:val="left" w:pos="851"/>
        </w:tabs>
        <w:spacing w:after="0" w:line="240" w:lineRule="auto"/>
        <w:ind w:firstLine="426"/>
        <w:jc w:val="both"/>
        <w:rPr>
          <w:rFonts w:ascii="Times New Roman" w:hAnsi="Times New Roman"/>
          <w:b/>
          <w:sz w:val="28"/>
          <w:szCs w:val="28"/>
        </w:rPr>
      </w:pPr>
      <w:r w:rsidRPr="00375059">
        <w:rPr>
          <w:rFonts w:ascii="Times New Roman" w:hAnsi="Times New Roman"/>
          <w:noProof/>
          <w:sz w:val="28"/>
          <w:szCs w:val="28"/>
        </w:rPr>
        <w:drawing>
          <wp:inline distT="0" distB="0" distL="0" distR="0" wp14:anchorId="3101A7A8" wp14:editId="650DB77C">
            <wp:extent cx="5684808" cy="2362200"/>
            <wp:effectExtent l="0" t="0" r="0" b="0"/>
            <wp:docPr id="111" name="Диаграмма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144C787" w14:textId="6DF68942" w:rsidR="00E16DD0"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За 2021 год в Центры социального страхования и социальной защиты республики работодателями заявлено 5 806 вакантных рабочих мест (должностей) против 5 093 ед. за 2020 год. По состоянию на 1 января 2022 года в банке вакансий по республике числилась 3 180 вакансий (2 143 ед. годом ранее), среди которых 71,1% – по рабочим профессиям и 28,9% – для специалистов и служащих (рис.</w:t>
      </w:r>
      <w:r w:rsidR="00E16DD0" w:rsidRPr="00375059">
        <w:rPr>
          <w:rFonts w:ascii="Times New Roman" w:hAnsi="Times New Roman"/>
          <w:sz w:val="28"/>
          <w:szCs w:val="28"/>
        </w:rPr>
        <w:t xml:space="preserve"> 4</w:t>
      </w:r>
      <w:r w:rsidR="00540656">
        <w:rPr>
          <w:rFonts w:ascii="Times New Roman" w:hAnsi="Times New Roman"/>
          <w:sz w:val="28"/>
          <w:szCs w:val="28"/>
        </w:rPr>
        <w:t>8</w:t>
      </w:r>
      <w:r w:rsidRPr="00375059">
        <w:rPr>
          <w:rFonts w:ascii="Times New Roman" w:hAnsi="Times New Roman"/>
          <w:sz w:val="28"/>
          <w:szCs w:val="28"/>
        </w:rPr>
        <w:t>). В разрезе отраслей экономики наибольшее количество заявленных вакансий приходилась на промышленность – 24,0%, образование – 10,6%, строительство – 9,7%, сельское хозяйство – 8,6%, жилищно-коммунальное хозяйство – 8,3%, здравоохранение – 7,9% от общей потребности организаций в рабочей силе.</w:t>
      </w:r>
    </w:p>
    <w:p w14:paraId="3415CF6D" w14:textId="77777777" w:rsidR="005E1141" w:rsidRDefault="005E1141">
      <w:pPr>
        <w:spacing w:after="160" w:line="259" w:lineRule="auto"/>
        <w:rPr>
          <w:rFonts w:ascii="Times New Roman" w:hAnsi="Times New Roman"/>
          <w:b/>
          <w:i/>
          <w:sz w:val="28"/>
          <w:szCs w:val="28"/>
        </w:rPr>
      </w:pPr>
      <w:r>
        <w:rPr>
          <w:rFonts w:ascii="Times New Roman" w:hAnsi="Times New Roman"/>
          <w:b/>
          <w:i/>
          <w:sz w:val="28"/>
          <w:szCs w:val="28"/>
        </w:rPr>
        <w:br w:type="page"/>
      </w:r>
    </w:p>
    <w:p w14:paraId="528AB280" w14:textId="66C5748B" w:rsidR="00201041" w:rsidRPr="00375059" w:rsidRDefault="00201041" w:rsidP="0049764C">
      <w:pPr>
        <w:tabs>
          <w:tab w:val="left" w:pos="709"/>
          <w:tab w:val="left" w:pos="851"/>
        </w:tabs>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lastRenderedPageBreak/>
        <w:t>Рисунок</w:t>
      </w:r>
      <w:r w:rsidR="00E16DD0" w:rsidRPr="00375059">
        <w:rPr>
          <w:rFonts w:ascii="Times New Roman" w:hAnsi="Times New Roman"/>
          <w:b/>
          <w:i/>
          <w:sz w:val="28"/>
          <w:szCs w:val="28"/>
        </w:rPr>
        <w:t xml:space="preserve"> 4</w:t>
      </w:r>
      <w:r w:rsidR="00540656">
        <w:rPr>
          <w:rFonts w:ascii="Times New Roman" w:hAnsi="Times New Roman"/>
          <w:b/>
          <w:i/>
          <w:sz w:val="28"/>
          <w:szCs w:val="28"/>
        </w:rPr>
        <w:t>8</w:t>
      </w:r>
    </w:p>
    <w:p w14:paraId="2DEEB5A3" w14:textId="77777777" w:rsidR="00201041" w:rsidRPr="00375059" w:rsidRDefault="00201041" w:rsidP="0049764C">
      <w:pPr>
        <w:tabs>
          <w:tab w:val="left" w:pos="709"/>
          <w:tab w:val="left" w:pos="851"/>
        </w:tabs>
        <w:spacing w:after="0" w:line="240" w:lineRule="auto"/>
        <w:jc w:val="center"/>
        <w:rPr>
          <w:rFonts w:ascii="Times New Roman" w:hAnsi="Times New Roman"/>
          <w:b/>
          <w:sz w:val="28"/>
          <w:szCs w:val="28"/>
        </w:rPr>
      </w:pPr>
      <w:r w:rsidRPr="00375059">
        <w:rPr>
          <w:rFonts w:ascii="Times New Roman" w:hAnsi="Times New Roman"/>
          <w:b/>
          <w:bCs/>
          <w:sz w:val="28"/>
          <w:szCs w:val="28"/>
        </w:rPr>
        <w:t>Динамика отдельных показателей рынка труда</w:t>
      </w:r>
    </w:p>
    <w:p w14:paraId="39BAFF96" w14:textId="620C0EC6" w:rsidR="00201041" w:rsidRPr="00375059" w:rsidRDefault="00201041" w:rsidP="0049764C">
      <w:pPr>
        <w:tabs>
          <w:tab w:val="left" w:pos="709"/>
          <w:tab w:val="left" w:pos="851"/>
        </w:tabs>
        <w:spacing w:after="0" w:line="240" w:lineRule="auto"/>
        <w:jc w:val="both"/>
        <w:rPr>
          <w:rFonts w:ascii="Times New Roman" w:hAnsi="Times New Roman"/>
          <w:sz w:val="28"/>
          <w:szCs w:val="28"/>
        </w:rPr>
      </w:pPr>
      <w:r w:rsidRPr="00375059">
        <w:rPr>
          <w:rFonts w:ascii="Times New Roman" w:hAnsi="Times New Roman"/>
          <w:noProof/>
          <w:sz w:val="28"/>
          <w:szCs w:val="28"/>
        </w:rPr>
        <w:drawing>
          <wp:inline distT="0" distB="0" distL="0" distR="0" wp14:anchorId="2789B445" wp14:editId="079E616C">
            <wp:extent cx="5934075" cy="3009900"/>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9FD7838"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Деятельность в области занятости населения в отчетном периоде была направлена на обеспечение гарантированной государством материальной поддержки безработных граждан, проведение программ активной политики занятости, направленных на повышение конкурентоспособности безработных граждан на рынке труда и их скорейшему трудоустройству, путем таких разнообразных мер, как помощь в трудоустройстве, организация общественных работ, профессиональное обучение и консультирование и другие.</w:t>
      </w:r>
    </w:p>
    <w:p w14:paraId="6BF9ECF5" w14:textId="31B5F812"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За 2021 год при содействии Центров социального страхования и социальной защиты было трудоустроено 1 540 граждан (за 2020 год – </w:t>
      </w:r>
      <w:r w:rsidR="00080B0F">
        <w:rPr>
          <w:rFonts w:ascii="Times New Roman" w:hAnsi="Times New Roman"/>
          <w:sz w:val="28"/>
          <w:szCs w:val="28"/>
        </w:rPr>
        <w:br/>
      </w:r>
      <w:r w:rsidRPr="00375059">
        <w:rPr>
          <w:rFonts w:ascii="Times New Roman" w:hAnsi="Times New Roman"/>
          <w:sz w:val="28"/>
          <w:szCs w:val="28"/>
        </w:rPr>
        <w:t xml:space="preserve">1 452 человека), из которых 49 пенсионеров, к категории инвалидов относится 45 человек. </w:t>
      </w:r>
    </w:p>
    <w:p w14:paraId="6E04736E"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В рамках активной политики занятости реализованы следующие мероприятия:</w:t>
      </w:r>
    </w:p>
    <w:p w14:paraId="3BCD29B0" w14:textId="2CFA99A3"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 а) в соответствии с договорами, заключенными с организациями республики, в общественных работах приняли участие 461 безработный гражданин. Участниками отработано на общественных работах </w:t>
      </w:r>
      <w:r w:rsidR="00080B0F">
        <w:rPr>
          <w:rFonts w:ascii="Times New Roman" w:hAnsi="Times New Roman"/>
          <w:sz w:val="28"/>
          <w:szCs w:val="28"/>
        </w:rPr>
        <w:br/>
      </w:r>
      <w:r w:rsidRPr="00375059">
        <w:rPr>
          <w:rFonts w:ascii="Times New Roman" w:hAnsi="Times New Roman"/>
          <w:sz w:val="28"/>
          <w:szCs w:val="28"/>
        </w:rPr>
        <w:t>5 713 человеко-дней, средняя продолжительность участия составила 12,4 дня.</w:t>
      </w:r>
    </w:p>
    <w:p w14:paraId="48C51FFA"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Общественные работы проводились в Военных комиссариатах городов и районов Приднестровской Молдавской Республики (выписка повесток и их рассылка), Госадминистрациях городов и районов республики, МОУ ДО «Каменская СДЮШОР», МДОУ «Каменский центр развития ребенка» МУП «Каменское ПУЖКХ», МУП «</w:t>
      </w:r>
      <w:proofErr w:type="spellStart"/>
      <w:r w:rsidRPr="00375059">
        <w:rPr>
          <w:rFonts w:ascii="Times New Roman" w:hAnsi="Times New Roman"/>
          <w:sz w:val="28"/>
          <w:szCs w:val="28"/>
        </w:rPr>
        <w:t>Дубоссарское</w:t>
      </w:r>
      <w:proofErr w:type="spellEnd"/>
      <w:r w:rsidRPr="00375059">
        <w:rPr>
          <w:rFonts w:ascii="Times New Roman" w:hAnsi="Times New Roman"/>
          <w:sz w:val="28"/>
          <w:szCs w:val="28"/>
        </w:rPr>
        <w:t xml:space="preserve"> ПУЖКХ», МУП «</w:t>
      </w:r>
      <w:proofErr w:type="spellStart"/>
      <w:r w:rsidRPr="00375059">
        <w:rPr>
          <w:rFonts w:ascii="Times New Roman" w:hAnsi="Times New Roman"/>
          <w:sz w:val="28"/>
          <w:szCs w:val="28"/>
        </w:rPr>
        <w:t>Рыбницкое</w:t>
      </w:r>
      <w:proofErr w:type="spellEnd"/>
      <w:r w:rsidRPr="00375059">
        <w:rPr>
          <w:rFonts w:ascii="Times New Roman" w:hAnsi="Times New Roman"/>
          <w:sz w:val="28"/>
          <w:szCs w:val="28"/>
        </w:rPr>
        <w:t xml:space="preserve"> ПКХБ», МУ «</w:t>
      </w:r>
      <w:proofErr w:type="spellStart"/>
      <w:r w:rsidRPr="00375059">
        <w:rPr>
          <w:rFonts w:ascii="Times New Roman" w:hAnsi="Times New Roman"/>
          <w:sz w:val="28"/>
          <w:szCs w:val="28"/>
        </w:rPr>
        <w:t>Слободзейское</w:t>
      </w:r>
      <w:proofErr w:type="spellEnd"/>
      <w:r w:rsidRPr="00375059">
        <w:rPr>
          <w:rFonts w:ascii="Times New Roman" w:hAnsi="Times New Roman"/>
          <w:sz w:val="28"/>
          <w:szCs w:val="28"/>
        </w:rPr>
        <w:t xml:space="preserve"> РУФКСТ и МП», МУП «ЖЭУК г. </w:t>
      </w:r>
      <w:proofErr w:type="spellStart"/>
      <w:r w:rsidRPr="00375059">
        <w:rPr>
          <w:rFonts w:ascii="Times New Roman" w:hAnsi="Times New Roman"/>
          <w:sz w:val="28"/>
          <w:szCs w:val="28"/>
        </w:rPr>
        <w:t>Днестровск</w:t>
      </w:r>
      <w:proofErr w:type="spellEnd"/>
      <w:r w:rsidRPr="00375059">
        <w:rPr>
          <w:rFonts w:ascii="Times New Roman" w:hAnsi="Times New Roman"/>
          <w:sz w:val="28"/>
          <w:szCs w:val="28"/>
        </w:rPr>
        <w:t>» (благоустройство и уборка территории);</w:t>
      </w:r>
    </w:p>
    <w:p w14:paraId="4D6887E5" w14:textId="090C2361"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б) на курсовую профессиональную подготовку, переподготовку, повышение квалификации был направлен 61 человек по востребованным на рынке труда профессиям (тракторист, электрогазосварщик, парикмахер, </w:t>
      </w:r>
      <w:r w:rsidRPr="00375059">
        <w:rPr>
          <w:rFonts w:ascii="Times New Roman" w:hAnsi="Times New Roman"/>
          <w:sz w:val="28"/>
          <w:szCs w:val="28"/>
        </w:rPr>
        <w:lastRenderedPageBreak/>
        <w:t xml:space="preserve">повар, электромонтер по эксплуатации электрических сетей, кондитер, электротехнический персонал на знание норм и правил работы в электроустановках, оператор паровых и водонагревательных котлов на все виды топлива, электромонтер, офис-менеджер (делопроизводитель) и кадровое дело, пользователь ПК, продавец-кассир, 1С-бухгалтерия, иностранный язык (английский), мастер маникюра). Первоначальное обучение прошли 44 человека, профессиональную переподготовку прошли </w:t>
      </w:r>
      <w:r w:rsidR="00080B0F">
        <w:rPr>
          <w:rFonts w:ascii="Times New Roman" w:hAnsi="Times New Roman"/>
          <w:sz w:val="28"/>
          <w:szCs w:val="28"/>
        </w:rPr>
        <w:br/>
      </w:r>
      <w:r w:rsidRPr="00375059">
        <w:rPr>
          <w:rFonts w:ascii="Times New Roman" w:hAnsi="Times New Roman"/>
          <w:sz w:val="28"/>
          <w:szCs w:val="28"/>
        </w:rPr>
        <w:t>13 человек и 7 человек повысили квалификацию, из которых трудоустроено 15 человек, 9 человек продолжили обучение на начало 2022 года, 4 человека отчислены;</w:t>
      </w:r>
      <w:r w:rsidRPr="00375059">
        <w:rPr>
          <w:rFonts w:ascii="Times New Roman" w:hAnsi="Times New Roman"/>
          <w:sz w:val="28"/>
          <w:szCs w:val="28"/>
        </w:rPr>
        <w:tab/>
      </w:r>
    </w:p>
    <w:p w14:paraId="3E32405F" w14:textId="08F70F21"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в) по программе временной занятости молодежи «Молодежная практика»  молодым людям (до 29 лет), не имеющим профессионального образования, а также молодым специалистам после окончания организаций профессионального образования предоставлялась возможность в течение трех-шести месяцев обрести профессиональные знания, умения, навыки под руководством опытного мастера-наставника в организациях республики.  На договорной основе с предприятиями ДООО «УПП глухих», ООО «</w:t>
      </w:r>
      <w:proofErr w:type="spellStart"/>
      <w:r w:rsidRPr="00375059">
        <w:rPr>
          <w:rFonts w:ascii="Times New Roman" w:hAnsi="Times New Roman"/>
          <w:sz w:val="28"/>
          <w:szCs w:val="28"/>
        </w:rPr>
        <w:t>Жасмонд</w:t>
      </w:r>
      <w:proofErr w:type="spellEnd"/>
      <w:r w:rsidRPr="00375059">
        <w:rPr>
          <w:rFonts w:ascii="Times New Roman" w:hAnsi="Times New Roman"/>
          <w:sz w:val="28"/>
          <w:szCs w:val="28"/>
        </w:rPr>
        <w:t>», ООО «Спрос», ООО «</w:t>
      </w:r>
      <w:proofErr w:type="spellStart"/>
      <w:r w:rsidRPr="00375059">
        <w:rPr>
          <w:rFonts w:ascii="Times New Roman" w:hAnsi="Times New Roman"/>
          <w:sz w:val="28"/>
          <w:szCs w:val="28"/>
        </w:rPr>
        <w:t>Интерцентр</w:t>
      </w:r>
      <w:proofErr w:type="spellEnd"/>
      <w:r w:rsidRPr="00375059">
        <w:rPr>
          <w:rFonts w:ascii="Times New Roman" w:hAnsi="Times New Roman"/>
          <w:sz w:val="28"/>
          <w:szCs w:val="28"/>
        </w:rPr>
        <w:t xml:space="preserve">-Люкс» 5 человек прошли практику, </w:t>
      </w:r>
      <w:r w:rsidR="00080B0F">
        <w:rPr>
          <w:rFonts w:ascii="Times New Roman" w:hAnsi="Times New Roman"/>
          <w:sz w:val="28"/>
          <w:szCs w:val="28"/>
        </w:rPr>
        <w:br/>
      </w:r>
      <w:r w:rsidRPr="00375059">
        <w:rPr>
          <w:rFonts w:ascii="Times New Roman" w:hAnsi="Times New Roman"/>
          <w:sz w:val="28"/>
          <w:szCs w:val="28"/>
        </w:rPr>
        <w:t>3 человек было трудоустроено;</w:t>
      </w:r>
    </w:p>
    <w:p w14:paraId="28DC50BC"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г) по программе «Стажер» 1 человек закончил обучение в ГУ «</w:t>
      </w:r>
      <w:proofErr w:type="spellStart"/>
      <w:r w:rsidRPr="00375059">
        <w:rPr>
          <w:rFonts w:ascii="Times New Roman" w:hAnsi="Times New Roman"/>
          <w:sz w:val="28"/>
          <w:szCs w:val="28"/>
        </w:rPr>
        <w:t>Слободзейская</w:t>
      </w:r>
      <w:proofErr w:type="spellEnd"/>
      <w:r w:rsidRPr="00375059">
        <w:rPr>
          <w:rFonts w:ascii="Times New Roman" w:hAnsi="Times New Roman"/>
          <w:sz w:val="28"/>
          <w:szCs w:val="28"/>
        </w:rPr>
        <w:t xml:space="preserve"> ЦРБ» по специальности «повар» и был трудоустроен, 1 человек прошел обучение и трудоустроен в ГУ «</w:t>
      </w:r>
      <w:proofErr w:type="spellStart"/>
      <w:r w:rsidRPr="00375059">
        <w:rPr>
          <w:rFonts w:ascii="Times New Roman" w:hAnsi="Times New Roman"/>
          <w:sz w:val="28"/>
          <w:szCs w:val="28"/>
        </w:rPr>
        <w:t>Рыбницкая</w:t>
      </w:r>
      <w:proofErr w:type="spellEnd"/>
      <w:r w:rsidRPr="00375059">
        <w:rPr>
          <w:rFonts w:ascii="Times New Roman" w:hAnsi="Times New Roman"/>
          <w:sz w:val="28"/>
          <w:szCs w:val="28"/>
        </w:rPr>
        <w:t xml:space="preserve"> центральная республиканская больница» по специальности «бухгалтер»;</w:t>
      </w:r>
    </w:p>
    <w:p w14:paraId="2711F612"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д) по программе «Шанс» с целью восстановления профессиональных знаний, умений, навыков, приобретения производственного стажа и скорейшего постоянного трудоустройства на постоянное место работы было направлено 4 человека, 3 из которых трудоустроены;</w:t>
      </w:r>
    </w:p>
    <w:p w14:paraId="7719C5BC"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е) по программе «Организация занятости несовершеннолетней молодежи» были трудоустроены 336 участников, которые занимались благоустройством и озеленением территорий;</w:t>
      </w:r>
    </w:p>
    <w:p w14:paraId="32C3BC27"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ж) оформлены на досрочную пенсию 19 граждан предпенсионного возраста, уволенных с последнего места работы в связи с ликвидацией организации, сокращением численности или штата работников организации.</w:t>
      </w:r>
    </w:p>
    <w:p w14:paraId="1A15EB94"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2021 году в связи с введением ограничительных мероприятий (карантина) по предотвращению распространения коронавирусной инфекции COVID-19 Центрами социального страхования и социальной защиты городов и районов республики не проводились «Ярмарки учебных мест» и «Ярмарки рабочих мест». </w:t>
      </w:r>
    </w:p>
    <w:p w14:paraId="55FB4436" w14:textId="77777777" w:rsidR="00201041" w:rsidRPr="00375059" w:rsidRDefault="00201041" w:rsidP="001463C8">
      <w:pPr>
        <w:tabs>
          <w:tab w:val="left" w:pos="709"/>
          <w:tab w:val="left" w:pos="851"/>
        </w:tabs>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На реализацию программ активной политики занятости за 2021 год израсходовано 1,1 млн руб., на материальную поддержку безработных граждан израсходовано 11,3 млн руб. </w:t>
      </w:r>
    </w:p>
    <w:p w14:paraId="3ACC470A" w14:textId="77777777" w:rsidR="005E1141" w:rsidRDefault="00201041" w:rsidP="001463C8">
      <w:pPr>
        <w:tabs>
          <w:tab w:val="left" w:pos="709"/>
          <w:tab w:val="left" w:pos="851"/>
        </w:tabs>
        <w:spacing w:after="0" w:line="240" w:lineRule="auto"/>
        <w:ind w:firstLine="567"/>
        <w:jc w:val="both"/>
        <w:rPr>
          <w:rFonts w:ascii="Times New Roman" w:hAnsi="Times New Roman"/>
          <w:sz w:val="28"/>
          <w:szCs w:val="28"/>
        </w:rPr>
        <w:sectPr w:rsidR="005E1141" w:rsidSect="00963998">
          <w:headerReference w:type="even" r:id="rId64"/>
          <w:headerReference w:type="default" r:id="rId65"/>
          <w:headerReference w:type="first" r:id="rId66"/>
          <w:pgSz w:w="11906" w:h="16838"/>
          <w:pgMar w:top="1134" w:right="850" w:bottom="1134" w:left="1701" w:header="454" w:footer="340" w:gutter="0"/>
          <w:cols w:space="708"/>
          <w:titlePg/>
          <w:docGrid w:linePitch="360"/>
        </w:sectPr>
      </w:pPr>
      <w:r w:rsidRPr="00375059">
        <w:rPr>
          <w:rFonts w:ascii="Times New Roman" w:hAnsi="Times New Roman"/>
          <w:sz w:val="28"/>
          <w:szCs w:val="28"/>
        </w:rPr>
        <w:t xml:space="preserve">Средний размер пособия по безработице за 2021 год составил 415,03 руб. (за 2020 год – 416,11 руб.). Среднесписочная численность граждан, ежемесячно получающих пособие, составила 2 253 человека, что на </w:t>
      </w:r>
      <w:r w:rsidR="00080B0F">
        <w:rPr>
          <w:rFonts w:ascii="Times New Roman" w:hAnsi="Times New Roman"/>
          <w:sz w:val="28"/>
          <w:szCs w:val="28"/>
        </w:rPr>
        <w:br/>
      </w:r>
      <w:r w:rsidRPr="00375059">
        <w:rPr>
          <w:rFonts w:ascii="Times New Roman" w:hAnsi="Times New Roman"/>
          <w:sz w:val="28"/>
          <w:szCs w:val="28"/>
        </w:rPr>
        <w:t>392 человека меньше, чем за 2020 год.</w:t>
      </w:r>
    </w:p>
    <w:p w14:paraId="18E7DD68" w14:textId="6D01D2FD" w:rsidR="00201041" w:rsidRPr="00375059" w:rsidRDefault="00201041" w:rsidP="001463C8">
      <w:pPr>
        <w:pStyle w:val="2"/>
        <w:spacing w:before="0" w:line="240" w:lineRule="auto"/>
        <w:ind w:firstLine="567"/>
        <w:rPr>
          <w:rFonts w:ascii="Times New Roman" w:hAnsi="Times New Roman" w:cs="Times New Roman"/>
          <w:b/>
          <w:color w:val="auto"/>
          <w:sz w:val="28"/>
        </w:rPr>
      </w:pPr>
      <w:bookmarkStart w:id="42" w:name="_Toc82074354"/>
      <w:bookmarkStart w:id="43" w:name="_Toc101441791"/>
      <w:r w:rsidRPr="00375059">
        <w:rPr>
          <w:rFonts w:ascii="Times New Roman" w:hAnsi="Times New Roman" w:cs="Times New Roman"/>
          <w:b/>
          <w:color w:val="auto"/>
          <w:sz w:val="28"/>
        </w:rPr>
        <w:lastRenderedPageBreak/>
        <w:t>Финансы</w:t>
      </w:r>
      <w:bookmarkEnd w:id="42"/>
      <w:bookmarkEnd w:id="43"/>
    </w:p>
    <w:p w14:paraId="5F3885B6" w14:textId="77777777" w:rsidR="00E16DD0" w:rsidRPr="00375059" w:rsidRDefault="00E16DD0" w:rsidP="001463C8">
      <w:pPr>
        <w:pStyle w:val="2"/>
        <w:spacing w:before="0" w:line="240" w:lineRule="auto"/>
        <w:ind w:firstLine="567"/>
        <w:rPr>
          <w:rFonts w:ascii="Times New Roman" w:hAnsi="Times New Roman" w:cs="Times New Roman"/>
          <w:b/>
          <w:color w:val="auto"/>
          <w:sz w:val="28"/>
        </w:rPr>
      </w:pPr>
    </w:p>
    <w:p w14:paraId="1225AB49" w14:textId="77777777" w:rsidR="00201041" w:rsidRPr="00375059" w:rsidRDefault="00201041" w:rsidP="001463C8">
      <w:pPr>
        <w:pStyle w:val="2"/>
        <w:spacing w:before="0" w:line="240" w:lineRule="auto"/>
        <w:ind w:firstLine="567"/>
        <w:rPr>
          <w:rFonts w:ascii="Times New Roman" w:hAnsi="Times New Roman" w:cs="Times New Roman"/>
          <w:b/>
          <w:color w:val="auto"/>
          <w:sz w:val="28"/>
        </w:rPr>
      </w:pPr>
      <w:bookmarkStart w:id="44" w:name="_Toc82074355"/>
      <w:bookmarkStart w:id="45" w:name="_Toc101441792"/>
      <w:r w:rsidRPr="00375059">
        <w:rPr>
          <w:rFonts w:ascii="Times New Roman" w:hAnsi="Times New Roman" w:cs="Times New Roman"/>
          <w:b/>
          <w:color w:val="auto"/>
          <w:sz w:val="28"/>
        </w:rPr>
        <w:t>Исполнение консолидированного бюджета</w:t>
      </w:r>
      <w:bookmarkEnd w:id="44"/>
      <w:bookmarkEnd w:id="45"/>
    </w:p>
    <w:p w14:paraId="4A28D474"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Бюджетная политика в 2021 году реализовывалась в условиях динамичного роста производства в основных отраслях промышленности, увеличения объемов внешнеторговых операций и внутреннего розничного товарооборота на фоне повышения уровня оплаты труда в экономике.</w:t>
      </w:r>
    </w:p>
    <w:p w14:paraId="1B6B442E" w14:textId="351F5918" w:rsidR="00201041" w:rsidRPr="00375059" w:rsidRDefault="00201041" w:rsidP="001463C8">
      <w:pPr>
        <w:shd w:val="clear" w:color="auto" w:fill="FFFFFF"/>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По итогам отчетного года в доходную часть консолидированного бюджета поступило 3 389,5 млн руб. (с учетом безвозмездных перечислений, в том числе гуманитарной помощи Российской Федерации), что на 16,1% (471,1 млн руб.) выше уровня 2020 года (табл. </w:t>
      </w:r>
      <w:r w:rsidR="00E16DD0" w:rsidRPr="00375059">
        <w:rPr>
          <w:rFonts w:ascii="Times New Roman" w:eastAsia="Calibri" w:hAnsi="Times New Roman"/>
          <w:sz w:val="28"/>
          <w:szCs w:val="28"/>
        </w:rPr>
        <w:t>7</w:t>
      </w:r>
      <w:r w:rsidRPr="00375059">
        <w:rPr>
          <w:rFonts w:ascii="Times New Roman" w:eastAsia="Calibri" w:hAnsi="Times New Roman"/>
          <w:sz w:val="28"/>
          <w:szCs w:val="28"/>
        </w:rPr>
        <w:t>).</w:t>
      </w:r>
    </w:p>
    <w:p w14:paraId="7D234A9C" w14:textId="63152604" w:rsidR="00201041" w:rsidRPr="00375059" w:rsidRDefault="00201041" w:rsidP="008E362D">
      <w:pPr>
        <w:spacing w:after="0" w:line="240" w:lineRule="auto"/>
        <w:jc w:val="right"/>
        <w:rPr>
          <w:rFonts w:ascii="Times New Roman" w:eastAsia="Calibri" w:hAnsi="Times New Roman"/>
          <w:b/>
          <w:i/>
          <w:sz w:val="28"/>
          <w:szCs w:val="28"/>
        </w:rPr>
      </w:pPr>
      <w:r w:rsidRPr="00375059">
        <w:rPr>
          <w:rFonts w:ascii="Times New Roman" w:eastAsia="Calibri" w:hAnsi="Times New Roman"/>
          <w:b/>
          <w:i/>
          <w:sz w:val="28"/>
          <w:szCs w:val="28"/>
        </w:rPr>
        <w:t xml:space="preserve">Таблица </w:t>
      </w:r>
      <w:r w:rsidR="00E16DD0" w:rsidRPr="00375059">
        <w:rPr>
          <w:rFonts w:ascii="Times New Roman" w:eastAsia="Calibri" w:hAnsi="Times New Roman"/>
          <w:b/>
          <w:i/>
          <w:sz w:val="28"/>
          <w:szCs w:val="28"/>
        </w:rPr>
        <w:t>7</w:t>
      </w:r>
    </w:p>
    <w:p w14:paraId="4DF241D3" w14:textId="1503A8C0" w:rsidR="00201041" w:rsidRPr="00375059" w:rsidRDefault="00201041" w:rsidP="008E362D">
      <w:pPr>
        <w:spacing w:after="0" w:line="240" w:lineRule="auto"/>
        <w:jc w:val="center"/>
        <w:rPr>
          <w:rFonts w:ascii="Times New Roman" w:eastAsia="Calibri" w:hAnsi="Times New Roman"/>
          <w:b/>
          <w:sz w:val="28"/>
          <w:szCs w:val="28"/>
        </w:rPr>
      </w:pPr>
      <w:r w:rsidRPr="00375059">
        <w:rPr>
          <w:rFonts w:ascii="Times New Roman" w:eastAsia="Calibri" w:hAnsi="Times New Roman"/>
          <w:b/>
          <w:sz w:val="28"/>
          <w:szCs w:val="28"/>
        </w:rPr>
        <w:t>Исполнение доходной части</w:t>
      </w:r>
    </w:p>
    <w:p w14:paraId="61D41EEE" w14:textId="77777777" w:rsidR="00201041" w:rsidRPr="00375059" w:rsidRDefault="00201041" w:rsidP="008E362D">
      <w:pPr>
        <w:spacing w:after="0" w:line="240" w:lineRule="auto"/>
        <w:jc w:val="center"/>
        <w:rPr>
          <w:rFonts w:ascii="Times New Roman" w:eastAsia="Calibri" w:hAnsi="Times New Roman"/>
          <w:bCs/>
        </w:rPr>
      </w:pPr>
      <w:r w:rsidRPr="00375059">
        <w:rPr>
          <w:rFonts w:ascii="Times New Roman" w:eastAsia="Calibri" w:hAnsi="Times New Roman"/>
          <w:b/>
          <w:sz w:val="28"/>
          <w:szCs w:val="28"/>
        </w:rPr>
        <w:t>консолидированного бюджета за 2021 года, млн руб</w:t>
      </w:r>
      <w:r w:rsidRPr="00375059">
        <w:rPr>
          <w:rFonts w:ascii="Times New Roman" w:eastAsia="Calibri" w:hAnsi="Times New Roman"/>
          <w:bCs/>
        </w:rPr>
        <w:t>.</w:t>
      </w:r>
    </w:p>
    <w:tbl>
      <w:tblPr>
        <w:tblpPr w:leftFromText="180" w:rightFromText="180" w:vertAnchor="text" w:horzAnchor="page" w:tblpX="1696" w:tblpY="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232"/>
        <w:gridCol w:w="1232"/>
        <w:gridCol w:w="1506"/>
        <w:gridCol w:w="1785"/>
      </w:tblGrid>
      <w:tr w:rsidR="00201041" w:rsidRPr="00375059" w14:paraId="2C5761EF" w14:textId="77777777" w:rsidTr="002706DB">
        <w:trPr>
          <w:cantSplit/>
          <w:trHeight w:val="122"/>
        </w:trPr>
        <w:tc>
          <w:tcPr>
            <w:tcW w:w="1921" w:type="pct"/>
            <w:shd w:val="clear" w:color="auto" w:fill="D9D9D9" w:themeFill="background1" w:themeFillShade="D9"/>
            <w:noWrap/>
            <w:vAlign w:val="center"/>
          </w:tcPr>
          <w:p w14:paraId="7EE19106" w14:textId="77777777" w:rsidR="00201041" w:rsidRPr="00375059" w:rsidRDefault="00201041" w:rsidP="002706DB">
            <w:pPr>
              <w:tabs>
                <w:tab w:val="left" w:pos="1950"/>
              </w:tabs>
              <w:spacing w:after="0" w:line="240" w:lineRule="auto"/>
              <w:jc w:val="center"/>
              <w:rPr>
                <w:rFonts w:ascii="Times New Roman" w:eastAsia="Calibri" w:hAnsi="Times New Roman"/>
                <w:b/>
                <w:bCs/>
                <w:sz w:val="24"/>
                <w:szCs w:val="24"/>
              </w:rPr>
            </w:pPr>
            <w:r w:rsidRPr="00375059">
              <w:rPr>
                <w:rFonts w:ascii="Times New Roman" w:eastAsia="Calibri" w:hAnsi="Times New Roman"/>
                <w:b/>
                <w:bCs/>
                <w:sz w:val="24"/>
                <w:szCs w:val="24"/>
              </w:rPr>
              <w:t>Показатель</w:t>
            </w:r>
          </w:p>
        </w:tc>
        <w:tc>
          <w:tcPr>
            <w:tcW w:w="659" w:type="pct"/>
            <w:shd w:val="clear" w:color="auto" w:fill="D9D9D9" w:themeFill="background1" w:themeFillShade="D9"/>
            <w:noWrap/>
            <w:vAlign w:val="center"/>
            <w:hideMark/>
          </w:tcPr>
          <w:p w14:paraId="2E85909C" w14:textId="77777777" w:rsidR="00201041" w:rsidRPr="00375059" w:rsidRDefault="00201041" w:rsidP="002706DB">
            <w:pPr>
              <w:spacing w:after="0" w:line="240" w:lineRule="auto"/>
              <w:jc w:val="center"/>
              <w:rPr>
                <w:rFonts w:ascii="Times New Roman" w:hAnsi="Times New Roman"/>
                <w:b/>
                <w:bCs/>
                <w:sz w:val="24"/>
                <w:szCs w:val="24"/>
              </w:rPr>
            </w:pPr>
            <w:r w:rsidRPr="00375059">
              <w:rPr>
                <w:rFonts w:ascii="Times New Roman" w:hAnsi="Times New Roman"/>
                <w:b/>
                <w:bCs/>
                <w:sz w:val="24"/>
                <w:szCs w:val="24"/>
              </w:rPr>
              <w:t>план</w:t>
            </w:r>
          </w:p>
        </w:tc>
        <w:tc>
          <w:tcPr>
            <w:tcW w:w="659" w:type="pct"/>
            <w:shd w:val="clear" w:color="auto" w:fill="D9D9D9" w:themeFill="background1" w:themeFillShade="D9"/>
            <w:noWrap/>
            <w:vAlign w:val="center"/>
            <w:hideMark/>
          </w:tcPr>
          <w:p w14:paraId="55098D35" w14:textId="77777777" w:rsidR="00201041" w:rsidRPr="00375059" w:rsidRDefault="00201041" w:rsidP="002706DB">
            <w:pPr>
              <w:spacing w:after="0" w:line="240" w:lineRule="auto"/>
              <w:jc w:val="center"/>
              <w:rPr>
                <w:rFonts w:ascii="Times New Roman" w:hAnsi="Times New Roman"/>
                <w:b/>
                <w:bCs/>
                <w:sz w:val="24"/>
                <w:szCs w:val="24"/>
              </w:rPr>
            </w:pPr>
            <w:r w:rsidRPr="00375059">
              <w:rPr>
                <w:rFonts w:ascii="Times New Roman" w:hAnsi="Times New Roman"/>
                <w:b/>
                <w:bCs/>
                <w:sz w:val="24"/>
                <w:szCs w:val="24"/>
              </w:rPr>
              <w:t>факт</w:t>
            </w:r>
          </w:p>
        </w:tc>
        <w:tc>
          <w:tcPr>
            <w:tcW w:w="806" w:type="pct"/>
            <w:shd w:val="clear" w:color="auto" w:fill="D9D9D9" w:themeFill="background1" w:themeFillShade="D9"/>
            <w:vAlign w:val="center"/>
            <w:hideMark/>
          </w:tcPr>
          <w:p w14:paraId="6A7B109B" w14:textId="77777777" w:rsidR="00201041" w:rsidRPr="00375059" w:rsidRDefault="00201041" w:rsidP="002706DB">
            <w:pPr>
              <w:spacing w:after="0" w:line="240" w:lineRule="auto"/>
              <w:jc w:val="center"/>
              <w:rPr>
                <w:rFonts w:ascii="Times New Roman" w:hAnsi="Times New Roman"/>
                <w:b/>
                <w:bCs/>
                <w:sz w:val="24"/>
                <w:szCs w:val="24"/>
              </w:rPr>
            </w:pPr>
            <w:r w:rsidRPr="00375059">
              <w:rPr>
                <w:rFonts w:ascii="Times New Roman" w:hAnsi="Times New Roman"/>
                <w:b/>
                <w:bCs/>
                <w:sz w:val="24"/>
                <w:szCs w:val="24"/>
              </w:rPr>
              <w:t>%</w:t>
            </w:r>
          </w:p>
          <w:p w14:paraId="0E38E8CC" w14:textId="77777777" w:rsidR="00201041" w:rsidRPr="00375059" w:rsidRDefault="00201041" w:rsidP="002706DB">
            <w:pPr>
              <w:spacing w:after="0" w:line="240" w:lineRule="auto"/>
              <w:jc w:val="center"/>
              <w:rPr>
                <w:rFonts w:ascii="Times New Roman" w:eastAsia="Calibri" w:hAnsi="Times New Roman"/>
                <w:b/>
                <w:bCs/>
                <w:sz w:val="24"/>
                <w:szCs w:val="24"/>
              </w:rPr>
            </w:pPr>
            <w:r w:rsidRPr="00375059">
              <w:rPr>
                <w:rFonts w:ascii="Times New Roman" w:hAnsi="Times New Roman"/>
                <w:b/>
                <w:bCs/>
                <w:sz w:val="24"/>
                <w:szCs w:val="24"/>
              </w:rPr>
              <w:t>исполнения</w:t>
            </w:r>
          </w:p>
        </w:tc>
        <w:tc>
          <w:tcPr>
            <w:tcW w:w="955" w:type="pct"/>
            <w:shd w:val="clear" w:color="auto" w:fill="D9D9D9" w:themeFill="background1" w:themeFillShade="D9"/>
            <w:vAlign w:val="center"/>
            <w:hideMark/>
          </w:tcPr>
          <w:p w14:paraId="38478F76" w14:textId="4C350271" w:rsidR="00201041" w:rsidRPr="00375059" w:rsidRDefault="00E16DD0" w:rsidP="002706DB">
            <w:pPr>
              <w:spacing w:after="0" w:line="240" w:lineRule="auto"/>
              <w:ind w:left="-57" w:right="-57"/>
              <w:jc w:val="center"/>
              <w:rPr>
                <w:rFonts w:ascii="Times New Roman" w:eastAsia="Calibri" w:hAnsi="Times New Roman"/>
                <w:b/>
                <w:bCs/>
                <w:sz w:val="24"/>
                <w:szCs w:val="24"/>
              </w:rPr>
            </w:pPr>
            <w:r w:rsidRPr="00375059">
              <w:rPr>
                <w:rFonts w:ascii="Times New Roman" w:eastAsia="Calibri" w:hAnsi="Times New Roman"/>
                <w:b/>
                <w:bCs/>
                <w:sz w:val="24"/>
                <w:szCs w:val="24"/>
              </w:rPr>
              <w:t>темп роста к 2020 году, %</w:t>
            </w:r>
          </w:p>
        </w:tc>
      </w:tr>
      <w:tr w:rsidR="00201041" w:rsidRPr="00375059" w14:paraId="76B9D0B4" w14:textId="77777777" w:rsidTr="002706DB">
        <w:trPr>
          <w:trHeight w:val="389"/>
        </w:trPr>
        <w:tc>
          <w:tcPr>
            <w:tcW w:w="1921" w:type="pct"/>
            <w:noWrap/>
            <w:vAlign w:val="center"/>
            <w:hideMark/>
          </w:tcPr>
          <w:p w14:paraId="2F54CCEA" w14:textId="77777777" w:rsidR="00201041" w:rsidRPr="00375059" w:rsidRDefault="00201041" w:rsidP="002706DB">
            <w:pPr>
              <w:spacing w:after="0" w:line="240" w:lineRule="auto"/>
              <w:ind w:left="-56"/>
              <w:rPr>
                <w:rFonts w:ascii="Times New Roman" w:eastAsia="Calibri" w:hAnsi="Times New Roman"/>
                <w:b/>
                <w:bCs/>
                <w:sz w:val="24"/>
                <w:szCs w:val="24"/>
              </w:rPr>
            </w:pPr>
            <w:r w:rsidRPr="00375059">
              <w:rPr>
                <w:rFonts w:ascii="Times New Roman" w:eastAsia="Calibri" w:hAnsi="Times New Roman"/>
                <w:b/>
                <w:bCs/>
                <w:sz w:val="24"/>
                <w:szCs w:val="24"/>
              </w:rPr>
              <w:t xml:space="preserve">Консолидированный бюджет, </w:t>
            </w:r>
          </w:p>
          <w:p w14:paraId="63460499" w14:textId="77777777" w:rsidR="00201041" w:rsidRPr="00375059" w:rsidRDefault="00201041" w:rsidP="002706DB">
            <w:pPr>
              <w:spacing w:after="0" w:line="240" w:lineRule="auto"/>
              <w:ind w:left="-56"/>
              <w:rPr>
                <w:rFonts w:ascii="Times New Roman" w:eastAsia="Calibri" w:hAnsi="Times New Roman"/>
                <w:b/>
                <w:bCs/>
                <w:sz w:val="24"/>
                <w:szCs w:val="24"/>
              </w:rPr>
            </w:pPr>
            <w:r w:rsidRPr="00375059">
              <w:rPr>
                <w:rFonts w:ascii="Times New Roman" w:eastAsia="Calibri" w:hAnsi="Times New Roman"/>
                <w:b/>
                <w:bCs/>
                <w:sz w:val="24"/>
                <w:szCs w:val="24"/>
              </w:rPr>
              <w:t>в том числе:</w:t>
            </w:r>
          </w:p>
        </w:tc>
        <w:tc>
          <w:tcPr>
            <w:tcW w:w="659" w:type="pct"/>
            <w:noWrap/>
            <w:vAlign w:val="center"/>
            <w:hideMark/>
          </w:tcPr>
          <w:p w14:paraId="102B4863" w14:textId="77777777" w:rsidR="00201041" w:rsidRPr="00375059" w:rsidRDefault="00201041" w:rsidP="002706DB">
            <w:pPr>
              <w:spacing w:after="0" w:line="240" w:lineRule="auto"/>
              <w:ind w:left="-123" w:right="-61"/>
              <w:jc w:val="center"/>
              <w:rPr>
                <w:rFonts w:ascii="Times New Roman" w:eastAsia="Calibri" w:hAnsi="Times New Roman"/>
                <w:b/>
                <w:bCs/>
                <w:sz w:val="24"/>
                <w:szCs w:val="24"/>
              </w:rPr>
            </w:pPr>
            <w:r w:rsidRPr="00375059">
              <w:rPr>
                <w:rFonts w:ascii="Times New Roman" w:eastAsia="Calibri" w:hAnsi="Times New Roman"/>
                <w:b/>
                <w:bCs/>
                <w:sz w:val="24"/>
                <w:szCs w:val="24"/>
              </w:rPr>
              <w:t>3 374,4</w:t>
            </w:r>
          </w:p>
        </w:tc>
        <w:tc>
          <w:tcPr>
            <w:tcW w:w="659" w:type="pct"/>
            <w:noWrap/>
            <w:vAlign w:val="center"/>
            <w:hideMark/>
          </w:tcPr>
          <w:p w14:paraId="6784B988" w14:textId="77777777" w:rsidR="00201041" w:rsidRPr="00375059" w:rsidRDefault="00201041" w:rsidP="002706DB">
            <w:pPr>
              <w:spacing w:after="0" w:line="240" w:lineRule="auto"/>
              <w:ind w:left="-155" w:right="-190"/>
              <w:jc w:val="center"/>
              <w:rPr>
                <w:rFonts w:ascii="Times New Roman" w:eastAsia="Calibri" w:hAnsi="Times New Roman"/>
                <w:b/>
                <w:bCs/>
                <w:sz w:val="24"/>
                <w:szCs w:val="24"/>
              </w:rPr>
            </w:pPr>
            <w:r w:rsidRPr="00375059">
              <w:rPr>
                <w:rFonts w:ascii="Times New Roman" w:eastAsia="Calibri" w:hAnsi="Times New Roman"/>
                <w:b/>
                <w:bCs/>
                <w:sz w:val="24"/>
                <w:szCs w:val="24"/>
              </w:rPr>
              <w:t>3 389,5</w:t>
            </w:r>
          </w:p>
        </w:tc>
        <w:tc>
          <w:tcPr>
            <w:tcW w:w="806" w:type="pct"/>
            <w:vAlign w:val="center"/>
            <w:hideMark/>
          </w:tcPr>
          <w:p w14:paraId="69CE7FC1" w14:textId="77777777" w:rsidR="00201041" w:rsidRPr="00375059" w:rsidRDefault="00201041" w:rsidP="002706DB">
            <w:pPr>
              <w:spacing w:after="0" w:line="240" w:lineRule="auto"/>
              <w:jc w:val="center"/>
              <w:rPr>
                <w:rFonts w:ascii="Times New Roman" w:eastAsia="Calibri" w:hAnsi="Times New Roman"/>
                <w:b/>
                <w:bCs/>
                <w:sz w:val="24"/>
                <w:szCs w:val="24"/>
              </w:rPr>
            </w:pPr>
            <w:r w:rsidRPr="00375059">
              <w:rPr>
                <w:rFonts w:ascii="Times New Roman" w:eastAsia="Calibri" w:hAnsi="Times New Roman"/>
                <w:b/>
                <w:bCs/>
                <w:sz w:val="24"/>
                <w:szCs w:val="24"/>
              </w:rPr>
              <w:t>100,4</w:t>
            </w:r>
          </w:p>
        </w:tc>
        <w:tc>
          <w:tcPr>
            <w:tcW w:w="955" w:type="pct"/>
            <w:vAlign w:val="center"/>
            <w:hideMark/>
          </w:tcPr>
          <w:p w14:paraId="3207F7CA" w14:textId="77777777" w:rsidR="00201041" w:rsidRPr="00375059" w:rsidRDefault="00201041" w:rsidP="002706DB">
            <w:pPr>
              <w:spacing w:after="0" w:line="240" w:lineRule="auto"/>
              <w:jc w:val="center"/>
              <w:rPr>
                <w:rFonts w:ascii="Times New Roman" w:eastAsia="Calibri" w:hAnsi="Times New Roman"/>
                <w:b/>
                <w:bCs/>
                <w:sz w:val="24"/>
                <w:szCs w:val="24"/>
              </w:rPr>
            </w:pPr>
            <w:r w:rsidRPr="00375059">
              <w:rPr>
                <w:rFonts w:ascii="Times New Roman" w:eastAsia="Calibri" w:hAnsi="Times New Roman"/>
                <w:b/>
                <w:bCs/>
                <w:sz w:val="24"/>
                <w:szCs w:val="24"/>
              </w:rPr>
              <w:t>116,1</w:t>
            </w:r>
          </w:p>
        </w:tc>
      </w:tr>
      <w:tr w:rsidR="00201041" w:rsidRPr="00375059" w14:paraId="64C6FF58" w14:textId="77777777" w:rsidTr="002706DB">
        <w:trPr>
          <w:trHeight w:val="159"/>
        </w:trPr>
        <w:tc>
          <w:tcPr>
            <w:tcW w:w="1921" w:type="pct"/>
            <w:noWrap/>
            <w:vAlign w:val="center"/>
            <w:hideMark/>
          </w:tcPr>
          <w:p w14:paraId="51887ECD" w14:textId="77777777" w:rsidR="00201041" w:rsidRPr="00375059" w:rsidRDefault="00201041" w:rsidP="002706DB">
            <w:pPr>
              <w:spacing w:after="0" w:line="240" w:lineRule="auto"/>
              <w:ind w:left="-56"/>
              <w:rPr>
                <w:rFonts w:ascii="Times New Roman" w:eastAsia="Calibri" w:hAnsi="Times New Roman"/>
                <w:bCs/>
                <w:sz w:val="24"/>
                <w:szCs w:val="24"/>
              </w:rPr>
            </w:pPr>
            <w:r w:rsidRPr="00375059">
              <w:rPr>
                <w:rFonts w:ascii="Times New Roman" w:eastAsia="Calibri" w:hAnsi="Times New Roman"/>
                <w:bCs/>
                <w:sz w:val="24"/>
                <w:szCs w:val="24"/>
              </w:rPr>
              <w:t>республиканский бюджет</w:t>
            </w:r>
          </w:p>
        </w:tc>
        <w:tc>
          <w:tcPr>
            <w:tcW w:w="659" w:type="pct"/>
            <w:noWrap/>
            <w:vAlign w:val="center"/>
            <w:hideMark/>
          </w:tcPr>
          <w:p w14:paraId="7C757096" w14:textId="77777777" w:rsidR="00201041" w:rsidRPr="00375059" w:rsidRDefault="00201041" w:rsidP="002706DB">
            <w:pPr>
              <w:spacing w:after="0" w:line="240" w:lineRule="auto"/>
              <w:jc w:val="center"/>
              <w:rPr>
                <w:rFonts w:ascii="Times New Roman" w:eastAsia="Calibri" w:hAnsi="Times New Roman"/>
                <w:bCs/>
                <w:sz w:val="24"/>
                <w:szCs w:val="24"/>
              </w:rPr>
            </w:pPr>
            <w:r w:rsidRPr="00375059">
              <w:rPr>
                <w:rFonts w:ascii="Times New Roman" w:eastAsia="Calibri" w:hAnsi="Times New Roman"/>
                <w:bCs/>
                <w:sz w:val="24"/>
                <w:szCs w:val="24"/>
              </w:rPr>
              <w:t>2 210,0</w:t>
            </w:r>
          </w:p>
        </w:tc>
        <w:tc>
          <w:tcPr>
            <w:tcW w:w="659" w:type="pct"/>
            <w:noWrap/>
            <w:vAlign w:val="center"/>
            <w:hideMark/>
          </w:tcPr>
          <w:p w14:paraId="406D1CD5" w14:textId="77777777" w:rsidR="00201041" w:rsidRPr="00375059" w:rsidRDefault="00201041" w:rsidP="002706DB">
            <w:pPr>
              <w:spacing w:after="0" w:line="240" w:lineRule="auto"/>
              <w:jc w:val="center"/>
              <w:rPr>
                <w:rFonts w:ascii="Times New Roman" w:eastAsia="Calibri" w:hAnsi="Times New Roman"/>
                <w:bCs/>
                <w:sz w:val="24"/>
                <w:szCs w:val="24"/>
              </w:rPr>
            </w:pPr>
            <w:r w:rsidRPr="00375059">
              <w:rPr>
                <w:rFonts w:ascii="Times New Roman" w:eastAsia="Calibri" w:hAnsi="Times New Roman"/>
                <w:bCs/>
                <w:sz w:val="24"/>
                <w:szCs w:val="24"/>
              </w:rPr>
              <w:t>2 209,0</w:t>
            </w:r>
          </w:p>
        </w:tc>
        <w:tc>
          <w:tcPr>
            <w:tcW w:w="806" w:type="pct"/>
            <w:vAlign w:val="center"/>
            <w:hideMark/>
          </w:tcPr>
          <w:p w14:paraId="34F7F869" w14:textId="77777777" w:rsidR="00201041" w:rsidRPr="00375059" w:rsidRDefault="00201041" w:rsidP="002706DB">
            <w:pPr>
              <w:spacing w:after="0" w:line="240" w:lineRule="auto"/>
              <w:jc w:val="center"/>
              <w:rPr>
                <w:rFonts w:ascii="Times New Roman" w:eastAsia="Calibri" w:hAnsi="Times New Roman"/>
                <w:bCs/>
                <w:sz w:val="24"/>
                <w:szCs w:val="24"/>
              </w:rPr>
            </w:pPr>
            <w:r w:rsidRPr="00375059">
              <w:rPr>
                <w:rFonts w:ascii="Times New Roman" w:eastAsia="Calibri" w:hAnsi="Times New Roman"/>
                <w:bCs/>
                <w:sz w:val="24"/>
                <w:szCs w:val="24"/>
              </w:rPr>
              <w:t>99,95</w:t>
            </w:r>
          </w:p>
        </w:tc>
        <w:tc>
          <w:tcPr>
            <w:tcW w:w="955" w:type="pct"/>
            <w:vAlign w:val="center"/>
            <w:hideMark/>
          </w:tcPr>
          <w:p w14:paraId="2801B69A" w14:textId="77777777" w:rsidR="00201041" w:rsidRPr="00375059" w:rsidRDefault="00201041" w:rsidP="002706DB">
            <w:pPr>
              <w:spacing w:after="0" w:line="240" w:lineRule="auto"/>
              <w:jc w:val="center"/>
              <w:rPr>
                <w:rFonts w:ascii="Times New Roman" w:eastAsia="Calibri" w:hAnsi="Times New Roman"/>
                <w:bCs/>
                <w:sz w:val="24"/>
                <w:szCs w:val="24"/>
              </w:rPr>
            </w:pPr>
            <w:r w:rsidRPr="00375059">
              <w:rPr>
                <w:rFonts w:ascii="Times New Roman" w:eastAsia="Calibri" w:hAnsi="Times New Roman"/>
                <w:bCs/>
                <w:sz w:val="24"/>
                <w:szCs w:val="24"/>
              </w:rPr>
              <w:t>116,4</w:t>
            </w:r>
          </w:p>
        </w:tc>
      </w:tr>
      <w:tr w:rsidR="00201041" w:rsidRPr="00375059" w14:paraId="38CEE53C" w14:textId="77777777" w:rsidTr="002706DB">
        <w:trPr>
          <w:trHeight w:val="162"/>
        </w:trPr>
        <w:tc>
          <w:tcPr>
            <w:tcW w:w="1921" w:type="pct"/>
            <w:noWrap/>
            <w:vAlign w:val="center"/>
            <w:hideMark/>
          </w:tcPr>
          <w:p w14:paraId="413EC529" w14:textId="77777777" w:rsidR="00201041" w:rsidRPr="00375059" w:rsidRDefault="00201041" w:rsidP="002706DB">
            <w:pPr>
              <w:spacing w:after="0" w:line="240" w:lineRule="auto"/>
              <w:ind w:left="-56"/>
              <w:rPr>
                <w:rFonts w:ascii="Times New Roman" w:eastAsia="Calibri" w:hAnsi="Times New Roman"/>
                <w:bCs/>
                <w:sz w:val="24"/>
                <w:szCs w:val="24"/>
              </w:rPr>
            </w:pPr>
            <w:r w:rsidRPr="00375059">
              <w:rPr>
                <w:rFonts w:ascii="Times New Roman" w:eastAsia="Calibri" w:hAnsi="Times New Roman"/>
                <w:bCs/>
                <w:sz w:val="24"/>
                <w:szCs w:val="24"/>
              </w:rPr>
              <w:t>местные бюджеты</w:t>
            </w:r>
          </w:p>
        </w:tc>
        <w:tc>
          <w:tcPr>
            <w:tcW w:w="659" w:type="pct"/>
            <w:noWrap/>
            <w:vAlign w:val="center"/>
            <w:hideMark/>
          </w:tcPr>
          <w:p w14:paraId="201E88D8" w14:textId="77777777" w:rsidR="00201041" w:rsidRPr="00375059" w:rsidRDefault="00201041" w:rsidP="002706DB">
            <w:pPr>
              <w:spacing w:after="0" w:line="240" w:lineRule="auto"/>
              <w:jc w:val="center"/>
              <w:rPr>
                <w:rFonts w:ascii="Times New Roman" w:eastAsia="Calibri" w:hAnsi="Times New Roman"/>
                <w:bCs/>
                <w:sz w:val="24"/>
                <w:szCs w:val="24"/>
              </w:rPr>
            </w:pPr>
            <w:r w:rsidRPr="00375059">
              <w:rPr>
                <w:rFonts w:ascii="Times New Roman" w:eastAsia="Calibri" w:hAnsi="Times New Roman"/>
                <w:bCs/>
                <w:sz w:val="24"/>
                <w:szCs w:val="24"/>
              </w:rPr>
              <w:t>1 164,4</w:t>
            </w:r>
          </w:p>
        </w:tc>
        <w:tc>
          <w:tcPr>
            <w:tcW w:w="659" w:type="pct"/>
            <w:noWrap/>
            <w:vAlign w:val="center"/>
            <w:hideMark/>
          </w:tcPr>
          <w:p w14:paraId="4E747CDE" w14:textId="77777777" w:rsidR="00201041" w:rsidRPr="00375059" w:rsidRDefault="00201041" w:rsidP="002706DB">
            <w:pPr>
              <w:spacing w:after="0" w:line="240" w:lineRule="auto"/>
              <w:jc w:val="center"/>
              <w:rPr>
                <w:rFonts w:ascii="Times New Roman" w:eastAsia="Calibri" w:hAnsi="Times New Roman"/>
                <w:bCs/>
                <w:sz w:val="24"/>
                <w:szCs w:val="24"/>
              </w:rPr>
            </w:pPr>
            <w:r w:rsidRPr="00375059">
              <w:rPr>
                <w:rFonts w:ascii="Times New Roman" w:eastAsia="Calibri" w:hAnsi="Times New Roman"/>
                <w:bCs/>
                <w:sz w:val="24"/>
                <w:szCs w:val="24"/>
              </w:rPr>
              <w:t>1 180,5</w:t>
            </w:r>
          </w:p>
        </w:tc>
        <w:tc>
          <w:tcPr>
            <w:tcW w:w="806" w:type="pct"/>
            <w:vAlign w:val="center"/>
            <w:hideMark/>
          </w:tcPr>
          <w:p w14:paraId="65E7258A" w14:textId="77777777" w:rsidR="00201041" w:rsidRPr="00375059" w:rsidRDefault="00201041" w:rsidP="002706DB">
            <w:pPr>
              <w:spacing w:after="0" w:line="240" w:lineRule="auto"/>
              <w:jc w:val="center"/>
              <w:rPr>
                <w:rFonts w:ascii="Times New Roman" w:eastAsia="Calibri" w:hAnsi="Times New Roman"/>
                <w:bCs/>
                <w:sz w:val="24"/>
                <w:szCs w:val="24"/>
              </w:rPr>
            </w:pPr>
            <w:r w:rsidRPr="00375059">
              <w:rPr>
                <w:rFonts w:ascii="Times New Roman" w:eastAsia="Calibri" w:hAnsi="Times New Roman"/>
                <w:bCs/>
                <w:sz w:val="24"/>
                <w:szCs w:val="24"/>
              </w:rPr>
              <w:t>101,4</w:t>
            </w:r>
          </w:p>
        </w:tc>
        <w:tc>
          <w:tcPr>
            <w:tcW w:w="955" w:type="pct"/>
            <w:vAlign w:val="center"/>
            <w:hideMark/>
          </w:tcPr>
          <w:p w14:paraId="6F98179D" w14:textId="77777777" w:rsidR="00201041" w:rsidRPr="00375059" w:rsidRDefault="00201041" w:rsidP="002706DB">
            <w:pPr>
              <w:spacing w:after="0" w:line="240" w:lineRule="auto"/>
              <w:jc w:val="center"/>
              <w:rPr>
                <w:rFonts w:ascii="Times New Roman" w:eastAsia="Calibri" w:hAnsi="Times New Roman"/>
                <w:bCs/>
                <w:sz w:val="24"/>
                <w:szCs w:val="24"/>
              </w:rPr>
            </w:pPr>
            <w:r w:rsidRPr="00375059">
              <w:rPr>
                <w:rFonts w:ascii="Times New Roman" w:eastAsia="Calibri" w:hAnsi="Times New Roman"/>
                <w:bCs/>
                <w:sz w:val="24"/>
                <w:szCs w:val="24"/>
              </w:rPr>
              <w:t>115,6</w:t>
            </w:r>
          </w:p>
        </w:tc>
      </w:tr>
    </w:tbl>
    <w:p w14:paraId="743D0ABB" w14:textId="77777777" w:rsidR="00201041" w:rsidRPr="00375059" w:rsidRDefault="00201041" w:rsidP="00201041">
      <w:pPr>
        <w:spacing w:after="0" w:line="240" w:lineRule="auto"/>
        <w:ind w:firstLine="709"/>
        <w:jc w:val="both"/>
        <w:rPr>
          <w:rFonts w:ascii="Times New Roman" w:hAnsi="Times New Roman"/>
          <w:sz w:val="8"/>
          <w:szCs w:val="8"/>
        </w:rPr>
      </w:pPr>
    </w:p>
    <w:p w14:paraId="64D1A343"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eastAsia="Calibri" w:hAnsi="Times New Roman"/>
          <w:sz w:val="28"/>
          <w:szCs w:val="28"/>
        </w:rPr>
        <w:t xml:space="preserve">В структурном разрезе наибольший вклад в </w:t>
      </w:r>
      <w:r w:rsidRPr="00375059">
        <w:rPr>
          <w:rFonts w:ascii="Times New Roman" w:eastAsia="Calibri" w:hAnsi="Times New Roman"/>
          <w:noProof/>
          <w:sz w:val="28"/>
          <w:szCs w:val="28"/>
        </w:rPr>
        <w:t>формирование консолидированного бюджета традиционно внесли доходы республиканского бюджета – 65,2% (+0,2 п.п. к базисному уровню 2020 года) в сумме 2 209,0 </w:t>
      </w:r>
      <w:r w:rsidRPr="00375059">
        <w:rPr>
          <w:rFonts w:ascii="Times New Roman" w:eastAsia="Calibri" w:hAnsi="Times New Roman"/>
          <w:bCs/>
          <w:sz w:val="28"/>
          <w:szCs w:val="28"/>
        </w:rPr>
        <w:t>млн </w:t>
      </w:r>
      <w:r w:rsidRPr="00375059">
        <w:rPr>
          <w:rFonts w:ascii="Times New Roman" w:eastAsia="Calibri" w:hAnsi="Times New Roman"/>
          <w:noProof/>
          <w:sz w:val="28"/>
          <w:szCs w:val="28"/>
        </w:rPr>
        <w:t>руб., соответственно, на долю местных бюджетов пришлось 34,8%, или 1 180,5</w:t>
      </w:r>
      <w:r w:rsidRPr="00375059">
        <w:rPr>
          <w:rFonts w:ascii="Times New Roman" w:eastAsia="Calibri" w:hAnsi="Times New Roman"/>
          <w:bCs/>
          <w:sz w:val="28"/>
          <w:szCs w:val="28"/>
        </w:rPr>
        <w:t>млн</w:t>
      </w:r>
      <w:r w:rsidRPr="00375059">
        <w:rPr>
          <w:rFonts w:ascii="Times New Roman" w:eastAsia="Calibri" w:hAnsi="Times New Roman"/>
          <w:noProof/>
          <w:sz w:val="28"/>
          <w:szCs w:val="28"/>
        </w:rPr>
        <w:t xml:space="preserve"> руб.</w:t>
      </w:r>
    </w:p>
    <w:p w14:paraId="597140F1" w14:textId="7FA41C0D" w:rsidR="00201041" w:rsidRPr="00375059" w:rsidRDefault="00201041" w:rsidP="00201041">
      <w:pPr>
        <w:spacing w:after="0" w:line="240" w:lineRule="auto"/>
        <w:ind w:firstLine="426"/>
        <w:jc w:val="right"/>
        <w:rPr>
          <w:rFonts w:ascii="Times New Roman" w:eastAsia="Calibri" w:hAnsi="Times New Roman"/>
          <w:b/>
          <w:i/>
          <w:sz w:val="28"/>
          <w:szCs w:val="28"/>
        </w:rPr>
      </w:pPr>
      <w:r w:rsidRPr="00375059">
        <w:rPr>
          <w:rFonts w:ascii="Times New Roman" w:eastAsia="Calibri" w:hAnsi="Times New Roman"/>
          <w:b/>
          <w:i/>
          <w:sz w:val="28"/>
          <w:szCs w:val="28"/>
        </w:rPr>
        <w:t xml:space="preserve">Рисунок </w:t>
      </w:r>
      <w:r w:rsidR="00E16DD0" w:rsidRPr="00375059">
        <w:rPr>
          <w:rFonts w:ascii="Times New Roman" w:eastAsia="Calibri" w:hAnsi="Times New Roman"/>
          <w:b/>
          <w:i/>
          <w:sz w:val="28"/>
          <w:szCs w:val="28"/>
        </w:rPr>
        <w:t>4</w:t>
      </w:r>
      <w:r w:rsidR="00540656">
        <w:rPr>
          <w:rFonts w:ascii="Times New Roman" w:eastAsia="Calibri" w:hAnsi="Times New Roman"/>
          <w:b/>
          <w:i/>
          <w:sz w:val="28"/>
          <w:szCs w:val="28"/>
        </w:rPr>
        <w:t>9</w:t>
      </w:r>
    </w:p>
    <w:p w14:paraId="68D54433" w14:textId="77777777" w:rsidR="00201041" w:rsidRPr="00375059" w:rsidRDefault="00201041" w:rsidP="00201041">
      <w:pPr>
        <w:spacing w:after="0" w:line="240" w:lineRule="auto"/>
        <w:jc w:val="center"/>
        <w:rPr>
          <w:rFonts w:ascii="Times New Roman" w:eastAsia="Calibri" w:hAnsi="Times New Roman"/>
          <w:b/>
          <w:i/>
          <w:sz w:val="28"/>
          <w:szCs w:val="28"/>
        </w:rPr>
      </w:pPr>
      <w:r w:rsidRPr="00375059">
        <w:rPr>
          <w:rFonts w:ascii="Times New Roman" w:eastAsia="Calibri" w:hAnsi="Times New Roman"/>
          <w:b/>
          <w:sz w:val="28"/>
          <w:szCs w:val="28"/>
        </w:rPr>
        <w:t>Структура поступлений в консолидированный бюджет</w:t>
      </w:r>
      <w:r w:rsidRPr="00375059">
        <w:rPr>
          <w:rFonts w:ascii="Times New Roman" w:hAnsi="Times New Roman"/>
          <w:b/>
          <w:noProof/>
          <w:sz w:val="28"/>
          <w:szCs w:val="28"/>
        </w:rPr>
        <w:drawing>
          <wp:inline distT="0" distB="0" distL="0" distR="0" wp14:anchorId="403182E9" wp14:editId="2A345853">
            <wp:extent cx="5995358" cy="2691130"/>
            <wp:effectExtent l="0" t="0" r="5715"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8A652E2" w14:textId="68E88042"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Поступления в доходную часть консолидированного бюджета в разрезе видов платежей (рис. </w:t>
      </w:r>
      <w:r w:rsidR="00E16DD0" w:rsidRPr="00375059">
        <w:rPr>
          <w:rFonts w:ascii="Times New Roman" w:eastAsia="Calibri" w:hAnsi="Times New Roman"/>
          <w:sz w:val="28"/>
          <w:szCs w:val="28"/>
        </w:rPr>
        <w:t>4</w:t>
      </w:r>
      <w:r w:rsidR="00540656">
        <w:rPr>
          <w:rFonts w:ascii="Times New Roman" w:eastAsia="Calibri" w:hAnsi="Times New Roman"/>
          <w:sz w:val="28"/>
          <w:szCs w:val="28"/>
        </w:rPr>
        <w:t>9</w:t>
      </w:r>
      <w:r w:rsidRPr="00375059">
        <w:rPr>
          <w:rFonts w:ascii="Times New Roman" w:eastAsia="Calibri" w:hAnsi="Times New Roman"/>
          <w:sz w:val="28"/>
          <w:szCs w:val="28"/>
        </w:rPr>
        <w:t xml:space="preserve">) характеризуются неизменным преобладанием </w:t>
      </w:r>
      <w:r w:rsidRPr="00375059">
        <w:rPr>
          <w:rFonts w:ascii="Times New Roman" w:eastAsia="Calibri" w:hAnsi="Times New Roman"/>
          <w:b/>
          <w:sz w:val="28"/>
          <w:szCs w:val="28"/>
        </w:rPr>
        <w:t xml:space="preserve">налоговых платежей </w:t>
      </w:r>
      <w:r w:rsidRPr="00375059">
        <w:rPr>
          <w:rFonts w:ascii="Times New Roman" w:eastAsia="Calibri" w:hAnsi="Times New Roman"/>
          <w:sz w:val="28"/>
          <w:szCs w:val="28"/>
        </w:rPr>
        <w:t>– 65,0%, или 2 204,0 млн руб. (+18,6%).</w:t>
      </w:r>
    </w:p>
    <w:p w14:paraId="7FC699B0" w14:textId="77777777" w:rsidR="00201041" w:rsidRPr="00375059" w:rsidRDefault="00201041" w:rsidP="001463C8">
      <w:pPr>
        <w:widowControl w:val="0"/>
        <w:spacing w:after="0" w:line="240" w:lineRule="auto"/>
        <w:ind w:firstLine="567"/>
        <w:jc w:val="both"/>
        <w:rPr>
          <w:rFonts w:ascii="Times New Roman" w:hAnsi="Times New Roman"/>
          <w:b/>
          <w:sz w:val="28"/>
          <w:szCs w:val="28"/>
        </w:rPr>
      </w:pPr>
      <w:r w:rsidRPr="00375059">
        <w:rPr>
          <w:rFonts w:ascii="Times New Roman" w:hAnsi="Times New Roman"/>
          <w:sz w:val="28"/>
          <w:szCs w:val="28"/>
        </w:rPr>
        <w:t xml:space="preserve">Удельное представление </w:t>
      </w:r>
      <w:r w:rsidRPr="00375059">
        <w:rPr>
          <w:rFonts w:ascii="Times New Roman" w:hAnsi="Times New Roman"/>
          <w:b/>
          <w:sz w:val="28"/>
          <w:szCs w:val="28"/>
        </w:rPr>
        <w:t xml:space="preserve">доходов целевых бюджетных фондов </w:t>
      </w:r>
      <w:r w:rsidRPr="00375059">
        <w:rPr>
          <w:rFonts w:ascii="Times New Roman" w:hAnsi="Times New Roman"/>
          <w:sz w:val="28"/>
          <w:szCs w:val="28"/>
        </w:rPr>
        <w:t>сократилось до 22,9% (-0,4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xml:space="preserve">., без учета Фонда Государственного </w:t>
      </w:r>
      <w:r w:rsidRPr="00375059">
        <w:rPr>
          <w:rFonts w:ascii="Times New Roman" w:hAnsi="Times New Roman"/>
          <w:sz w:val="28"/>
          <w:szCs w:val="28"/>
        </w:rPr>
        <w:lastRenderedPageBreak/>
        <w:t xml:space="preserve">таможенного комитета +0,3п.п.), </w:t>
      </w:r>
      <w:r w:rsidRPr="00375059">
        <w:rPr>
          <w:rFonts w:ascii="Times New Roman" w:eastAsia="Calibri" w:hAnsi="Times New Roman"/>
          <w:sz w:val="28"/>
          <w:szCs w:val="28"/>
        </w:rPr>
        <w:t>что в абсолютном выражении соответствует 777,8 млн руб. (+14,5%).</w:t>
      </w:r>
    </w:p>
    <w:p w14:paraId="0103033B" w14:textId="77777777"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В структуре поступлений удельный вес </w:t>
      </w:r>
      <w:r w:rsidRPr="00375059">
        <w:rPr>
          <w:rFonts w:ascii="Times New Roman" w:eastAsia="Calibri" w:hAnsi="Times New Roman"/>
          <w:b/>
          <w:sz w:val="28"/>
          <w:szCs w:val="28"/>
        </w:rPr>
        <w:t xml:space="preserve">доходов от предпринимательской и иной приносящей доход деятельности </w:t>
      </w:r>
      <w:r w:rsidRPr="00375059">
        <w:rPr>
          <w:rFonts w:ascii="Times New Roman" w:eastAsia="Calibri" w:hAnsi="Times New Roman"/>
          <w:sz w:val="28"/>
          <w:szCs w:val="28"/>
        </w:rPr>
        <w:t xml:space="preserve">сузился на 0,8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 сформировав 6,3% совокупного показателя в размере 214,4 млн руб. (+3,9%).</w:t>
      </w:r>
    </w:p>
    <w:p w14:paraId="6B9F9F82" w14:textId="77777777" w:rsidR="00201041" w:rsidRPr="00375059" w:rsidRDefault="00201041" w:rsidP="001463C8">
      <w:pPr>
        <w:spacing w:after="0" w:line="240" w:lineRule="auto"/>
        <w:ind w:firstLine="567"/>
        <w:jc w:val="both"/>
        <w:rPr>
          <w:rFonts w:ascii="Times New Roman" w:eastAsia="Calibri" w:hAnsi="Times New Roman"/>
          <w:b/>
          <w:sz w:val="28"/>
          <w:szCs w:val="28"/>
        </w:rPr>
      </w:pPr>
      <w:r w:rsidRPr="00375059">
        <w:rPr>
          <w:rFonts w:ascii="Times New Roman" w:eastAsia="Calibri" w:hAnsi="Times New Roman"/>
          <w:sz w:val="28"/>
          <w:szCs w:val="28"/>
        </w:rPr>
        <w:t>На долю</w:t>
      </w:r>
      <w:r w:rsidRPr="00375059">
        <w:rPr>
          <w:rFonts w:ascii="Times New Roman" w:eastAsia="Calibri" w:hAnsi="Times New Roman"/>
          <w:b/>
          <w:sz w:val="28"/>
          <w:szCs w:val="28"/>
        </w:rPr>
        <w:t xml:space="preserve"> неналоговых поступлений </w:t>
      </w:r>
      <w:r w:rsidRPr="00375059">
        <w:rPr>
          <w:rFonts w:ascii="Times New Roman" w:eastAsia="Calibri" w:hAnsi="Times New Roman"/>
          <w:sz w:val="28"/>
          <w:szCs w:val="28"/>
        </w:rPr>
        <w:t xml:space="preserve">пришлось 3,8% (+0,2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 доходов консолидированного бюджета (+19,6% до 127,3 млн руб.).</w:t>
      </w:r>
    </w:p>
    <w:p w14:paraId="65B73D74" w14:textId="77777777"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 Наблюдается увеличение показателя </w:t>
      </w:r>
      <w:r w:rsidRPr="00375059">
        <w:rPr>
          <w:rFonts w:ascii="Times New Roman" w:eastAsia="Calibri" w:hAnsi="Times New Roman"/>
          <w:b/>
          <w:sz w:val="28"/>
          <w:szCs w:val="28"/>
        </w:rPr>
        <w:t xml:space="preserve">безвозмездных перечислений </w:t>
      </w:r>
      <w:r w:rsidRPr="00375059">
        <w:rPr>
          <w:rFonts w:ascii="Times New Roman" w:eastAsia="Calibri" w:hAnsi="Times New Roman"/>
          <w:sz w:val="28"/>
          <w:szCs w:val="28"/>
        </w:rPr>
        <w:t xml:space="preserve">до 66,0 млн руб. (в 1,5 раза), или 1,9% общих доходов консолидированного бюджета (+0,4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w:t>
      </w:r>
    </w:p>
    <w:p w14:paraId="41BD80DA" w14:textId="06B74C23"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В структуре налоговых доходов основные поступления приходятся на платежи </w:t>
      </w:r>
      <w:r w:rsidRPr="00375059">
        <w:rPr>
          <w:rFonts w:ascii="Times New Roman" w:eastAsia="Calibri" w:hAnsi="Times New Roman"/>
          <w:b/>
          <w:sz w:val="28"/>
          <w:szCs w:val="28"/>
        </w:rPr>
        <w:t xml:space="preserve">по налогу на доходы организаций </w:t>
      </w:r>
      <w:r w:rsidRPr="00375059">
        <w:rPr>
          <w:rFonts w:ascii="Times New Roman" w:eastAsia="Calibri" w:hAnsi="Times New Roman"/>
          <w:sz w:val="28"/>
          <w:szCs w:val="28"/>
        </w:rPr>
        <w:t xml:space="preserve">– 40,5% (-3,8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 xml:space="preserve">.), абсолютная величина которых выросла по отношению к уровню 2020 года на 8,6% до 892,6 млн руб. (рис. </w:t>
      </w:r>
      <w:r w:rsidR="00540656">
        <w:rPr>
          <w:rFonts w:ascii="Times New Roman" w:eastAsia="Calibri" w:hAnsi="Times New Roman"/>
          <w:sz w:val="28"/>
          <w:szCs w:val="28"/>
        </w:rPr>
        <w:t>50</w:t>
      </w:r>
      <w:r w:rsidRPr="00375059">
        <w:rPr>
          <w:rFonts w:ascii="Times New Roman" w:eastAsia="Calibri" w:hAnsi="Times New Roman"/>
          <w:sz w:val="28"/>
          <w:szCs w:val="28"/>
        </w:rPr>
        <w:t xml:space="preserve">). Также на фоне активизации деятельности организаций отмечалось увеличение размера </w:t>
      </w:r>
      <w:r w:rsidRPr="00375059">
        <w:rPr>
          <w:rFonts w:ascii="Times New Roman" w:eastAsia="Calibri" w:hAnsi="Times New Roman"/>
          <w:b/>
          <w:sz w:val="28"/>
          <w:szCs w:val="28"/>
        </w:rPr>
        <w:t>поступлений по подоходному налогу с физических лиц</w:t>
      </w:r>
      <w:r w:rsidRPr="00375059">
        <w:rPr>
          <w:rFonts w:ascii="Times New Roman" w:eastAsia="Calibri" w:hAnsi="Times New Roman"/>
          <w:sz w:val="28"/>
          <w:szCs w:val="28"/>
        </w:rPr>
        <w:t xml:space="preserve"> до 539,8 млн руб. (+15,3% к низкой базе 2020 года в связи с простоями в работе в период чрезвычайного положения). </w:t>
      </w:r>
    </w:p>
    <w:p w14:paraId="1E0512C0" w14:textId="1D77E072" w:rsidR="00201041" w:rsidRPr="00375059" w:rsidRDefault="00201041" w:rsidP="00201041">
      <w:pPr>
        <w:spacing w:after="0" w:line="240" w:lineRule="auto"/>
        <w:ind w:firstLine="720"/>
        <w:jc w:val="right"/>
        <w:rPr>
          <w:rFonts w:ascii="Times New Roman" w:eastAsia="Calibri" w:hAnsi="Times New Roman"/>
          <w:b/>
          <w:i/>
          <w:sz w:val="28"/>
          <w:szCs w:val="28"/>
        </w:rPr>
      </w:pPr>
      <w:r w:rsidRPr="00375059">
        <w:rPr>
          <w:rFonts w:ascii="Times New Roman" w:eastAsia="Calibri" w:hAnsi="Times New Roman"/>
          <w:b/>
          <w:i/>
          <w:sz w:val="28"/>
          <w:szCs w:val="28"/>
        </w:rPr>
        <w:t xml:space="preserve">Рисунок </w:t>
      </w:r>
      <w:r w:rsidR="00540656">
        <w:rPr>
          <w:rFonts w:ascii="Times New Roman" w:eastAsia="Calibri" w:hAnsi="Times New Roman"/>
          <w:b/>
          <w:i/>
          <w:sz w:val="28"/>
          <w:szCs w:val="28"/>
        </w:rPr>
        <w:t>50</w:t>
      </w:r>
    </w:p>
    <w:p w14:paraId="43AD0446" w14:textId="77777777" w:rsidR="00201041" w:rsidRPr="00375059" w:rsidRDefault="00201041" w:rsidP="00201041">
      <w:pPr>
        <w:spacing w:after="0" w:line="240" w:lineRule="auto"/>
        <w:jc w:val="center"/>
        <w:rPr>
          <w:rFonts w:ascii="Times New Roman" w:eastAsia="Calibri" w:hAnsi="Times New Roman"/>
          <w:sz w:val="28"/>
          <w:szCs w:val="28"/>
        </w:rPr>
      </w:pPr>
      <w:r w:rsidRPr="00375059">
        <w:rPr>
          <w:rFonts w:ascii="Times New Roman" w:eastAsia="Calibri" w:hAnsi="Times New Roman"/>
          <w:b/>
          <w:bCs/>
          <w:sz w:val="28"/>
          <w:szCs w:val="28"/>
        </w:rPr>
        <w:t>Динамика налоговых поступлений в доходную часть</w:t>
      </w:r>
      <w:r w:rsidRPr="00375059">
        <w:rPr>
          <w:rFonts w:ascii="Times New Roman" w:eastAsia="Calibri" w:hAnsi="Times New Roman"/>
          <w:b/>
          <w:bCs/>
          <w:sz w:val="28"/>
          <w:szCs w:val="28"/>
        </w:rPr>
        <w:br/>
        <w:t>консолидированного бюджета, млн руб.</w:t>
      </w:r>
      <w:r w:rsidRPr="00375059">
        <w:rPr>
          <w:rFonts w:ascii="Times New Roman" w:eastAsia="Calibri" w:hAnsi="Times New Roman"/>
          <w:noProof/>
          <w:sz w:val="28"/>
          <w:szCs w:val="28"/>
        </w:rPr>
        <w:drawing>
          <wp:inline distT="0" distB="0" distL="0" distR="0" wp14:anchorId="05E61BA7" wp14:editId="67BF81CC">
            <wp:extent cx="6081395" cy="3019245"/>
            <wp:effectExtent l="0" t="0" r="0" b="0"/>
            <wp:docPr id="11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F89D7EE" w14:textId="77777777"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b/>
          <w:sz w:val="28"/>
          <w:szCs w:val="28"/>
        </w:rPr>
        <w:t xml:space="preserve">Налоги на внешнюю торговлю и внешнеэкономические операции, </w:t>
      </w:r>
      <w:r w:rsidRPr="00375059">
        <w:rPr>
          <w:rFonts w:ascii="Times New Roman" w:eastAsia="Calibri" w:hAnsi="Times New Roman"/>
          <w:sz w:val="28"/>
          <w:szCs w:val="28"/>
        </w:rPr>
        <w:t>с учетом обеспечения сопоставимости показателей в связи с введением с 1 января 2021 года новой системы уплаты таможенных платежей, достигли 399,1 млн руб. (+15,6%) за счет наращивания объемов экспортно-импортных операций.</w:t>
      </w:r>
    </w:p>
    <w:p w14:paraId="462DB1E2"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eastAsia="Calibri" w:hAnsi="Times New Roman"/>
          <w:sz w:val="28"/>
          <w:szCs w:val="28"/>
        </w:rPr>
        <w:t xml:space="preserve">Поступления по </w:t>
      </w:r>
      <w:r w:rsidRPr="00375059">
        <w:rPr>
          <w:rFonts w:ascii="Times New Roman" w:eastAsia="Calibri" w:hAnsi="Times New Roman"/>
          <w:b/>
          <w:sz w:val="28"/>
          <w:szCs w:val="28"/>
        </w:rPr>
        <w:t xml:space="preserve">налогам на товары и услуги, лицензионные и регистрационные сборы </w:t>
      </w:r>
      <w:r w:rsidRPr="00375059">
        <w:rPr>
          <w:rFonts w:ascii="Times New Roman" w:eastAsia="Calibri" w:hAnsi="Times New Roman"/>
          <w:sz w:val="28"/>
          <w:szCs w:val="28"/>
        </w:rPr>
        <w:t>(с учетом сопоставимости показателей) выросли к базисному уровню на 18,0% до 49,4 млн руб., а их удельное представление составило 2,2%.</w:t>
      </w:r>
    </w:p>
    <w:p w14:paraId="620DFE92" w14:textId="77777777" w:rsidR="00201041" w:rsidRPr="00375059" w:rsidRDefault="00201041" w:rsidP="001463C8">
      <w:pPr>
        <w:autoSpaceDE w:val="0"/>
        <w:autoSpaceDN w:val="0"/>
        <w:adjustRightInd w:val="0"/>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lastRenderedPageBreak/>
        <w:t xml:space="preserve">Сумма </w:t>
      </w:r>
      <w:r w:rsidRPr="00375059">
        <w:rPr>
          <w:rFonts w:ascii="Times New Roman" w:eastAsia="Calibri" w:hAnsi="Times New Roman"/>
          <w:b/>
          <w:sz w:val="28"/>
          <w:szCs w:val="28"/>
        </w:rPr>
        <w:t xml:space="preserve">платежей за пользование природными ресурсами </w:t>
      </w:r>
      <w:r w:rsidRPr="00375059">
        <w:rPr>
          <w:rFonts w:ascii="Times New Roman" w:eastAsia="Calibri" w:hAnsi="Times New Roman"/>
          <w:bCs/>
          <w:sz w:val="28"/>
          <w:szCs w:val="28"/>
        </w:rPr>
        <w:t xml:space="preserve">увеличилась </w:t>
      </w:r>
      <w:r w:rsidRPr="00375059">
        <w:rPr>
          <w:rFonts w:ascii="Times New Roman" w:eastAsia="Calibri" w:hAnsi="Times New Roman"/>
          <w:sz w:val="28"/>
          <w:szCs w:val="28"/>
        </w:rPr>
        <w:t>в 1,5 раза (до 139,4 млн руб.) на фоне низкой базы 2020 года, обусловленной освобождением от уплаты части земельного и фиксированного сельскохозяйственного налога организаций и крестьянско-фермерских хозяйств, у которых погибла или была повреждена часть посевов и урожая.</w:t>
      </w:r>
    </w:p>
    <w:p w14:paraId="4DEC0E37" w14:textId="34A14277"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В структуре </w:t>
      </w:r>
      <w:r w:rsidRPr="00375059">
        <w:rPr>
          <w:rFonts w:ascii="Times New Roman" w:eastAsia="Calibri" w:hAnsi="Times New Roman"/>
          <w:b/>
          <w:sz w:val="28"/>
          <w:szCs w:val="28"/>
        </w:rPr>
        <w:t>неналоговых поступлений</w:t>
      </w:r>
      <w:r w:rsidRPr="00375059">
        <w:rPr>
          <w:rFonts w:ascii="Times New Roman" w:eastAsia="Calibri" w:hAnsi="Times New Roman"/>
          <w:sz w:val="28"/>
          <w:szCs w:val="28"/>
        </w:rPr>
        <w:t xml:space="preserve"> (рис. </w:t>
      </w:r>
      <w:r w:rsidR="00540656">
        <w:rPr>
          <w:rFonts w:ascii="Times New Roman" w:eastAsia="Calibri" w:hAnsi="Times New Roman"/>
          <w:sz w:val="28"/>
          <w:szCs w:val="28"/>
        </w:rPr>
        <w:t>51</w:t>
      </w:r>
      <w:r w:rsidRPr="00375059">
        <w:rPr>
          <w:rFonts w:ascii="Times New Roman" w:eastAsia="Calibri" w:hAnsi="Times New Roman"/>
          <w:sz w:val="28"/>
          <w:szCs w:val="28"/>
        </w:rPr>
        <w:t>) большая часть приходится на средства, отраженные по статье</w:t>
      </w:r>
      <w:r w:rsidRPr="00375059">
        <w:rPr>
          <w:rFonts w:ascii="Times New Roman" w:eastAsia="Calibri" w:hAnsi="Times New Roman"/>
          <w:b/>
          <w:sz w:val="28"/>
          <w:szCs w:val="28"/>
        </w:rPr>
        <w:t xml:space="preserve"> «доходы от имущества, находящегося в государственной и муниципальной собственности, или от деятельности»</w:t>
      </w:r>
      <w:r w:rsidRPr="00375059">
        <w:rPr>
          <w:rFonts w:ascii="Times New Roman" w:eastAsia="Calibri" w:hAnsi="Times New Roman"/>
          <w:sz w:val="28"/>
          <w:szCs w:val="28"/>
        </w:rPr>
        <w:t xml:space="preserve"> (35,2%, -1,3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 xml:space="preserve">.), которые выросли к уровню 2020 года на 15,4% до 44,8 млн руб. Величина поступлений </w:t>
      </w:r>
      <w:r w:rsidRPr="00375059">
        <w:rPr>
          <w:rFonts w:ascii="Times New Roman" w:eastAsia="Calibri" w:hAnsi="Times New Roman"/>
          <w:b/>
          <w:sz w:val="28"/>
          <w:szCs w:val="28"/>
        </w:rPr>
        <w:t xml:space="preserve">от штрафных санкций и возмещения ущерба </w:t>
      </w:r>
      <w:r w:rsidRPr="00375059">
        <w:rPr>
          <w:rFonts w:ascii="Times New Roman" w:eastAsia="Calibri" w:hAnsi="Times New Roman"/>
          <w:sz w:val="28"/>
          <w:szCs w:val="28"/>
        </w:rPr>
        <w:t xml:space="preserve">увеличилась на 10,3% до 36,4 млн руб., или 28,6% </w:t>
      </w:r>
      <w:r w:rsidRPr="00375059">
        <w:rPr>
          <w:rFonts w:ascii="Times New Roman" w:eastAsia="Calibri" w:hAnsi="Times New Roman"/>
          <w:sz w:val="28"/>
          <w:szCs w:val="28"/>
        </w:rPr>
        <w:br/>
        <w:t>(- 2,4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 в структуре показателя.</w:t>
      </w:r>
    </w:p>
    <w:p w14:paraId="73EA3263" w14:textId="31497D96" w:rsidR="00201041" w:rsidRPr="00375059" w:rsidRDefault="00201041" w:rsidP="00201041">
      <w:pPr>
        <w:spacing w:after="0" w:line="240" w:lineRule="auto"/>
        <w:ind w:right="-1"/>
        <w:jc w:val="right"/>
        <w:rPr>
          <w:rFonts w:ascii="Times New Roman" w:eastAsia="Calibri" w:hAnsi="Times New Roman"/>
          <w:b/>
          <w:sz w:val="28"/>
          <w:szCs w:val="28"/>
        </w:rPr>
      </w:pPr>
      <w:r w:rsidRPr="00375059">
        <w:rPr>
          <w:rFonts w:ascii="Times New Roman" w:eastAsia="Calibri" w:hAnsi="Times New Roman"/>
          <w:b/>
          <w:i/>
          <w:sz w:val="28"/>
          <w:szCs w:val="28"/>
        </w:rPr>
        <w:t xml:space="preserve">Рисунок </w:t>
      </w:r>
      <w:r w:rsidR="00540656">
        <w:rPr>
          <w:rFonts w:ascii="Times New Roman" w:eastAsia="Calibri" w:hAnsi="Times New Roman"/>
          <w:b/>
          <w:i/>
          <w:sz w:val="28"/>
          <w:szCs w:val="28"/>
        </w:rPr>
        <w:t>51</w:t>
      </w:r>
    </w:p>
    <w:p w14:paraId="7A9BFB12" w14:textId="77777777" w:rsidR="00201041" w:rsidRPr="00375059" w:rsidRDefault="00201041" w:rsidP="00201041">
      <w:pPr>
        <w:widowControl w:val="0"/>
        <w:spacing w:after="0" w:line="240" w:lineRule="auto"/>
        <w:jc w:val="center"/>
        <w:rPr>
          <w:rFonts w:ascii="Times New Roman" w:eastAsia="Calibri" w:hAnsi="Times New Roman"/>
          <w:b/>
          <w:sz w:val="28"/>
          <w:szCs w:val="24"/>
        </w:rPr>
      </w:pPr>
      <w:r w:rsidRPr="00375059">
        <w:rPr>
          <w:rFonts w:ascii="Times New Roman" w:eastAsia="Calibri" w:hAnsi="Times New Roman"/>
          <w:b/>
          <w:sz w:val="28"/>
          <w:szCs w:val="24"/>
        </w:rPr>
        <w:t xml:space="preserve">Структура неналоговых поступлений в доходную часть </w:t>
      </w:r>
    </w:p>
    <w:p w14:paraId="4CFBCC29" w14:textId="77777777" w:rsidR="00201041" w:rsidRPr="00375059" w:rsidRDefault="00201041" w:rsidP="00201041">
      <w:pPr>
        <w:widowControl w:val="0"/>
        <w:spacing w:after="0" w:line="240" w:lineRule="auto"/>
        <w:ind w:firstLine="142"/>
        <w:jc w:val="center"/>
        <w:rPr>
          <w:rFonts w:ascii="Times New Roman" w:eastAsia="Calibri" w:hAnsi="Times New Roman"/>
          <w:sz w:val="28"/>
          <w:szCs w:val="28"/>
        </w:rPr>
      </w:pPr>
      <w:r w:rsidRPr="00375059">
        <w:rPr>
          <w:rFonts w:ascii="Times New Roman" w:eastAsia="Calibri" w:hAnsi="Times New Roman"/>
          <w:b/>
          <w:sz w:val="28"/>
          <w:szCs w:val="24"/>
        </w:rPr>
        <w:t>консолидированного бюджета, %</w:t>
      </w:r>
    </w:p>
    <w:p w14:paraId="72D42D03" w14:textId="77777777" w:rsidR="00201041" w:rsidRPr="00375059" w:rsidRDefault="00201041" w:rsidP="00201041">
      <w:pPr>
        <w:spacing w:after="0" w:line="240" w:lineRule="auto"/>
        <w:jc w:val="both"/>
        <w:rPr>
          <w:rFonts w:ascii="Times New Roman" w:eastAsia="Calibri" w:hAnsi="Times New Roman"/>
          <w:sz w:val="28"/>
          <w:szCs w:val="28"/>
        </w:rPr>
      </w:pPr>
      <w:r w:rsidRPr="00375059">
        <w:rPr>
          <w:rFonts w:ascii="Times New Roman" w:hAnsi="Times New Roman"/>
          <w:b/>
          <w:noProof/>
          <w:sz w:val="28"/>
          <w:szCs w:val="28"/>
        </w:rPr>
        <w:drawing>
          <wp:inline distT="0" distB="0" distL="0" distR="0" wp14:anchorId="38E36ECA" wp14:editId="081E02A5">
            <wp:extent cx="5940425" cy="2619449"/>
            <wp:effectExtent l="0" t="0" r="3175"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F7B43F4" w14:textId="77777777"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В рассматриваемом периоде отмечено увеличение поступлений </w:t>
      </w:r>
      <w:r w:rsidRPr="00375059">
        <w:rPr>
          <w:rFonts w:ascii="Times New Roman" w:eastAsia="Calibri" w:hAnsi="Times New Roman"/>
          <w:b/>
          <w:sz w:val="28"/>
          <w:szCs w:val="28"/>
        </w:rPr>
        <w:t>от продажи имущества, находящегося в государственной и муниципальной собственности,</w:t>
      </w:r>
      <w:r w:rsidRPr="00375059">
        <w:rPr>
          <w:rFonts w:ascii="Times New Roman" w:eastAsia="Calibri" w:hAnsi="Times New Roman"/>
          <w:sz w:val="28"/>
          <w:szCs w:val="28"/>
        </w:rPr>
        <w:t xml:space="preserve"> до 25,9 млн руб. (в 1,5 раза) или 20,4% всех неналоговых доходов (+3,8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w:t>
      </w:r>
    </w:p>
    <w:p w14:paraId="46EAD27D" w14:textId="77777777"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Размер</w:t>
      </w:r>
      <w:r w:rsidRPr="00375059">
        <w:rPr>
          <w:rFonts w:ascii="Times New Roman" w:eastAsia="Calibri" w:hAnsi="Times New Roman"/>
          <w:b/>
          <w:sz w:val="28"/>
          <w:szCs w:val="28"/>
        </w:rPr>
        <w:t xml:space="preserve"> административных платежей и сборов </w:t>
      </w:r>
      <w:r w:rsidRPr="00375059">
        <w:rPr>
          <w:rFonts w:ascii="Times New Roman" w:eastAsia="Calibri" w:hAnsi="Times New Roman"/>
          <w:sz w:val="28"/>
          <w:szCs w:val="28"/>
        </w:rPr>
        <w:t xml:space="preserve">вырос по сравнению с параметром базисного года в 2,4 раза до 15,7 млн руб., или 12,3% (+6,1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 от общего объема неналоговых поступлений.</w:t>
      </w:r>
    </w:p>
    <w:p w14:paraId="3999E000" w14:textId="77777777"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В структуре </w:t>
      </w:r>
      <w:r w:rsidRPr="00375059">
        <w:rPr>
          <w:rFonts w:ascii="Times New Roman" w:eastAsia="Calibri" w:hAnsi="Times New Roman"/>
          <w:b/>
          <w:sz w:val="28"/>
          <w:szCs w:val="28"/>
        </w:rPr>
        <w:t>целевых бюджетных фондов</w:t>
      </w:r>
      <w:r w:rsidRPr="00375059">
        <w:rPr>
          <w:rFonts w:ascii="Times New Roman" w:eastAsia="Calibri" w:hAnsi="Times New Roman"/>
          <w:sz w:val="28"/>
          <w:szCs w:val="28"/>
        </w:rPr>
        <w:t xml:space="preserve"> наибольший удельный вес приходится на поступления в Фонд капитальных вложений (49,0%, или 380,8 млн руб.) и Дорожный фонд (27,9%, или 216,8 млн руб.). В 2021 году на развитие аграрного сектора экономики дополнительно были </w:t>
      </w:r>
      <w:proofErr w:type="spellStart"/>
      <w:r w:rsidRPr="00375059">
        <w:rPr>
          <w:rFonts w:ascii="Times New Roman" w:eastAsia="Calibri" w:hAnsi="Times New Roman"/>
          <w:sz w:val="28"/>
          <w:szCs w:val="28"/>
        </w:rPr>
        <w:t>саккумулированы</w:t>
      </w:r>
      <w:proofErr w:type="spellEnd"/>
      <w:r w:rsidRPr="00375059">
        <w:rPr>
          <w:rFonts w:ascii="Times New Roman" w:eastAsia="Calibri" w:hAnsi="Times New Roman"/>
          <w:sz w:val="28"/>
          <w:szCs w:val="28"/>
        </w:rPr>
        <w:t xml:space="preserve"> средств в Фонде развития мелиоративного комплекса – 44,0 млн руб., или 5,7% всех доходов целевых бюджетных фондов, и Фонде поддержки сельского хозяйства – 32,1 млн руб., или 4,1%, при этом отсутствовали поступления в Фонд государственного резерва</w:t>
      </w:r>
    </w:p>
    <w:p w14:paraId="5F332AA1" w14:textId="77777777"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В 2021 году сохранялась социальная направленность государственного бюджета и приоритет обеспечения ритмичного, своевременного и в полном </w:t>
      </w:r>
      <w:r w:rsidRPr="00375059">
        <w:rPr>
          <w:rFonts w:ascii="Times New Roman" w:eastAsia="Calibri" w:hAnsi="Times New Roman"/>
          <w:sz w:val="28"/>
          <w:szCs w:val="28"/>
        </w:rPr>
        <w:lastRenderedPageBreak/>
        <w:t>объеме финансирования заработных плат, пенсий и пособий, медикаментов, продуктов питания и иных социальных обязательств, гарантированных государством.</w:t>
      </w:r>
    </w:p>
    <w:p w14:paraId="48F73908" w14:textId="09889FD5" w:rsidR="00201041" w:rsidRPr="00375059" w:rsidRDefault="00201041" w:rsidP="001463C8">
      <w:pPr>
        <w:spacing w:after="0" w:line="240" w:lineRule="auto"/>
        <w:ind w:firstLine="567"/>
        <w:jc w:val="both"/>
        <w:rPr>
          <w:rFonts w:ascii="Times New Roman" w:eastAsia="Calibri" w:hAnsi="Times New Roman"/>
          <w:spacing w:val="-4"/>
          <w:sz w:val="28"/>
          <w:szCs w:val="28"/>
          <w:highlight w:val="yellow"/>
        </w:rPr>
      </w:pPr>
      <w:r w:rsidRPr="00375059">
        <w:rPr>
          <w:rFonts w:ascii="Times New Roman" w:eastAsia="Calibri" w:hAnsi="Times New Roman"/>
          <w:spacing w:val="-4"/>
          <w:sz w:val="28"/>
          <w:szCs w:val="28"/>
        </w:rPr>
        <w:t xml:space="preserve">Расходы консолидированного бюджета достигли отметки 5 675,1 млн руб., что превысило уровень 2020 года на 11,3%, в том числе по республиканскому бюджету рост составил 11,4%, по местным бюджетам – 11,2% (табл. </w:t>
      </w:r>
      <w:r w:rsidR="00E16DD0" w:rsidRPr="00375059">
        <w:rPr>
          <w:rFonts w:ascii="Times New Roman" w:eastAsia="Calibri" w:hAnsi="Times New Roman"/>
          <w:spacing w:val="-4"/>
          <w:sz w:val="28"/>
          <w:szCs w:val="28"/>
        </w:rPr>
        <w:t>8</w:t>
      </w:r>
      <w:r w:rsidRPr="00375059">
        <w:rPr>
          <w:rFonts w:ascii="Times New Roman" w:eastAsia="Calibri" w:hAnsi="Times New Roman"/>
          <w:spacing w:val="-4"/>
          <w:sz w:val="28"/>
          <w:szCs w:val="28"/>
        </w:rPr>
        <w:t xml:space="preserve">). </w:t>
      </w:r>
    </w:p>
    <w:p w14:paraId="1E9A95B9" w14:textId="77777777" w:rsidR="00080B0F" w:rsidRDefault="00080B0F" w:rsidP="00201041">
      <w:pPr>
        <w:spacing w:after="0" w:line="240" w:lineRule="auto"/>
        <w:jc w:val="right"/>
        <w:rPr>
          <w:rFonts w:ascii="Times New Roman" w:eastAsia="Calibri" w:hAnsi="Times New Roman"/>
          <w:b/>
          <w:i/>
          <w:sz w:val="28"/>
          <w:szCs w:val="28"/>
        </w:rPr>
      </w:pPr>
    </w:p>
    <w:p w14:paraId="4F53B9E1" w14:textId="7B5FA06E" w:rsidR="00201041" w:rsidRPr="00375059" w:rsidRDefault="00201041" w:rsidP="00201041">
      <w:pPr>
        <w:spacing w:after="0" w:line="240" w:lineRule="auto"/>
        <w:jc w:val="right"/>
        <w:rPr>
          <w:rFonts w:ascii="Times New Roman" w:eastAsia="Calibri" w:hAnsi="Times New Roman"/>
          <w:b/>
          <w:i/>
          <w:sz w:val="28"/>
          <w:szCs w:val="28"/>
        </w:rPr>
      </w:pPr>
      <w:r w:rsidRPr="00375059">
        <w:rPr>
          <w:rFonts w:ascii="Times New Roman" w:eastAsia="Calibri" w:hAnsi="Times New Roman"/>
          <w:b/>
          <w:i/>
          <w:sz w:val="28"/>
          <w:szCs w:val="28"/>
        </w:rPr>
        <w:t xml:space="preserve">Таблица </w:t>
      </w:r>
      <w:r w:rsidR="00E16DD0" w:rsidRPr="00375059">
        <w:rPr>
          <w:rFonts w:ascii="Times New Roman" w:eastAsia="Calibri" w:hAnsi="Times New Roman"/>
          <w:b/>
          <w:i/>
          <w:sz w:val="28"/>
          <w:szCs w:val="28"/>
        </w:rPr>
        <w:t>8</w:t>
      </w:r>
    </w:p>
    <w:p w14:paraId="5A0EBBA3" w14:textId="77777777" w:rsidR="00201041" w:rsidRPr="00375059" w:rsidRDefault="00201041" w:rsidP="00201041">
      <w:pPr>
        <w:spacing w:after="0" w:line="240" w:lineRule="auto"/>
        <w:contextualSpacing/>
        <w:jc w:val="center"/>
        <w:rPr>
          <w:rFonts w:ascii="Times New Roman" w:eastAsia="Calibri" w:hAnsi="Times New Roman"/>
          <w:b/>
          <w:sz w:val="28"/>
          <w:szCs w:val="28"/>
        </w:rPr>
      </w:pPr>
      <w:r w:rsidRPr="00375059">
        <w:rPr>
          <w:rFonts w:ascii="Times New Roman" w:eastAsia="Calibri" w:hAnsi="Times New Roman"/>
          <w:b/>
          <w:sz w:val="28"/>
          <w:szCs w:val="28"/>
        </w:rPr>
        <w:t>Структура исполнения расходной части</w:t>
      </w:r>
    </w:p>
    <w:p w14:paraId="02414053" w14:textId="77777777" w:rsidR="00201041" w:rsidRPr="00375059" w:rsidRDefault="00201041" w:rsidP="00201041">
      <w:pPr>
        <w:spacing w:after="0" w:line="240" w:lineRule="auto"/>
        <w:ind w:firstLine="426"/>
        <w:contextualSpacing/>
        <w:jc w:val="center"/>
        <w:rPr>
          <w:rFonts w:ascii="Times New Roman" w:eastAsia="Calibri" w:hAnsi="Times New Roman"/>
          <w:b/>
          <w:szCs w:val="28"/>
        </w:rPr>
      </w:pPr>
      <w:r w:rsidRPr="00375059">
        <w:rPr>
          <w:rFonts w:ascii="Times New Roman" w:eastAsia="Calibri" w:hAnsi="Times New Roman"/>
          <w:b/>
          <w:sz w:val="28"/>
          <w:szCs w:val="28"/>
        </w:rPr>
        <w:t xml:space="preserve">консолидированного бюджета за </w:t>
      </w:r>
      <w:r w:rsidRPr="00375059">
        <w:rPr>
          <w:rFonts w:ascii="Times New Roman" w:eastAsia="Calibri" w:hAnsi="Times New Roman"/>
          <w:b/>
          <w:bCs/>
          <w:sz w:val="28"/>
          <w:szCs w:val="28"/>
        </w:rPr>
        <w:t>2021 год</w:t>
      </w:r>
      <w:r w:rsidRPr="00375059">
        <w:rPr>
          <w:rFonts w:ascii="Times New Roman" w:eastAsia="Calibri" w:hAnsi="Times New Roman"/>
          <w:b/>
          <w:sz w:val="28"/>
          <w:szCs w:val="28"/>
        </w:rPr>
        <w:t>, млн руб.</w:t>
      </w:r>
    </w:p>
    <w:tbl>
      <w:tblPr>
        <w:tblW w:w="5000" w:type="pct"/>
        <w:tblLook w:val="04A0" w:firstRow="1" w:lastRow="0" w:firstColumn="1" w:lastColumn="0" w:noHBand="0" w:noVBand="1"/>
      </w:tblPr>
      <w:tblGrid>
        <w:gridCol w:w="3705"/>
        <w:gridCol w:w="1234"/>
        <w:gridCol w:w="1234"/>
        <w:gridCol w:w="1456"/>
        <w:gridCol w:w="1716"/>
      </w:tblGrid>
      <w:tr w:rsidR="00201041" w:rsidRPr="00375059" w14:paraId="37E0C9CF" w14:textId="77777777" w:rsidTr="00E16DD0">
        <w:trPr>
          <w:trHeight w:val="421"/>
        </w:trPr>
        <w:tc>
          <w:tcPr>
            <w:tcW w:w="1981"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1C4D570B" w14:textId="77777777" w:rsidR="00201041" w:rsidRPr="00375059" w:rsidRDefault="00201041" w:rsidP="00201041">
            <w:pPr>
              <w:spacing w:after="0" w:line="240" w:lineRule="auto"/>
              <w:ind w:left="709" w:hanging="709"/>
              <w:contextualSpacing/>
              <w:jc w:val="center"/>
              <w:rPr>
                <w:rFonts w:ascii="Times New Roman" w:eastAsia="Calibri" w:hAnsi="Times New Roman"/>
                <w:b/>
                <w:sz w:val="24"/>
                <w:szCs w:val="24"/>
              </w:rPr>
            </w:pPr>
            <w:r w:rsidRPr="00375059">
              <w:rPr>
                <w:rFonts w:ascii="Times New Roman" w:eastAsia="Calibri" w:hAnsi="Times New Roman"/>
                <w:b/>
                <w:sz w:val="24"/>
                <w:szCs w:val="24"/>
              </w:rPr>
              <w:t>Показатель</w:t>
            </w:r>
          </w:p>
        </w:tc>
        <w:tc>
          <w:tcPr>
            <w:tcW w:w="660" w:type="pct"/>
            <w:tcBorders>
              <w:top w:val="single" w:sz="4" w:space="0" w:color="auto"/>
              <w:left w:val="nil"/>
              <w:bottom w:val="single" w:sz="4" w:space="0" w:color="auto"/>
              <w:right w:val="single" w:sz="4" w:space="0" w:color="auto"/>
            </w:tcBorders>
            <w:shd w:val="clear" w:color="auto" w:fill="D9D9D9"/>
            <w:vAlign w:val="center"/>
            <w:hideMark/>
          </w:tcPr>
          <w:p w14:paraId="5E10FEE3" w14:textId="77777777" w:rsidR="00201041" w:rsidRPr="00375059" w:rsidRDefault="00201041" w:rsidP="00201041">
            <w:pPr>
              <w:spacing w:after="0" w:line="240" w:lineRule="auto"/>
              <w:contextualSpacing/>
              <w:jc w:val="center"/>
              <w:rPr>
                <w:rFonts w:ascii="Times New Roman" w:eastAsia="Calibri" w:hAnsi="Times New Roman"/>
                <w:b/>
                <w:sz w:val="24"/>
                <w:szCs w:val="24"/>
              </w:rPr>
            </w:pPr>
            <w:r w:rsidRPr="00375059">
              <w:rPr>
                <w:rFonts w:ascii="Times New Roman" w:eastAsia="Calibri" w:hAnsi="Times New Roman"/>
                <w:b/>
                <w:sz w:val="24"/>
                <w:szCs w:val="24"/>
              </w:rPr>
              <w:t>план</w:t>
            </w:r>
          </w:p>
        </w:tc>
        <w:tc>
          <w:tcPr>
            <w:tcW w:w="660" w:type="pct"/>
            <w:tcBorders>
              <w:top w:val="single" w:sz="4" w:space="0" w:color="auto"/>
              <w:left w:val="nil"/>
              <w:bottom w:val="single" w:sz="4" w:space="0" w:color="auto"/>
              <w:right w:val="single" w:sz="4" w:space="0" w:color="auto"/>
            </w:tcBorders>
            <w:shd w:val="clear" w:color="auto" w:fill="D9D9D9"/>
            <w:vAlign w:val="center"/>
            <w:hideMark/>
          </w:tcPr>
          <w:p w14:paraId="4D0F3CA8" w14:textId="77777777" w:rsidR="00201041" w:rsidRPr="00375059" w:rsidRDefault="00201041" w:rsidP="00201041">
            <w:pPr>
              <w:spacing w:after="0" w:line="240" w:lineRule="auto"/>
              <w:contextualSpacing/>
              <w:jc w:val="center"/>
              <w:rPr>
                <w:rFonts w:ascii="Times New Roman" w:eastAsia="Calibri" w:hAnsi="Times New Roman"/>
                <w:b/>
                <w:sz w:val="24"/>
                <w:szCs w:val="24"/>
              </w:rPr>
            </w:pPr>
            <w:r w:rsidRPr="00375059">
              <w:rPr>
                <w:rFonts w:ascii="Times New Roman" w:eastAsia="Calibri" w:hAnsi="Times New Roman"/>
                <w:b/>
                <w:sz w:val="24"/>
                <w:szCs w:val="24"/>
              </w:rPr>
              <w:t>факт</w:t>
            </w:r>
          </w:p>
        </w:tc>
        <w:tc>
          <w:tcPr>
            <w:tcW w:w="779" w:type="pct"/>
            <w:tcBorders>
              <w:top w:val="single" w:sz="4" w:space="0" w:color="auto"/>
              <w:left w:val="nil"/>
              <w:bottom w:val="single" w:sz="4" w:space="0" w:color="auto"/>
              <w:right w:val="single" w:sz="4" w:space="0" w:color="auto"/>
            </w:tcBorders>
            <w:shd w:val="clear" w:color="auto" w:fill="D9D9D9"/>
            <w:vAlign w:val="center"/>
            <w:hideMark/>
          </w:tcPr>
          <w:p w14:paraId="5C96CBFA" w14:textId="77777777" w:rsidR="00201041" w:rsidRPr="00375059" w:rsidRDefault="00201041" w:rsidP="00201041">
            <w:pPr>
              <w:spacing w:after="0" w:line="240" w:lineRule="auto"/>
              <w:ind w:left="-148" w:right="-41"/>
              <w:contextualSpacing/>
              <w:jc w:val="center"/>
              <w:rPr>
                <w:rFonts w:ascii="Times New Roman" w:eastAsia="Calibri" w:hAnsi="Times New Roman"/>
                <w:b/>
                <w:sz w:val="24"/>
                <w:szCs w:val="24"/>
              </w:rPr>
            </w:pPr>
            <w:r w:rsidRPr="00375059">
              <w:rPr>
                <w:rFonts w:ascii="Times New Roman" w:eastAsia="Calibri" w:hAnsi="Times New Roman"/>
                <w:b/>
                <w:sz w:val="24"/>
                <w:szCs w:val="24"/>
              </w:rPr>
              <w:t>%</w:t>
            </w:r>
          </w:p>
          <w:p w14:paraId="201C1295" w14:textId="77777777" w:rsidR="00201041" w:rsidRPr="00375059" w:rsidRDefault="00201041" w:rsidP="00201041">
            <w:pPr>
              <w:spacing w:after="0" w:line="240" w:lineRule="auto"/>
              <w:ind w:left="-148" w:right="-41"/>
              <w:contextualSpacing/>
              <w:jc w:val="center"/>
              <w:rPr>
                <w:rFonts w:ascii="Times New Roman" w:eastAsia="Calibri" w:hAnsi="Times New Roman"/>
                <w:b/>
                <w:sz w:val="24"/>
                <w:szCs w:val="24"/>
              </w:rPr>
            </w:pPr>
            <w:r w:rsidRPr="00375059">
              <w:rPr>
                <w:rFonts w:ascii="Times New Roman" w:eastAsia="Calibri" w:hAnsi="Times New Roman"/>
                <w:b/>
                <w:sz w:val="24"/>
                <w:szCs w:val="24"/>
              </w:rPr>
              <w:t>исполнения</w:t>
            </w:r>
          </w:p>
        </w:tc>
        <w:tc>
          <w:tcPr>
            <w:tcW w:w="918" w:type="pct"/>
            <w:tcBorders>
              <w:top w:val="single" w:sz="4" w:space="0" w:color="auto"/>
              <w:left w:val="nil"/>
              <w:bottom w:val="single" w:sz="4" w:space="0" w:color="auto"/>
              <w:right w:val="single" w:sz="4" w:space="0" w:color="auto"/>
            </w:tcBorders>
            <w:shd w:val="clear" w:color="auto" w:fill="D9D9D9"/>
            <w:hideMark/>
          </w:tcPr>
          <w:p w14:paraId="0C3DBF4E" w14:textId="1AD32FDE" w:rsidR="00201041" w:rsidRPr="00375059" w:rsidRDefault="00E16DD0" w:rsidP="00201041">
            <w:pPr>
              <w:spacing w:after="0" w:line="240" w:lineRule="auto"/>
              <w:ind w:left="-108" w:right="-73"/>
              <w:contextualSpacing/>
              <w:jc w:val="center"/>
              <w:rPr>
                <w:rFonts w:ascii="Times New Roman" w:eastAsia="Calibri" w:hAnsi="Times New Roman"/>
                <w:b/>
                <w:sz w:val="24"/>
                <w:szCs w:val="24"/>
              </w:rPr>
            </w:pPr>
            <w:r w:rsidRPr="00375059">
              <w:rPr>
                <w:rFonts w:ascii="Times New Roman" w:eastAsia="Calibri" w:hAnsi="Times New Roman"/>
                <w:b/>
                <w:bCs/>
                <w:sz w:val="24"/>
                <w:szCs w:val="24"/>
              </w:rPr>
              <w:t>темп роста к 2020 году, %</w:t>
            </w:r>
          </w:p>
        </w:tc>
      </w:tr>
      <w:tr w:rsidR="00201041" w:rsidRPr="00375059" w14:paraId="3F337136" w14:textId="77777777" w:rsidTr="00E16DD0">
        <w:trPr>
          <w:trHeight w:val="95"/>
        </w:trPr>
        <w:tc>
          <w:tcPr>
            <w:tcW w:w="1981" w:type="pct"/>
            <w:tcBorders>
              <w:top w:val="nil"/>
              <w:left w:val="single" w:sz="4" w:space="0" w:color="auto"/>
              <w:bottom w:val="single" w:sz="4" w:space="0" w:color="auto"/>
              <w:right w:val="single" w:sz="4" w:space="0" w:color="auto"/>
            </w:tcBorders>
            <w:noWrap/>
            <w:hideMark/>
          </w:tcPr>
          <w:p w14:paraId="45AAE610" w14:textId="77777777" w:rsidR="00201041" w:rsidRPr="00375059" w:rsidRDefault="00201041" w:rsidP="00201041">
            <w:pPr>
              <w:spacing w:after="0" w:line="240" w:lineRule="auto"/>
              <w:ind w:left="24" w:right="-143" w:hanging="24"/>
              <w:rPr>
                <w:rFonts w:ascii="Times New Roman" w:eastAsia="Calibri" w:hAnsi="Times New Roman"/>
                <w:b/>
                <w:bCs/>
                <w:sz w:val="24"/>
                <w:szCs w:val="24"/>
              </w:rPr>
            </w:pPr>
            <w:r w:rsidRPr="00375059">
              <w:rPr>
                <w:rFonts w:ascii="Times New Roman" w:eastAsia="Calibri" w:hAnsi="Times New Roman"/>
                <w:b/>
                <w:bCs/>
                <w:sz w:val="24"/>
                <w:szCs w:val="24"/>
              </w:rPr>
              <w:t>Консолидированный бюджет,</w:t>
            </w:r>
          </w:p>
          <w:p w14:paraId="4848C1D0" w14:textId="77777777" w:rsidR="00201041" w:rsidRPr="00375059" w:rsidRDefault="00201041" w:rsidP="00201041">
            <w:pPr>
              <w:spacing w:after="0" w:line="240" w:lineRule="auto"/>
              <w:contextualSpacing/>
              <w:rPr>
                <w:rFonts w:ascii="Times New Roman" w:eastAsia="Calibri" w:hAnsi="Times New Roman"/>
                <w:b/>
                <w:bCs/>
                <w:sz w:val="24"/>
                <w:szCs w:val="24"/>
              </w:rPr>
            </w:pPr>
            <w:r w:rsidRPr="00375059">
              <w:rPr>
                <w:rFonts w:ascii="Times New Roman" w:eastAsia="Calibri" w:hAnsi="Times New Roman"/>
                <w:b/>
                <w:bCs/>
                <w:sz w:val="24"/>
                <w:szCs w:val="24"/>
              </w:rPr>
              <w:t>в том числе:</w:t>
            </w:r>
          </w:p>
        </w:tc>
        <w:tc>
          <w:tcPr>
            <w:tcW w:w="660" w:type="pct"/>
            <w:tcBorders>
              <w:top w:val="nil"/>
              <w:left w:val="nil"/>
              <w:bottom w:val="single" w:sz="4" w:space="0" w:color="auto"/>
              <w:right w:val="single" w:sz="4" w:space="0" w:color="auto"/>
            </w:tcBorders>
            <w:noWrap/>
            <w:vAlign w:val="center"/>
            <w:hideMark/>
          </w:tcPr>
          <w:p w14:paraId="2A4025C6" w14:textId="77777777" w:rsidR="00201041" w:rsidRPr="00375059" w:rsidRDefault="00201041" w:rsidP="00201041">
            <w:pPr>
              <w:spacing w:after="0" w:line="240" w:lineRule="auto"/>
              <w:contextualSpacing/>
              <w:jc w:val="center"/>
              <w:rPr>
                <w:rFonts w:ascii="Times New Roman" w:eastAsia="Calibri" w:hAnsi="Times New Roman"/>
                <w:b/>
                <w:bCs/>
                <w:sz w:val="24"/>
                <w:szCs w:val="24"/>
              </w:rPr>
            </w:pPr>
            <w:r w:rsidRPr="00375059">
              <w:rPr>
                <w:rFonts w:ascii="Times New Roman" w:eastAsia="Calibri" w:hAnsi="Times New Roman"/>
                <w:b/>
                <w:bCs/>
                <w:sz w:val="24"/>
                <w:szCs w:val="24"/>
              </w:rPr>
              <w:t>6 101,1</w:t>
            </w:r>
          </w:p>
        </w:tc>
        <w:tc>
          <w:tcPr>
            <w:tcW w:w="660" w:type="pct"/>
            <w:tcBorders>
              <w:top w:val="nil"/>
              <w:left w:val="nil"/>
              <w:bottom w:val="single" w:sz="4" w:space="0" w:color="auto"/>
              <w:right w:val="single" w:sz="4" w:space="0" w:color="auto"/>
            </w:tcBorders>
            <w:noWrap/>
            <w:vAlign w:val="center"/>
            <w:hideMark/>
          </w:tcPr>
          <w:p w14:paraId="79F5F544" w14:textId="77777777" w:rsidR="00201041" w:rsidRPr="00375059" w:rsidRDefault="00201041" w:rsidP="00201041">
            <w:pPr>
              <w:spacing w:after="0" w:line="240" w:lineRule="auto"/>
              <w:contextualSpacing/>
              <w:jc w:val="center"/>
              <w:rPr>
                <w:rFonts w:ascii="Times New Roman" w:eastAsia="Calibri" w:hAnsi="Times New Roman"/>
                <w:b/>
                <w:bCs/>
                <w:sz w:val="24"/>
                <w:szCs w:val="24"/>
              </w:rPr>
            </w:pPr>
            <w:r w:rsidRPr="00375059">
              <w:rPr>
                <w:rFonts w:ascii="Times New Roman" w:eastAsia="Calibri" w:hAnsi="Times New Roman"/>
                <w:b/>
                <w:bCs/>
                <w:sz w:val="24"/>
                <w:szCs w:val="24"/>
              </w:rPr>
              <w:t>5 675,1</w:t>
            </w:r>
          </w:p>
        </w:tc>
        <w:tc>
          <w:tcPr>
            <w:tcW w:w="779" w:type="pct"/>
            <w:tcBorders>
              <w:top w:val="nil"/>
              <w:left w:val="nil"/>
              <w:bottom w:val="single" w:sz="4" w:space="0" w:color="auto"/>
              <w:right w:val="single" w:sz="4" w:space="0" w:color="auto"/>
            </w:tcBorders>
            <w:noWrap/>
            <w:vAlign w:val="center"/>
            <w:hideMark/>
          </w:tcPr>
          <w:p w14:paraId="6BCF37D3" w14:textId="77777777" w:rsidR="00201041" w:rsidRPr="00375059" w:rsidRDefault="00201041" w:rsidP="00201041">
            <w:pPr>
              <w:spacing w:after="0" w:line="240" w:lineRule="auto"/>
              <w:contextualSpacing/>
              <w:jc w:val="center"/>
              <w:rPr>
                <w:rFonts w:ascii="Times New Roman" w:eastAsia="Calibri" w:hAnsi="Times New Roman"/>
                <w:b/>
                <w:bCs/>
                <w:sz w:val="24"/>
                <w:szCs w:val="24"/>
              </w:rPr>
            </w:pPr>
            <w:r w:rsidRPr="00375059">
              <w:rPr>
                <w:rFonts w:ascii="Times New Roman" w:eastAsia="Calibri" w:hAnsi="Times New Roman"/>
                <w:b/>
                <w:bCs/>
                <w:sz w:val="24"/>
                <w:szCs w:val="24"/>
              </w:rPr>
              <w:t>93,0</w:t>
            </w:r>
          </w:p>
        </w:tc>
        <w:tc>
          <w:tcPr>
            <w:tcW w:w="918" w:type="pct"/>
            <w:tcBorders>
              <w:top w:val="nil"/>
              <w:left w:val="nil"/>
              <w:bottom w:val="single" w:sz="4" w:space="0" w:color="auto"/>
              <w:right w:val="single" w:sz="4" w:space="0" w:color="auto"/>
            </w:tcBorders>
            <w:vAlign w:val="center"/>
            <w:hideMark/>
          </w:tcPr>
          <w:p w14:paraId="079D78E4" w14:textId="77777777" w:rsidR="00201041" w:rsidRPr="00375059" w:rsidRDefault="00201041" w:rsidP="00201041">
            <w:pPr>
              <w:spacing w:after="0" w:line="240" w:lineRule="auto"/>
              <w:contextualSpacing/>
              <w:jc w:val="center"/>
              <w:rPr>
                <w:rFonts w:ascii="Times New Roman" w:eastAsia="Calibri" w:hAnsi="Times New Roman"/>
                <w:b/>
                <w:bCs/>
                <w:sz w:val="24"/>
                <w:szCs w:val="24"/>
              </w:rPr>
            </w:pPr>
            <w:r w:rsidRPr="00375059">
              <w:rPr>
                <w:rFonts w:ascii="Times New Roman" w:eastAsia="Calibri" w:hAnsi="Times New Roman"/>
                <w:b/>
                <w:bCs/>
                <w:sz w:val="24"/>
                <w:szCs w:val="24"/>
              </w:rPr>
              <w:t>111,3</w:t>
            </w:r>
          </w:p>
        </w:tc>
      </w:tr>
      <w:tr w:rsidR="00201041" w:rsidRPr="00375059" w14:paraId="14FBEB83" w14:textId="77777777" w:rsidTr="00E16DD0">
        <w:trPr>
          <w:trHeight w:val="143"/>
        </w:trPr>
        <w:tc>
          <w:tcPr>
            <w:tcW w:w="1981" w:type="pct"/>
            <w:tcBorders>
              <w:top w:val="nil"/>
              <w:left w:val="single" w:sz="4" w:space="0" w:color="auto"/>
              <w:bottom w:val="single" w:sz="4" w:space="0" w:color="auto"/>
              <w:right w:val="single" w:sz="4" w:space="0" w:color="auto"/>
            </w:tcBorders>
            <w:noWrap/>
            <w:hideMark/>
          </w:tcPr>
          <w:p w14:paraId="338AE8CE" w14:textId="77777777" w:rsidR="00201041" w:rsidRPr="00375059" w:rsidRDefault="00201041" w:rsidP="00201041">
            <w:pPr>
              <w:spacing w:after="0" w:line="240" w:lineRule="auto"/>
              <w:contextualSpacing/>
              <w:rPr>
                <w:rFonts w:ascii="Times New Roman" w:eastAsia="Calibri" w:hAnsi="Times New Roman"/>
                <w:bCs/>
                <w:sz w:val="24"/>
                <w:szCs w:val="24"/>
              </w:rPr>
            </w:pPr>
            <w:r w:rsidRPr="00375059">
              <w:rPr>
                <w:rFonts w:ascii="Times New Roman" w:eastAsia="Calibri" w:hAnsi="Times New Roman"/>
                <w:bCs/>
                <w:sz w:val="24"/>
                <w:szCs w:val="24"/>
              </w:rPr>
              <w:t>республиканский бюджет</w:t>
            </w:r>
          </w:p>
        </w:tc>
        <w:tc>
          <w:tcPr>
            <w:tcW w:w="660" w:type="pct"/>
            <w:tcBorders>
              <w:top w:val="nil"/>
              <w:left w:val="nil"/>
              <w:bottom w:val="single" w:sz="4" w:space="0" w:color="auto"/>
              <w:right w:val="single" w:sz="4" w:space="0" w:color="auto"/>
            </w:tcBorders>
            <w:noWrap/>
            <w:vAlign w:val="center"/>
            <w:hideMark/>
          </w:tcPr>
          <w:p w14:paraId="7311E58C" w14:textId="77777777" w:rsidR="00201041" w:rsidRPr="00375059" w:rsidRDefault="00201041" w:rsidP="00201041">
            <w:pPr>
              <w:spacing w:after="0" w:line="240" w:lineRule="auto"/>
              <w:contextualSpacing/>
              <w:jc w:val="center"/>
              <w:rPr>
                <w:rFonts w:ascii="Times New Roman" w:eastAsia="Calibri" w:hAnsi="Times New Roman"/>
                <w:bCs/>
                <w:sz w:val="24"/>
                <w:szCs w:val="24"/>
              </w:rPr>
            </w:pPr>
            <w:r w:rsidRPr="00375059">
              <w:rPr>
                <w:rFonts w:ascii="Times New Roman" w:eastAsia="Calibri" w:hAnsi="Times New Roman"/>
                <w:bCs/>
                <w:sz w:val="24"/>
                <w:szCs w:val="24"/>
              </w:rPr>
              <w:t>4 464,0</w:t>
            </w:r>
          </w:p>
        </w:tc>
        <w:tc>
          <w:tcPr>
            <w:tcW w:w="660" w:type="pct"/>
            <w:tcBorders>
              <w:top w:val="nil"/>
              <w:left w:val="nil"/>
              <w:bottom w:val="single" w:sz="4" w:space="0" w:color="auto"/>
              <w:right w:val="single" w:sz="4" w:space="0" w:color="auto"/>
            </w:tcBorders>
            <w:noWrap/>
            <w:vAlign w:val="center"/>
            <w:hideMark/>
          </w:tcPr>
          <w:p w14:paraId="10A02D57" w14:textId="77777777" w:rsidR="00201041" w:rsidRPr="00375059" w:rsidRDefault="00201041" w:rsidP="00201041">
            <w:pPr>
              <w:spacing w:after="0" w:line="240" w:lineRule="auto"/>
              <w:contextualSpacing/>
              <w:jc w:val="center"/>
              <w:rPr>
                <w:rFonts w:ascii="Times New Roman" w:eastAsia="Calibri" w:hAnsi="Times New Roman"/>
                <w:bCs/>
                <w:sz w:val="24"/>
                <w:szCs w:val="24"/>
              </w:rPr>
            </w:pPr>
            <w:r w:rsidRPr="00375059">
              <w:rPr>
                <w:rFonts w:ascii="Times New Roman" w:eastAsia="Calibri" w:hAnsi="Times New Roman"/>
                <w:bCs/>
                <w:sz w:val="24"/>
                <w:szCs w:val="24"/>
              </w:rPr>
              <w:t>4 157,4</w:t>
            </w:r>
          </w:p>
        </w:tc>
        <w:tc>
          <w:tcPr>
            <w:tcW w:w="779" w:type="pct"/>
            <w:tcBorders>
              <w:top w:val="nil"/>
              <w:left w:val="nil"/>
              <w:bottom w:val="single" w:sz="4" w:space="0" w:color="auto"/>
              <w:right w:val="single" w:sz="4" w:space="0" w:color="auto"/>
            </w:tcBorders>
            <w:noWrap/>
            <w:vAlign w:val="center"/>
            <w:hideMark/>
          </w:tcPr>
          <w:p w14:paraId="6BF81149" w14:textId="77777777" w:rsidR="00201041" w:rsidRPr="00375059" w:rsidRDefault="00201041" w:rsidP="00201041">
            <w:pPr>
              <w:spacing w:after="0" w:line="240" w:lineRule="auto"/>
              <w:contextualSpacing/>
              <w:jc w:val="center"/>
              <w:rPr>
                <w:rFonts w:ascii="Times New Roman" w:eastAsia="Calibri" w:hAnsi="Times New Roman"/>
                <w:bCs/>
                <w:sz w:val="24"/>
                <w:szCs w:val="24"/>
              </w:rPr>
            </w:pPr>
            <w:r w:rsidRPr="00375059">
              <w:rPr>
                <w:rFonts w:ascii="Times New Roman" w:eastAsia="Calibri" w:hAnsi="Times New Roman"/>
                <w:bCs/>
                <w:sz w:val="24"/>
                <w:szCs w:val="24"/>
              </w:rPr>
              <w:t>93,1</w:t>
            </w:r>
          </w:p>
        </w:tc>
        <w:tc>
          <w:tcPr>
            <w:tcW w:w="918" w:type="pct"/>
            <w:tcBorders>
              <w:top w:val="nil"/>
              <w:left w:val="nil"/>
              <w:bottom w:val="single" w:sz="4" w:space="0" w:color="auto"/>
              <w:right w:val="single" w:sz="4" w:space="0" w:color="auto"/>
            </w:tcBorders>
            <w:hideMark/>
          </w:tcPr>
          <w:p w14:paraId="26BBFD94" w14:textId="77777777" w:rsidR="00201041" w:rsidRPr="00375059" w:rsidRDefault="00201041" w:rsidP="00201041">
            <w:pPr>
              <w:spacing w:after="0" w:line="240" w:lineRule="auto"/>
              <w:contextualSpacing/>
              <w:jc w:val="center"/>
              <w:rPr>
                <w:rFonts w:ascii="Times New Roman" w:eastAsia="Calibri" w:hAnsi="Times New Roman"/>
                <w:bCs/>
                <w:sz w:val="24"/>
                <w:szCs w:val="24"/>
              </w:rPr>
            </w:pPr>
            <w:r w:rsidRPr="00375059">
              <w:rPr>
                <w:rFonts w:ascii="Times New Roman" w:eastAsia="Calibri" w:hAnsi="Times New Roman"/>
                <w:bCs/>
                <w:sz w:val="24"/>
                <w:szCs w:val="24"/>
              </w:rPr>
              <w:t>111,4</w:t>
            </w:r>
          </w:p>
        </w:tc>
      </w:tr>
      <w:tr w:rsidR="00201041" w:rsidRPr="00375059" w14:paraId="3EEF6CE1" w14:textId="77777777" w:rsidTr="00E16DD0">
        <w:trPr>
          <w:trHeight w:val="160"/>
        </w:trPr>
        <w:tc>
          <w:tcPr>
            <w:tcW w:w="1981" w:type="pct"/>
            <w:tcBorders>
              <w:top w:val="nil"/>
              <w:left w:val="single" w:sz="4" w:space="0" w:color="auto"/>
              <w:bottom w:val="single" w:sz="4" w:space="0" w:color="auto"/>
              <w:right w:val="single" w:sz="4" w:space="0" w:color="auto"/>
            </w:tcBorders>
            <w:noWrap/>
            <w:hideMark/>
          </w:tcPr>
          <w:p w14:paraId="1F86C4C7" w14:textId="77777777" w:rsidR="00201041" w:rsidRPr="00375059" w:rsidRDefault="00201041" w:rsidP="00201041">
            <w:pPr>
              <w:spacing w:after="0" w:line="240" w:lineRule="auto"/>
              <w:contextualSpacing/>
              <w:rPr>
                <w:rFonts w:ascii="Times New Roman" w:eastAsia="Calibri" w:hAnsi="Times New Roman"/>
                <w:bCs/>
                <w:sz w:val="24"/>
                <w:szCs w:val="24"/>
              </w:rPr>
            </w:pPr>
            <w:r w:rsidRPr="00375059">
              <w:rPr>
                <w:rFonts w:ascii="Times New Roman" w:eastAsia="Calibri" w:hAnsi="Times New Roman"/>
                <w:bCs/>
                <w:sz w:val="24"/>
                <w:szCs w:val="24"/>
              </w:rPr>
              <w:t>местные бюджеты</w:t>
            </w:r>
          </w:p>
        </w:tc>
        <w:tc>
          <w:tcPr>
            <w:tcW w:w="660" w:type="pct"/>
            <w:tcBorders>
              <w:top w:val="nil"/>
              <w:left w:val="nil"/>
              <w:bottom w:val="single" w:sz="4" w:space="0" w:color="auto"/>
              <w:right w:val="single" w:sz="4" w:space="0" w:color="auto"/>
            </w:tcBorders>
            <w:noWrap/>
            <w:vAlign w:val="center"/>
            <w:hideMark/>
          </w:tcPr>
          <w:p w14:paraId="1037C503" w14:textId="77777777" w:rsidR="00201041" w:rsidRPr="00375059" w:rsidRDefault="00201041" w:rsidP="00201041">
            <w:pPr>
              <w:spacing w:after="0" w:line="240" w:lineRule="auto"/>
              <w:contextualSpacing/>
              <w:jc w:val="center"/>
              <w:rPr>
                <w:rFonts w:ascii="Times New Roman" w:eastAsia="Calibri" w:hAnsi="Times New Roman"/>
                <w:bCs/>
                <w:sz w:val="24"/>
                <w:szCs w:val="24"/>
              </w:rPr>
            </w:pPr>
            <w:r w:rsidRPr="00375059">
              <w:rPr>
                <w:rFonts w:ascii="Times New Roman" w:eastAsia="Calibri" w:hAnsi="Times New Roman"/>
                <w:bCs/>
                <w:sz w:val="24"/>
                <w:szCs w:val="24"/>
              </w:rPr>
              <w:t>1 637,1</w:t>
            </w:r>
          </w:p>
        </w:tc>
        <w:tc>
          <w:tcPr>
            <w:tcW w:w="660" w:type="pct"/>
            <w:tcBorders>
              <w:top w:val="nil"/>
              <w:left w:val="nil"/>
              <w:bottom w:val="single" w:sz="4" w:space="0" w:color="auto"/>
              <w:right w:val="single" w:sz="4" w:space="0" w:color="auto"/>
            </w:tcBorders>
            <w:noWrap/>
            <w:vAlign w:val="center"/>
            <w:hideMark/>
          </w:tcPr>
          <w:p w14:paraId="468DB8D7" w14:textId="77777777" w:rsidR="00201041" w:rsidRPr="00375059" w:rsidRDefault="00201041" w:rsidP="00201041">
            <w:pPr>
              <w:spacing w:after="0" w:line="240" w:lineRule="auto"/>
              <w:contextualSpacing/>
              <w:jc w:val="center"/>
              <w:rPr>
                <w:rFonts w:ascii="Times New Roman" w:eastAsia="Calibri" w:hAnsi="Times New Roman"/>
                <w:bCs/>
                <w:sz w:val="24"/>
                <w:szCs w:val="24"/>
              </w:rPr>
            </w:pPr>
            <w:r w:rsidRPr="00375059">
              <w:rPr>
                <w:rFonts w:ascii="Times New Roman" w:eastAsia="Calibri" w:hAnsi="Times New Roman"/>
                <w:bCs/>
                <w:sz w:val="24"/>
                <w:szCs w:val="24"/>
              </w:rPr>
              <w:t>1 517,6</w:t>
            </w:r>
          </w:p>
        </w:tc>
        <w:tc>
          <w:tcPr>
            <w:tcW w:w="779" w:type="pct"/>
            <w:tcBorders>
              <w:top w:val="nil"/>
              <w:left w:val="nil"/>
              <w:bottom w:val="single" w:sz="4" w:space="0" w:color="auto"/>
              <w:right w:val="single" w:sz="4" w:space="0" w:color="auto"/>
            </w:tcBorders>
            <w:noWrap/>
            <w:vAlign w:val="center"/>
            <w:hideMark/>
          </w:tcPr>
          <w:p w14:paraId="45F8E526" w14:textId="77777777" w:rsidR="00201041" w:rsidRPr="00375059" w:rsidRDefault="00201041" w:rsidP="00201041">
            <w:pPr>
              <w:spacing w:after="0" w:line="240" w:lineRule="auto"/>
              <w:contextualSpacing/>
              <w:jc w:val="center"/>
              <w:rPr>
                <w:rFonts w:ascii="Times New Roman" w:eastAsia="Calibri" w:hAnsi="Times New Roman"/>
                <w:bCs/>
                <w:sz w:val="24"/>
                <w:szCs w:val="24"/>
              </w:rPr>
            </w:pPr>
            <w:r w:rsidRPr="00375059">
              <w:rPr>
                <w:rFonts w:ascii="Times New Roman" w:eastAsia="Calibri" w:hAnsi="Times New Roman"/>
                <w:bCs/>
                <w:sz w:val="24"/>
                <w:szCs w:val="24"/>
              </w:rPr>
              <w:t>92,7</w:t>
            </w:r>
          </w:p>
        </w:tc>
        <w:tc>
          <w:tcPr>
            <w:tcW w:w="918" w:type="pct"/>
            <w:tcBorders>
              <w:top w:val="nil"/>
              <w:left w:val="nil"/>
              <w:bottom w:val="single" w:sz="4" w:space="0" w:color="auto"/>
              <w:right w:val="single" w:sz="4" w:space="0" w:color="auto"/>
            </w:tcBorders>
            <w:hideMark/>
          </w:tcPr>
          <w:p w14:paraId="787BC2DC" w14:textId="77777777" w:rsidR="00201041" w:rsidRPr="00375059" w:rsidRDefault="00201041" w:rsidP="00201041">
            <w:pPr>
              <w:spacing w:after="0" w:line="240" w:lineRule="auto"/>
              <w:contextualSpacing/>
              <w:jc w:val="center"/>
              <w:rPr>
                <w:rFonts w:ascii="Times New Roman" w:eastAsia="Calibri" w:hAnsi="Times New Roman"/>
                <w:bCs/>
                <w:sz w:val="24"/>
                <w:szCs w:val="24"/>
              </w:rPr>
            </w:pPr>
            <w:r w:rsidRPr="00375059">
              <w:rPr>
                <w:rFonts w:ascii="Times New Roman" w:eastAsia="Calibri" w:hAnsi="Times New Roman"/>
                <w:bCs/>
                <w:sz w:val="24"/>
                <w:szCs w:val="24"/>
              </w:rPr>
              <w:t>111,2</w:t>
            </w:r>
          </w:p>
        </w:tc>
      </w:tr>
    </w:tbl>
    <w:p w14:paraId="0230D06E" w14:textId="1BE0E321" w:rsidR="00201041" w:rsidRPr="00375059" w:rsidRDefault="00201041" w:rsidP="001463C8">
      <w:pPr>
        <w:spacing w:before="240"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структуре расходов консолидированного бюджета доминирующее место занимают расходы в социальной сфере: на образование было потрачено 1 119,7 млн руб. (19,7%), здравоохранение – 974,5 млн руб. (17,2%), социальную политику – 521,8 млн руб. (9,2%) (рис. </w:t>
      </w:r>
      <w:r w:rsidR="00E16DD0" w:rsidRPr="00375059">
        <w:rPr>
          <w:rFonts w:ascii="Times New Roman" w:hAnsi="Times New Roman"/>
          <w:sz w:val="28"/>
          <w:szCs w:val="28"/>
        </w:rPr>
        <w:t>5</w:t>
      </w:r>
      <w:r w:rsidR="00540656">
        <w:rPr>
          <w:rFonts w:ascii="Times New Roman" w:hAnsi="Times New Roman"/>
          <w:sz w:val="28"/>
          <w:szCs w:val="28"/>
        </w:rPr>
        <w:t>2</w:t>
      </w:r>
      <w:r w:rsidRPr="00375059">
        <w:rPr>
          <w:rFonts w:ascii="Times New Roman" w:hAnsi="Times New Roman"/>
          <w:sz w:val="28"/>
          <w:szCs w:val="28"/>
        </w:rPr>
        <w:t>).</w:t>
      </w:r>
    </w:p>
    <w:p w14:paraId="25B8B386" w14:textId="67C8AC92" w:rsidR="00201041" w:rsidRPr="00375059" w:rsidRDefault="00201041" w:rsidP="00201041">
      <w:pPr>
        <w:widowControl w:val="0"/>
        <w:spacing w:after="0" w:line="240" w:lineRule="auto"/>
        <w:ind w:firstLine="426"/>
        <w:contextualSpacing/>
        <w:jc w:val="right"/>
        <w:rPr>
          <w:rFonts w:ascii="Times New Roman" w:eastAsia="Calibri" w:hAnsi="Times New Roman"/>
          <w:b/>
          <w:i/>
          <w:sz w:val="28"/>
          <w:szCs w:val="28"/>
        </w:rPr>
      </w:pPr>
      <w:r w:rsidRPr="00375059">
        <w:rPr>
          <w:rFonts w:ascii="Times New Roman" w:eastAsia="Calibri" w:hAnsi="Times New Roman"/>
          <w:b/>
          <w:i/>
          <w:sz w:val="28"/>
          <w:szCs w:val="28"/>
        </w:rPr>
        <w:t xml:space="preserve">Рисунок </w:t>
      </w:r>
      <w:r w:rsidR="00E16DD0" w:rsidRPr="00375059">
        <w:rPr>
          <w:rFonts w:ascii="Times New Roman" w:eastAsia="Calibri" w:hAnsi="Times New Roman"/>
          <w:b/>
          <w:i/>
          <w:sz w:val="28"/>
          <w:szCs w:val="28"/>
        </w:rPr>
        <w:t>5</w:t>
      </w:r>
      <w:r w:rsidR="00540656">
        <w:rPr>
          <w:rFonts w:ascii="Times New Roman" w:eastAsia="Calibri" w:hAnsi="Times New Roman"/>
          <w:b/>
          <w:i/>
          <w:sz w:val="28"/>
          <w:szCs w:val="28"/>
        </w:rPr>
        <w:t>2</w:t>
      </w:r>
    </w:p>
    <w:p w14:paraId="39CBF1ED" w14:textId="77777777" w:rsidR="00201041" w:rsidRPr="00375059" w:rsidRDefault="00201041" w:rsidP="00201041">
      <w:pPr>
        <w:widowControl w:val="0"/>
        <w:spacing w:after="0" w:line="240" w:lineRule="auto"/>
        <w:contextualSpacing/>
        <w:jc w:val="center"/>
        <w:rPr>
          <w:rFonts w:ascii="Times New Roman" w:eastAsia="Calibri" w:hAnsi="Times New Roman"/>
          <w:b/>
          <w:sz w:val="28"/>
          <w:szCs w:val="24"/>
        </w:rPr>
      </w:pPr>
      <w:r w:rsidRPr="00375059">
        <w:rPr>
          <w:rFonts w:ascii="Times New Roman" w:eastAsia="Calibri" w:hAnsi="Times New Roman"/>
          <w:b/>
          <w:sz w:val="28"/>
          <w:szCs w:val="24"/>
        </w:rPr>
        <w:t>Структура расходов консолидированного бюджета, %</w:t>
      </w:r>
    </w:p>
    <w:p w14:paraId="600CDE32" w14:textId="77777777" w:rsidR="00201041" w:rsidRPr="00375059" w:rsidRDefault="00201041" w:rsidP="00201041">
      <w:pPr>
        <w:widowControl w:val="0"/>
        <w:spacing w:after="0" w:line="240" w:lineRule="auto"/>
        <w:contextualSpacing/>
        <w:jc w:val="center"/>
        <w:rPr>
          <w:rFonts w:ascii="Times New Roman" w:eastAsia="Calibri" w:hAnsi="Times New Roman"/>
          <w:sz w:val="24"/>
          <w:szCs w:val="24"/>
        </w:rPr>
      </w:pPr>
      <w:r w:rsidRPr="00375059">
        <w:rPr>
          <w:rFonts w:ascii="Times New Roman" w:hAnsi="Times New Roman"/>
          <w:b/>
          <w:noProof/>
          <w:sz w:val="28"/>
          <w:szCs w:val="28"/>
        </w:rPr>
        <w:drawing>
          <wp:inline distT="0" distB="0" distL="0" distR="0" wp14:anchorId="02581D75" wp14:editId="096EB6BF">
            <wp:extent cx="5940425" cy="2619375"/>
            <wp:effectExtent l="0" t="0" r="3175"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8B520D8"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eastAsia="Calibri" w:hAnsi="Times New Roman"/>
          <w:sz w:val="28"/>
          <w:szCs w:val="28"/>
        </w:rPr>
        <w:t xml:space="preserve">Удельный вес затрат на содержание силовых структур и органов обеспечения правопорядка увеличился на 0,1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 до 15,1%, в денежном выражении финансирование выросло на 12,4% до 859,4 млн руб.</w:t>
      </w:r>
    </w:p>
    <w:p w14:paraId="07B9E1E7" w14:textId="77777777" w:rsidR="00201041" w:rsidRPr="00375059" w:rsidRDefault="00201041" w:rsidP="001463C8">
      <w:pPr>
        <w:spacing w:after="0" w:line="240" w:lineRule="auto"/>
        <w:ind w:firstLine="567"/>
        <w:jc w:val="both"/>
        <w:rPr>
          <w:rFonts w:ascii="Times New Roman" w:eastAsia="Calibri" w:hAnsi="Times New Roman"/>
          <w:sz w:val="28"/>
          <w:szCs w:val="28"/>
        </w:rPr>
      </w:pPr>
      <w:r w:rsidRPr="00375059">
        <w:rPr>
          <w:rFonts w:ascii="Times New Roman" w:eastAsia="Calibri" w:hAnsi="Times New Roman"/>
          <w:sz w:val="28"/>
          <w:szCs w:val="28"/>
        </w:rPr>
        <w:t xml:space="preserve">Долевое представление бюджетных средств, выделяемых на содержание государственного аппарата, снизилось на 0,4 </w:t>
      </w:r>
      <w:proofErr w:type="spellStart"/>
      <w:r w:rsidRPr="00375059">
        <w:rPr>
          <w:rFonts w:ascii="Times New Roman" w:eastAsia="Calibri" w:hAnsi="Times New Roman"/>
          <w:sz w:val="28"/>
          <w:szCs w:val="28"/>
        </w:rPr>
        <w:t>п.п</w:t>
      </w:r>
      <w:proofErr w:type="spellEnd"/>
      <w:r w:rsidRPr="00375059">
        <w:rPr>
          <w:rFonts w:ascii="Times New Roman" w:eastAsia="Calibri" w:hAnsi="Times New Roman"/>
          <w:sz w:val="28"/>
          <w:szCs w:val="28"/>
        </w:rPr>
        <w:t>. до 5,2%, что в денежном выражении составляет 293,3 млн руб.</w:t>
      </w:r>
    </w:p>
    <w:p w14:paraId="011C0FD2" w14:textId="77777777" w:rsidR="00201041" w:rsidRPr="00375059" w:rsidRDefault="00201041" w:rsidP="001463C8">
      <w:pPr>
        <w:widowControl w:val="0"/>
        <w:spacing w:after="0" w:line="240" w:lineRule="auto"/>
        <w:ind w:firstLine="567"/>
        <w:jc w:val="both"/>
        <w:rPr>
          <w:rFonts w:ascii="Times New Roman" w:eastAsia="Calibri" w:hAnsi="Times New Roman"/>
          <w:sz w:val="28"/>
          <w:szCs w:val="28"/>
        </w:rPr>
      </w:pPr>
      <w:r w:rsidRPr="00375059">
        <w:rPr>
          <w:rFonts w:ascii="Times New Roman" w:eastAsia="Calibri" w:hAnsi="Times New Roman"/>
          <w:spacing w:val="-2"/>
          <w:sz w:val="28"/>
          <w:szCs w:val="28"/>
        </w:rPr>
        <w:t>В процессе исполнения государственного бюджета особое внимание уделялось финансовому обеспечению решения социальных задач,</w:t>
      </w:r>
      <w:r w:rsidRPr="00375059">
        <w:rPr>
          <w:rFonts w:ascii="Times New Roman" w:eastAsia="Calibri" w:hAnsi="Times New Roman"/>
          <w:sz w:val="28"/>
          <w:szCs w:val="28"/>
        </w:rPr>
        <w:t xml:space="preserve"> что подтверждается превалирующей долей социально-защищенных статей в фактически профинансированных суммарных расходах – 68,0% </w:t>
      </w:r>
      <w:r w:rsidRPr="00375059">
        <w:rPr>
          <w:rFonts w:ascii="Times New Roman" w:eastAsia="Calibri" w:hAnsi="Times New Roman"/>
          <w:sz w:val="28"/>
          <w:szCs w:val="28"/>
        </w:rPr>
        <w:lastRenderedPageBreak/>
        <w:t xml:space="preserve">(3 861,4 млн руб., +11,3%). </w:t>
      </w:r>
    </w:p>
    <w:p w14:paraId="2C97A7E8" w14:textId="77777777" w:rsidR="00201041" w:rsidRPr="00375059" w:rsidRDefault="00201041" w:rsidP="001463C8">
      <w:pPr>
        <w:widowControl w:val="0"/>
        <w:spacing w:after="0" w:line="240" w:lineRule="auto"/>
        <w:ind w:firstLine="567"/>
        <w:jc w:val="both"/>
        <w:rPr>
          <w:rFonts w:ascii="Times New Roman" w:eastAsia="Calibri" w:hAnsi="Times New Roman"/>
          <w:spacing w:val="-2"/>
          <w:sz w:val="28"/>
          <w:szCs w:val="28"/>
        </w:rPr>
      </w:pPr>
      <w:r w:rsidRPr="00375059">
        <w:rPr>
          <w:rFonts w:ascii="Times New Roman" w:eastAsia="Calibri" w:hAnsi="Times New Roman"/>
          <w:sz w:val="28"/>
          <w:szCs w:val="28"/>
        </w:rPr>
        <w:t>Расходы по социально защищенным статьям республиканского бюджета были исполнены на 95,7% и профинансированы в объеме 2 824,1 млн руб. (+12,3%). Наибольший удельный вес в них занимали затраты на заработные платы с учетом</w:t>
      </w:r>
      <w:r w:rsidRPr="00375059">
        <w:rPr>
          <w:rFonts w:ascii="Times New Roman" w:eastAsia="Calibri" w:hAnsi="Times New Roman"/>
          <w:spacing w:val="-2"/>
          <w:sz w:val="28"/>
          <w:szCs w:val="28"/>
        </w:rPr>
        <w:t xml:space="preserve"> взносов на социальное страхование – 62,5%, на приобретение медико-фармацевтической продукции – 7,2%, на трансферты местным бюджетам на социальные выплаты – 5,8%, на социальные пенсии – 5,8%, на пенсии и пожизненное содержание – 3,2%.</w:t>
      </w:r>
    </w:p>
    <w:p w14:paraId="51114719" w14:textId="77777777" w:rsidR="00201041" w:rsidRPr="00375059" w:rsidRDefault="00201041" w:rsidP="001463C8">
      <w:pPr>
        <w:widowControl w:val="0"/>
        <w:spacing w:after="0" w:line="240" w:lineRule="auto"/>
        <w:ind w:firstLine="567"/>
        <w:jc w:val="both"/>
        <w:rPr>
          <w:rFonts w:ascii="Times New Roman" w:eastAsia="Calibri" w:hAnsi="Times New Roman"/>
          <w:spacing w:val="-2"/>
          <w:sz w:val="28"/>
          <w:szCs w:val="28"/>
        </w:rPr>
      </w:pPr>
      <w:r w:rsidRPr="00375059">
        <w:rPr>
          <w:rFonts w:ascii="Times New Roman" w:eastAsia="Calibri" w:hAnsi="Times New Roman"/>
          <w:spacing w:val="-2"/>
          <w:sz w:val="28"/>
          <w:szCs w:val="28"/>
        </w:rPr>
        <w:t xml:space="preserve">Расходы по социально-защищенным статьям местных бюджетов исполнены на 98,8% от запланированных, составив при этом 1 037,3 млн руб., </w:t>
      </w:r>
      <w:r w:rsidRPr="00375059">
        <w:rPr>
          <w:rFonts w:ascii="Times New Roman" w:eastAsia="Calibri" w:hAnsi="Times New Roman"/>
          <w:sz w:val="28"/>
          <w:szCs w:val="28"/>
        </w:rPr>
        <w:t xml:space="preserve">из которых 90,7% направлено </w:t>
      </w:r>
      <w:r w:rsidRPr="00375059">
        <w:rPr>
          <w:rFonts w:ascii="Times New Roman" w:eastAsia="Calibri" w:hAnsi="Times New Roman"/>
          <w:spacing w:val="-2"/>
          <w:sz w:val="28"/>
          <w:szCs w:val="28"/>
        </w:rPr>
        <w:t>на выплату заработных плат с учетом взносов на социальное страхование, 5,0% – на продукты питания.</w:t>
      </w:r>
    </w:p>
    <w:p w14:paraId="1EE16AEE" w14:textId="1BD3D697" w:rsidR="00201041" w:rsidRPr="00375059" w:rsidRDefault="00201041" w:rsidP="001463C8">
      <w:pPr>
        <w:widowControl w:val="0"/>
        <w:spacing w:after="0" w:line="240" w:lineRule="auto"/>
        <w:ind w:firstLine="567"/>
        <w:jc w:val="both"/>
        <w:rPr>
          <w:rFonts w:ascii="Times New Roman" w:hAnsi="Times New Roman"/>
          <w:i/>
          <w:sz w:val="28"/>
          <w:szCs w:val="28"/>
        </w:rPr>
      </w:pPr>
      <w:r w:rsidRPr="00375059">
        <w:rPr>
          <w:rFonts w:ascii="Times New Roman" w:hAnsi="Times New Roman"/>
          <w:sz w:val="28"/>
          <w:szCs w:val="28"/>
        </w:rPr>
        <w:t xml:space="preserve">В результате превышения расходов консолидированного бюджета над доходами на 67,4%, по итогам 2021 года отмечено увеличение сальдо расходов и доходов консолидированного бюджета к уровню 2020 года на 4,9% до 2 285,5 млн руб. (табл. </w:t>
      </w:r>
      <w:r w:rsidR="00E16DD0" w:rsidRPr="00375059">
        <w:rPr>
          <w:rFonts w:ascii="Times New Roman" w:hAnsi="Times New Roman"/>
          <w:sz w:val="28"/>
          <w:szCs w:val="28"/>
        </w:rPr>
        <w:t>9</w:t>
      </w:r>
      <w:r w:rsidRPr="00375059">
        <w:rPr>
          <w:rFonts w:ascii="Times New Roman" w:hAnsi="Times New Roman"/>
          <w:sz w:val="28"/>
          <w:szCs w:val="28"/>
        </w:rPr>
        <w:t>).</w:t>
      </w:r>
    </w:p>
    <w:p w14:paraId="48CFEA5A" w14:textId="1F7E441F" w:rsidR="00201041" w:rsidRPr="00375059" w:rsidRDefault="00201041" w:rsidP="00201041">
      <w:pPr>
        <w:spacing w:after="0" w:line="240" w:lineRule="auto"/>
        <w:ind w:firstLine="709"/>
        <w:jc w:val="right"/>
        <w:rPr>
          <w:rFonts w:ascii="Times New Roman" w:hAnsi="Times New Roman"/>
          <w:b/>
          <w:bCs/>
          <w:i/>
          <w:sz w:val="28"/>
          <w:szCs w:val="28"/>
        </w:rPr>
      </w:pPr>
      <w:r w:rsidRPr="00375059">
        <w:rPr>
          <w:rFonts w:ascii="Times New Roman" w:hAnsi="Times New Roman"/>
          <w:b/>
          <w:bCs/>
          <w:i/>
          <w:sz w:val="28"/>
          <w:szCs w:val="28"/>
        </w:rPr>
        <w:t xml:space="preserve">Таблица </w:t>
      </w:r>
      <w:r w:rsidR="00E16DD0" w:rsidRPr="00375059">
        <w:rPr>
          <w:rFonts w:ascii="Times New Roman" w:hAnsi="Times New Roman"/>
          <w:b/>
          <w:bCs/>
          <w:i/>
          <w:sz w:val="28"/>
          <w:szCs w:val="28"/>
        </w:rPr>
        <w:t>9</w:t>
      </w:r>
    </w:p>
    <w:p w14:paraId="6B5E59E1" w14:textId="77777777" w:rsidR="00201041" w:rsidRPr="00375059" w:rsidRDefault="00201041" w:rsidP="00201041">
      <w:pPr>
        <w:spacing w:after="0" w:line="240" w:lineRule="auto"/>
        <w:contextualSpacing/>
        <w:jc w:val="center"/>
        <w:rPr>
          <w:rFonts w:ascii="Times New Roman" w:hAnsi="Times New Roman"/>
          <w:b/>
          <w:szCs w:val="28"/>
        </w:rPr>
      </w:pPr>
      <w:r w:rsidRPr="00375059">
        <w:rPr>
          <w:rFonts w:ascii="Times New Roman" w:hAnsi="Times New Roman"/>
          <w:b/>
          <w:sz w:val="28"/>
          <w:szCs w:val="28"/>
        </w:rPr>
        <w:t>Сальдо доходов и расходов консолидированного бюджета, млн руб.</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993"/>
        <w:gridCol w:w="787"/>
        <w:gridCol w:w="777"/>
        <w:gridCol w:w="1144"/>
        <w:gridCol w:w="797"/>
        <w:gridCol w:w="729"/>
        <w:gridCol w:w="1378"/>
      </w:tblGrid>
      <w:tr w:rsidR="00201041" w:rsidRPr="00375059" w14:paraId="1A073C28" w14:textId="77777777" w:rsidTr="00E16DD0">
        <w:trPr>
          <w:trHeight w:val="98"/>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AB0F1E" w14:textId="77777777" w:rsidR="00201041" w:rsidRPr="00375059" w:rsidRDefault="00201041" w:rsidP="00201041">
            <w:pPr>
              <w:spacing w:after="0" w:line="240" w:lineRule="auto"/>
              <w:ind w:firstLine="22"/>
              <w:contextualSpacing/>
              <w:jc w:val="center"/>
              <w:rPr>
                <w:rFonts w:ascii="Times New Roman" w:eastAsia="Calibri" w:hAnsi="Times New Roman"/>
                <w:b/>
                <w:sz w:val="24"/>
                <w:szCs w:val="24"/>
              </w:rPr>
            </w:pPr>
            <w:r w:rsidRPr="00375059">
              <w:rPr>
                <w:rFonts w:ascii="Times New Roman" w:eastAsia="Calibri" w:hAnsi="Times New Roman"/>
                <w:b/>
                <w:bCs/>
                <w:sz w:val="24"/>
                <w:szCs w:val="24"/>
              </w:rPr>
              <w:t>Показатель</w:t>
            </w:r>
          </w:p>
        </w:tc>
        <w:tc>
          <w:tcPr>
            <w:tcW w:w="255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6FA779" w14:textId="77777777" w:rsidR="00201041" w:rsidRPr="00375059" w:rsidRDefault="00201041" w:rsidP="00201041">
            <w:pPr>
              <w:spacing w:after="0" w:line="240" w:lineRule="auto"/>
              <w:contextualSpacing/>
              <w:jc w:val="center"/>
              <w:rPr>
                <w:rFonts w:ascii="Times New Roman" w:eastAsia="Calibri" w:hAnsi="Times New Roman"/>
                <w:b/>
                <w:sz w:val="24"/>
                <w:szCs w:val="24"/>
              </w:rPr>
            </w:pPr>
            <w:r w:rsidRPr="00375059">
              <w:rPr>
                <w:rFonts w:ascii="Times New Roman" w:eastAsia="Calibri" w:hAnsi="Times New Roman"/>
                <w:b/>
                <w:sz w:val="24"/>
                <w:szCs w:val="24"/>
              </w:rPr>
              <w:t>2020 год</w:t>
            </w:r>
          </w:p>
        </w:tc>
        <w:tc>
          <w:tcPr>
            <w:tcW w:w="26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78A1ED" w14:textId="77777777" w:rsidR="00201041" w:rsidRPr="00375059" w:rsidRDefault="00201041" w:rsidP="00201041">
            <w:pPr>
              <w:spacing w:after="0" w:line="240" w:lineRule="auto"/>
              <w:contextualSpacing/>
              <w:jc w:val="center"/>
              <w:rPr>
                <w:rFonts w:ascii="Times New Roman" w:eastAsia="Calibri" w:hAnsi="Times New Roman"/>
                <w:b/>
                <w:sz w:val="24"/>
                <w:szCs w:val="24"/>
              </w:rPr>
            </w:pPr>
            <w:r w:rsidRPr="00375059">
              <w:rPr>
                <w:rFonts w:ascii="Times New Roman" w:eastAsia="Calibri" w:hAnsi="Times New Roman"/>
                <w:b/>
                <w:sz w:val="24"/>
                <w:szCs w:val="24"/>
              </w:rPr>
              <w:t>2021 год</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8DA30" w14:textId="0872A4EB" w:rsidR="00201041" w:rsidRPr="00375059" w:rsidRDefault="00E16DD0" w:rsidP="00E16DD0">
            <w:pPr>
              <w:spacing w:after="0" w:line="240" w:lineRule="auto"/>
              <w:ind w:left="-88" w:right="-113"/>
              <w:contextualSpacing/>
              <w:jc w:val="center"/>
              <w:rPr>
                <w:rFonts w:ascii="Times New Roman" w:eastAsia="Calibri" w:hAnsi="Times New Roman"/>
                <w:b/>
                <w:sz w:val="24"/>
                <w:szCs w:val="24"/>
              </w:rPr>
            </w:pPr>
            <w:r w:rsidRPr="00375059">
              <w:rPr>
                <w:rFonts w:ascii="Times New Roman" w:eastAsia="Calibri" w:hAnsi="Times New Roman"/>
                <w:b/>
                <w:sz w:val="24"/>
                <w:szCs w:val="24"/>
              </w:rPr>
              <w:t>темп роста к 2020 году, %</w:t>
            </w:r>
          </w:p>
        </w:tc>
      </w:tr>
      <w:tr w:rsidR="00201041" w:rsidRPr="00375059" w14:paraId="7C756D36" w14:textId="77777777" w:rsidTr="00E16DD0">
        <w:trPr>
          <w:trHeight w:val="820"/>
          <w:jc w:val="center"/>
        </w:trPr>
        <w:tc>
          <w:tcPr>
            <w:tcW w:w="28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9B8068" w14:textId="77777777" w:rsidR="00201041" w:rsidRPr="00375059" w:rsidRDefault="00201041" w:rsidP="00201041">
            <w:pPr>
              <w:spacing w:after="0" w:line="240" w:lineRule="auto"/>
              <w:rPr>
                <w:rFonts w:ascii="Times New Roman" w:eastAsia="Calibri"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9E043" w14:textId="77777777" w:rsidR="00201041" w:rsidRPr="00375059" w:rsidRDefault="00201041" w:rsidP="00201041">
            <w:pPr>
              <w:spacing w:after="0" w:line="240" w:lineRule="auto"/>
              <w:jc w:val="center"/>
              <w:rPr>
                <w:rFonts w:ascii="Times New Roman" w:eastAsia="Calibri" w:hAnsi="Times New Roman"/>
                <w:b/>
                <w:sz w:val="24"/>
                <w:szCs w:val="24"/>
              </w:rPr>
            </w:pPr>
            <w:r w:rsidRPr="00375059">
              <w:rPr>
                <w:rFonts w:ascii="Times New Roman" w:eastAsia="Calibri" w:hAnsi="Times New Roman"/>
                <w:b/>
                <w:sz w:val="24"/>
                <w:szCs w:val="24"/>
              </w:rPr>
              <w:t>факт</w:t>
            </w:r>
          </w:p>
        </w:tc>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3D32F3" w14:textId="77777777" w:rsidR="00201041" w:rsidRPr="00375059" w:rsidRDefault="00201041" w:rsidP="00ED7463">
            <w:pPr>
              <w:spacing w:after="0" w:line="240" w:lineRule="auto"/>
              <w:ind w:left="-159" w:right="-29" w:firstLine="1"/>
              <w:jc w:val="center"/>
              <w:rPr>
                <w:rFonts w:ascii="Times New Roman" w:eastAsia="Calibri" w:hAnsi="Times New Roman"/>
                <w:b/>
                <w:sz w:val="24"/>
                <w:szCs w:val="24"/>
              </w:rPr>
            </w:pPr>
            <w:r w:rsidRPr="00375059">
              <w:rPr>
                <w:rFonts w:ascii="Times New Roman" w:eastAsia="Calibri" w:hAnsi="Times New Roman"/>
                <w:b/>
                <w:sz w:val="24"/>
                <w:szCs w:val="24"/>
              </w:rPr>
              <w:t xml:space="preserve">% к </w:t>
            </w:r>
            <w:proofErr w:type="spellStart"/>
            <w:r w:rsidRPr="00375059">
              <w:rPr>
                <w:rFonts w:ascii="Times New Roman" w:eastAsia="Calibri" w:hAnsi="Times New Roman"/>
                <w:b/>
                <w:sz w:val="24"/>
                <w:szCs w:val="24"/>
              </w:rPr>
              <w:t>расх</w:t>
            </w:r>
            <w:proofErr w:type="spellEnd"/>
            <w:r w:rsidRPr="00375059">
              <w:rPr>
                <w:rFonts w:ascii="Times New Roman" w:eastAsia="Calibri" w:hAnsi="Times New Roman"/>
                <w:b/>
                <w:sz w:val="24"/>
                <w:szCs w:val="24"/>
              </w:rPr>
              <w:t>. части</w:t>
            </w:r>
          </w:p>
        </w:tc>
        <w:tc>
          <w:tcPr>
            <w:tcW w:w="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84820" w14:textId="77777777" w:rsidR="00201041" w:rsidRPr="00375059" w:rsidRDefault="00201041" w:rsidP="00ED7463">
            <w:pPr>
              <w:spacing w:after="0" w:line="240" w:lineRule="auto"/>
              <w:ind w:left="-45" w:hanging="34"/>
              <w:jc w:val="center"/>
              <w:rPr>
                <w:rFonts w:ascii="Times New Roman" w:eastAsia="Calibri" w:hAnsi="Times New Roman"/>
                <w:b/>
                <w:sz w:val="24"/>
                <w:szCs w:val="24"/>
              </w:rPr>
            </w:pPr>
            <w:r w:rsidRPr="00375059">
              <w:rPr>
                <w:rFonts w:ascii="Times New Roman" w:eastAsia="Calibri" w:hAnsi="Times New Roman"/>
                <w:b/>
                <w:sz w:val="24"/>
                <w:szCs w:val="24"/>
              </w:rPr>
              <w:t>% к ВВП</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3E824" w14:textId="77777777" w:rsidR="00201041" w:rsidRPr="00375059" w:rsidRDefault="00201041" w:rsidP="00ED7463">
            <w:pPr>
              <w:spacing w:after="0" w:line="240" w:lineRule="auto"/>
              <w:jc w:val="center"/>
              <w:rPr>
                <w:rFonts w:ascii="Times New Roman" w:eastAsia="Calibri" w:hAnsi="Times New Roman"/>
                <w:b/>
                <w:sz w:val="24"/>
                <w:szCs w:val="24"/>
              </w:rPr>
            </w:pPr>
            <w:r w:rsidRPr="00375059">
              <w:rPr>
                <w:rFonts w:ascii="Times New Roman" w:eastAsia="Calibri" w:hAnsi="Times New Roman"/>
                <w:b/>
                <w:sz w:val="24"/>
                <w:szCs w:val="24"/>
              </w:rPr>
              <w:t>факт</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D71DD" w14:textId="77777777" w:rsidR="00201041" w:rsidRPr="00375059" w:rsidRDefault="00201041" w:rsidP="00ED7463">
            <w:pPr>
              <w:spacing w:after="0" w:line="240" w:lineRule="auto"/>
              <w:ind w:left="-180" w:right="-134" w:hanging="38"/>
              <w:jc w:val="center"/>
              <w:rPr>
                <w:rFonts w:ascii="Times New Roman" w:eastAsia="Calibri" w:hAnsi="Times New Roman"/>
                <w:b/>
                <w:sz w:val="24"/>
                <w:szCs w:val="24"/>
              </w:rPr>
            </w:pPr>
            <w:r w:rsidRPr="00375059">
              <w:rPr>
                <w:rFonts w:ascii="Times New Roman" w:eastAsia="Calibri" w:hAnsi="Times New Roman"/>
                <w:b/>
                <w:sz w:val="24"/>
                <w:szCs w:val="24"/>
              </w:rPr>
              <w:t xml:space="preserve">% к </w:t>
            </w:r>
            <w:r w:rsidRPr="00375059">
              <w:rPr>
                <w:rFonts w:ascii="Times New Roman" w:eastAsia="Calibri" w:hAnsi="Times New Roman"/>
                <w:b/>
                <w:sz w:val="24"/>
                <w:szCs w:val="24"/>
              </w:rPr>
              <w:br/>
            </w:r>
            <w:proofErr w:type="spellStart"/>
            <w:r w:rsidRPr="00375059">
              <w:rPr>
                <w:rFonts w:ascii="Times New Roman" w:eastAsia="Calibri" w:hAnsi="Times New Roman"/>
                <w:b/>
                <w:sz w:val="24"/>
                <w:szCs w:val="24"/>
              </w:rPr>
              <w:t>расх</w:t>
            </w:r>
            <w:proofErr w:type="spellEnd"/>
            <w:r w:rsidRPr="00375059">
              <w:rPr>
                <w:rFonts w:ascii="Times New Roman" w:eastAsia="Calibri" w:hAnsi="Times New Roman"/>
                <w:b/>
                <w:sz w:val="24"/>
                <w:szCs w:val="24"/>
              </w:rPr>
              <w:t>. части</w:t>
            </w:r>
          </w:p>
        </w:tc>
        <w:tc>
          <w:tcPr>
            <w:tcW w:w="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05FB62" w14:textId="77777777" w:rsidR="00201041" w:rsidRPr="00375059" w:rsidRDefault="00201041" w:rsidP="00ED7463">
            <w:pPr>
              <w:spacing w:after="0" w:line="240" w:lineRule="auto"/>
              <w:ind w:left="-249" w:right="-108" w:firstLine="34"/>
              <w:jc w:val="center"/>
              <w:rPr>
                <w:rFonts w:ascii="Times New Roman" w:eastAsia="Calibri" w:hAnsi="Times New Roman"/>
                <w:b/>
                <w:sz w:val="24"/>
                <w:szCs w:val="24"/>
              </w:rPr>
            </w:pPr>
            <w:r w:rsidRPr="00375059">
              <w:rPr>
                <w:rFonts w:ascii="Times New Roman" w:eastAsia="Calibri" w:hAnsi="Times New Roman"/>
                <w:b/>
                <w:sz w:val="24"/>
                <w:szCs w:val="24"/>
              </w:rPr>
              <w:t>% к ВВП</w:t>
            </w:r>
          </w:p>
        </w:tc>
        <w:tc>
          <w:tcPr>
            <w:tcW w:w="137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9BF1C" w14:textId="77777777" w:rsidR="00201041" w:rsidRPr="00375059" w:rsidRDefault="00201041" w:rsidP="00201041">
            <w:pPr>
              <w:spacing w:after="0" w:line="240" w:lineRule="auto"/>
              <w:rPr>
                <w:rFonts w:ascii="Times New Roman" w:eastAsia="Calibri" w:hAnsi="Times New Roman"/>
                <w:b/>
                <w:sz w:val="24"/>
                <w:szCs w:val="24"/>
              </w:rPr>
            </w:pPr>
          </w:p>
        </w:tc>
      </w:tr>
      <w:tr w:rsidR="00201041" w:rsidRPr="00375059" w14:paraId="19447F94" w14:textId="77777777" w:rsidTr="00201041">
        <w:trPr>
          <w:trHeight w:val="646"/>
          <w:jc w:val="center"/>
        </w:trPr>
        <w:tc>
          <w:tcPr>
            <w:tcW w:w="2830" w:type="dxa"/>
            <w:tcBorders>
              <w:top w:val="single" w:sz="4" w:space="0" w:color="auto"/>
              <w:left w:val="single" w:sz="4" w:space="0" w:color="auto"/>
              <w:bottom w:val="single" w:sz="4" w:space="0" w:color="auto"/>
              <w:right w:val="single" w:sz="4" w:space="0" w:color="auto"/>
            </w:tcBorders>
            <w:hideMark/>
          </w:tcPr>
          <w:p w14:paraId="3FEB9ADE" w14:textId="77777777" w:rsidR="00201041" w:rsidRPr="00375059" w:rsidRDefault="00201041" w:rsidP="00201041">
            <w:pPr>
              <w:spacing w:after="0" w:line="240" w:lineRule="auto"/>
              <w:ind w:left="-101" w:right="-161" w:firstLine="58"/>
              <w:rPr>
                <w:rFonts w:ascii="Times New Roman" w:eastAsia="Calibri" w:hAnsi="Times New Roman"/>
                <w:b/>
                <w:sz w:val="24"/>
                <w:szCs w:val="24"/>
              </w:rPr>
            </w:pPr>
            <w:r w:rsidRPr="00375059">
              <w:rPr>
                <w:rFonts w:ascii="Times New Roman" w:eastAsia="Calibri" w:hAnsi="Times New Roman"/>
                <w:b/>
                <w:sz w:val="24"/>
                <w:szCs w:val="24"/>
              </w:rPr>
              <w:t>Сальдо консолидированного бюджета, в том числе:</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A10001" w14:textId="77777777" w:rsidR="00201041" w:rsidRPr="00375059" w:rsidRDefault="00201041" w:rsidP="00201041">
            <w:pPr>
              <w:spacing w:after="0" w:line="240" w:lineRule="auto"/>
              <w:jc w:val="center"/>
              <w:rPr>
                <w:rFonts w:ascii="Times New Roman" w:hAnsi="Times New Roman"/>
                <w:b/>
                <w:sz w:val="24"/>
                <w:szCs w:val="24"/>
              </w:rPr>
            </w:pPr>
            <w:r w:rsidRPr="00375059">
              <w:rPr>
                <w:rFonts w:ascii="Times New Roman" w:hAnsi="Times New Roman"/>
                <w:b/>
                <w:sz w:val="24"/>
                <w:szCs w:val="24"/>
              </w:rPr>
              <w:t>2 178,2</w:t>
            </w:r>
          </w:p>
        </w:tc>
        <w:tc>
          <w:tcPr>
            <w:tcW w:w="787" w:type="dxa"/>
            <w:tcBorders>
              <w:top w:val="single" w:sz="4" w:space="0" w:color="auto"/>
              <w:left w:val="single" w:sz="4" w:space="0" w:color="auto"/>
              <w:bottom w:val="single" w:sz="4" w:space="0" w:color="auto"/>
              <w:right w:val="single" w:sz="4" w:space="0" w:color="auto"/>
            </w:tcBorders>
            <w:vAlign w:val="center"/>
            <w:hideMark/>
          </w:tcPr>
          <w:p w14:paraId="5789F988" w14:textId="77777777" w:rsidR="00201041" w:rsidRPr="00375059" w:rsidRDefault="00201041" w:rsidP="00201041">
            <w:pPr>
              <w:spacing w:after="0" w:line="240" w:lineRule="auto"/>
              <w:jc w:val="center"/>
              <w:rPr>
                <w:rFonts w:ascii="Times New Roman" w:hAnsi="Times New Roman"/>
                <w:b/>
                <w:sz w:val="24"/>
                <w:szCs w:val="24"/>
              </w:rPr>
            </w:pPr>
            <w:r w:rsidRPr="00375059">
              <w:rPr>
                <w:rFonts w:ascii="Times New Roman" w:hAnsi="Times New Roman"/>
                <w:b/>
                <w:sz w:val="24"/>
                <w:szCs w:val="24"/>
              </w:rPr>
              <w:t>42,7</w:t>
            </w:r>
          </w:p>
        </w:tc>
        <w:tc>
          <w:tcPr>
            <w:tcW w:w="777" w:type="dxa"/>
            <w:tcBorders>
              <w:top w:val="single" w:sz="4" w:space="0" w:color="auto"/>
              <w:left w:val="single" w:sz="4" w:space="0" w:color="auto"/>
              <w:bottom w:val="single" w:sz="4" w:space="0" w:color="auto"/>
              <w:right w:val="single" w:sz="4" w:space="0" w:color="auto"/>
            </w:tcBorders>
            <w:vAlign w:val="center"/>
            <w:hideMark/>
          </w:tcPr>
          <w:p w14:paraId="6336C812" w14:textId="77777777" w:rsidR="00201041" w:rsidRPr="00375059" w:rsidRDefault="00201041" w:rsidP="00201041">
            <w:pPr>
              <w:spacing w:after="0" w:line="240" w:lineRule="auto"/>
              <w:jc w:val="center"/>
              <w:rPr>
                <w:rFonts w:ascii="Times New Roman" w:hAnsi="Times New Roman"/>
                <w:b/>
                <w:sz w:val="24"/>
                <w:szCs w:val="24"/>
              </w:rPr>
            </w:pPr>
            <w:r w:rsidRPr="00375059">
              <w:rPr>
                <w:rFonts w:ascii="Times New Roman" w:hAnsi="Times New Roman"/>
                <w:b/>
                <w:sz w:val="24"/>
                <w:szCs w:val="24"/>
              </w:rPr>
              <w:t>15,7</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7A6496F" w14:textId="77777777" w:rsidR="00201041" w:rsidRPr="00375059" w:rsidRDefault="00201041" w:rsidP="00201041">
            <w:pPr>
              <w:spacing w:after="0" w:line="240" w:lineRule="auto"/>
              <w:ind w:left="-124" w:right="-97" w:firstLine="8"/>
              <w:jc w:val="center"/>
              <w:rPr>
                <w:rFonts w:ascii="Times New Roman" w:eastAsia="Calibri" w:hAnsi="Times New Roman"/>
                <w:b/>
                <w:sz w:val="24"/>
                <w:szCs w:val="24"/>
              </w:rPr>
            </w:pPr>
            <w:r w:rsidRPr="00375059">
              <w:rPr>
                <w:rFonts w:ascii="Times New Roman" w:eastAsia="Calibri" w:hAnsi="Times New Roman"/>
                <w:b/>
                <w:bCs/>
                <w:sz w:val="24"/>
                <w:szCs w:val="24"/>
              </w:rPr>
              <w:t>2 285,5</w:t>
            </w:r>
          </w:p>
        </w:tc>
        <w:tc>
          <w:tcPr>
            <w:tcW w:w="797" w:type="dxa"/>
            <w:tcBorders>
              <w:top w:val="single" w:sz="4" w:space="0" w:color="auto"/>
              <w:left w:val="single" w:sz="4" w:space="0" w:color="auto"/>
              <w:bottom w:val="single" w:sz="4" w:space="0" w:color="auto"/>
              <w:right w:val="single" w:sz="4" w:space="0" w:color="auto"/>
            </w:tcBorders>
            <w:vAlign w:val="center"/>
            <w:hideMark/>
          </w:tcPr>
          <w:p w14:paraId="515BFA92" w14:textId="77777777" w:rsidR="00201041" w:rsidRPr="00375059" w:rsidRDefault="00201041" w:rsidP="00201041">
            <w:pPr>
              <w:spacing w:after="0" w:line="240" w:lineRule="auto"/>
              <w:ind w:left="-124" w:right="-97" w:firstLine="8"/>
              <w:jc w:val="center"/>
              <w:rPr>
                <w:rFonts w:ascii="Times New Roman" w:eastAsia="Calibri" w:hAnsi="Times New Roman"/>
                <w:b/>
                <w:sz w:val="24"/>
                <w:szCs w:val="24"/>
              </w:rPr>
            </w:pPr>
            <w:r w:rsidRPr="00375059">
              <w:rPr>
                <w:rFonts w:ascii="Times New Roman" w:eastAsia="Calibri" w:hAnsi="Times New Roman"/>
                <w:b/>
                <w:sz w:val="24"/>
                <w:szCs w:val="24"/>
              </w:rPr>
              <w:t>40,3</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8854F" w14:textId="77777777" w:rsidR="00201041" w:rsidRPr="00375059" w:rsidRDefault="00201041" w:rsidP="00201041">
            <w:pPr>
              <w:spacing w:after="0" w:line="240" w:lineRule="auto"/>
              <w:ind w:right="-97" w:firstLine="34"/>
              <w:jc w:val="center"/>
              <w:rPr>
                <w:rFonts w:ascii="Times New Roman" w:eastAsia="Calibri" w:hAnsi="Times New Roman"/>
                <w:b/>
                <w:sz w:val="24"/>
                <w:szCs w:val="24"/>
              </w:rPr>
            </w:pPr>
            <w:r w:rsidRPr="00375059">
              <w:rPr>
                <w:rFonts w:ascii="Times New Roman" w:eastAsia="Calibri" w:hAnsi="Times New Roman"/>
                <w:b/>
                <w:sz w:val="24"/>
                <w:szCs w:val="24"/>
              </w:rPr>
              <w:t>12,1</w:t>
            </w:r>
          </w:p>
        </w:tc>
        <w:tc>
          <w:tcPr>
            <w:tcW w:w="1378" w:type="dxa"/>
            <w:tcBorders>
              <w:top w:val="single" w:sz="4" w:space="0" w:color="auto"/>
              <w:left w:val="single" w:sz="4" w:space="0" w:color="auto"/>
              <w:bottom w:val="single" w:sz="4" w:space="0" w:color="auto"/>
              <w:right w:val="single" w:sz="4" w:space="0" w:color="auto"/>
            </w:tcBorders>
            <w:vAlign w:val="center"/>
          </w:tcPr>
          <w:p w14:paraId="6C0F1278" w14:textId="77777777" w:rsidR="00201041" w:rsidRPr="00375059" w:rsidRDefault="00201041" w:rsidP="00201041">
            <w:pPr>
              <w:spacing w:after="0" w:line="240" w:lineRule="auto"/>
              <w:ind w:right="-97" w:firstLine="32"/>
              <w:jc w:val="center"/>
              <w:rPr>
                <w:rFonts w:ascii="Times New Roman" w:eastAsia="Calibri" w:hAnsi="Times New Roman"/>
                <w:b/>
                <w:sz w:val="24"/>
                <w:szCs w:val="24"/>
              </w:rPr>
            </w:pPr>
            <w:r w:rsidRPr="00375059">
              <w:rPr>
                <w:rFonts w:ascii="Times New Roman" w:eastAsia="Calibri" w:hAnsi="Times New Roman"/>
                <w:b/>
                <w:sz w:val="24"/>
                <w:szCs w:val="24"/>
              </w:rPr>
              <w:t>104,9</w:t>
            </w:r>
          </w:p>
        </w:tc>
      </w:tr>
      <w:tr w:rsidR="00201041" w:rsidRPr="00375059" w14:paraId="11FB6558" w14:textId="77777777" w:rsidTr="00201041">
        <w:trPr>
          <w:trHeight w:val="63"/>
          <w:jc w:val="center"/>
        </w:trPr>
        <w:tc>
          <w:tcPr>
            <w:tcW w:w="2830" w:type="dxa"/>
            <w:tcBorders>
              <w:top w:val="single" w:sz="4" w:space="0" w:color="auto"/>
              <w:left w:val="single" w:sz="4" w:space="0" w:color="auto"/>
              <w:bottom w:val="single" w:sz="4" w:space="0" w:color="auto"/>
              <w:right w:val="single" w:sz="4" w:space="0" w:color="auto"/>
            </w:tcBorders>
            <w:hideMark/>
          </w:tcPr>
          <w:p w14:paraId="73DF1F83" w14:textId="77777777" w:rsidR="00201041" w:rsidRPr="00375059" w:rsidRDefault="00201041" w:rsidP="00201041">
            <w:pPr>
              <w:spacing w:after="0" w:line="240" w:lineRule="auto"/>
              <w:ind w:left="-91" w:right="-132"/>
              <w:rPr>
                <w:rFonts w:ascii="Times New Roman" w:eastAsia="Calibri" w:hAnsi="Times New Roman"/>
                <w:sz w:val="24"/>
                <w:szCs w:val="24"/>
              </w:rPr>
            </w:pPr>
            <w:r w:rsidRPr="00375059">
              <w:rPr>
                <w:rFonts w:ascii="Times New Roman" w:eastAsia="Calibri" w:hAnsi="Times New Roman"/>
                <w:sz w:val="24"/>
                <w:szCs w:val="24"/>
              </w:rPr>
              <w:t xml:space="preserve"> сальдо республиканского бюджета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51C8E11F" w14:textId="77777777" w:rsidR="00201041" w:rsidRPr="00375059" w:rsidRDefault="00201041" w:rsidP="00201041">
            <w:pPr>
              <w:spacing w:after="0" w:line="240" w:lineRule="auto"/>
              <w:jc w:val="center"/>
              <w:rPr>
                <w:rFonts w:ascii="Times New Roman" w:hAnsi="Times New Roman"/>
                <w:sz w:val="24"/>
                <w:szCs w:val="24"/>
              </w:rPr>
            </w:pPr>
            <w:r w:rsidRPr="00375059">
              <w:rPr>
                <w:rFonts w:ascii="Times New Roman" w:hAnsi="Times New Roman"/>
                <w:sz w:val="24"/>
                <w:szCs w:val="24"/>
              </w:rPr>
              <w:t>1 834,7</w:t>
            </w:r>
          </w:p>
        </w:tc>
        <w:tc>
          <w:tcPr>
            <w:tcW w:w="787" w:type="dxa"/>
            <w:tcBorders>
              <w:top w:val="single" w:sz="4" w:space="0" w:color="auto"/>
              <w:left w:val="single" w:sz="4" w:space="0" w:color="auto"/>
              <w:bottom w:val="single" w:sz="4" w:space="0" w:color="auto"/>
              <w:right w:val="single" w:sz="4" w:space="0" w:color="auto"/>
            </w:tcBorders>
            <w:vAlign w:val="center"/>
            <w:hideMark/>
          </w:tcPr>
          <w:p w14:paraId="227137E8" w14:textId="77777777" w:rsidR="00201041" w:rsidRPr="00375059" w:rsidRDefault="00201041" w:rsidP="00201041">
            <w:pPr>
              <w:spacing w:after="0" w:line="240" w:lineRule="auto"/>
              <w:jc w:val="center"/>
              <w:rPr>
                <w:rFonts w:ascii="Times New Roman" w:hAnsi="Times New Roman"/>
                <w:sz w:val="24"/>
                <w:szCs w:val="24"/>
              </w:rPr>
            </w:pPr>
            <w:r w:rsidRPr="00375059">
              <w:rPr>
                <w:rFonts w:ascii="Times New Roman" w:hAnsi="Times New Roman"/>
                <w:sz w:val="24"/>
                <w:szCs w:val="24"/>
              </w:rPr>
              <w:t>49,2</w:t>
            </w:r>
          </w:p>
        </w:tc>
        <w:tc>
          <w:tcPr>
            <w:tcW w:w="777" w:type="dxa"/>
            <w:tcBorders>
              <w:top w:val="single" w:sz="4" w:space="0" w:color="auto"/>
              <w:left w:val="single" w:sz="4" w:space="0" w:color="auto"/>
              <w:bottom w:val="single" w:sz="4" w:space="0" w:color="auto"/>
              <w:right w:val="single" w:sz="4" w:space="0" w:color="auto"/>
            </w:tcBorders>
            <w:vAlign w:val="center"/>
            <w:hideMark/>
          </w:tcPr>
          <w:p w14:paraId="6C7A8A5B" w14:textId="77777777" w:rsidR="00201041" w:rsidRPr="00375059" w:rsidRDefault="00201041" w:rsidP="00201041">
            <w:pPr>
              <w:spacing w:after="0" w:line="240" w:lineRule="auto"/>
              <w:jc w:val="center"/>
              <w:rPr>
                <w:rFonts w:ascii="Times New Roman" w:hAnsi="Times New Roman"/>
                <w:sz w:val="24"/>
                <w:szCs w:val="24"/>
              </w:rPr>
            </w:pPr>
            <w:r w:rsidRPr="00375059">
              <w:rPr>
                <w:rFonts w:ascii="Times New Roman" w:hAnsi="Times New Roman"/>
                <w:sz w:val="24"/>
                <w:szCs w:val="24"/>
              </w:rPr>
              <w:t>13,2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41AC569" w14:textId="77777777" w:rsidR="00201041" w:rsidRPr="00375059" w:rsidRDefault="00201041" w:rsidP="00201041">
            <w:pPr>
              <w:spacing w:after="0" w:line="240" w:lineRule="auto"/>
              <w:ind w:left="-124" w:right="-97" w:firstLine="8"/>
              <w:jc w:val="center"/>
              <w:rPr>
                <w:rFonts w:ascii="Times New Roman" w:eastAsia="Calibri" w:hAnsi="Times New Roman"/>
                <w:bCs/>
                <w:sz w:val="24"/>
                <w:szCs w:val="24"/>
              </w:rPr>
            </w:pPr>
            <w:r w:rsidRPr="00375059">
              <w:rPr>
                <w:rFonts w:ascii="Times New Roman" w:eastAsia="Calibri" w:hAnsi="Times New Roman"/>
                <w:bCs/>
                <w:sz w:val="24"/>
                <w:szCs w:val="24"/>
              </w:rPr>
              <w:t>1 948,4</w:t>
            </w:r>
          </w:p>
        </w:tc>
        <w:tc>
          <w:tcPr>
            <w:tcW w:w="797" w:type="dxa"/>
            <w:tcBorders>
              <w:top w:val="single" w:sz="4" w:space="0" w:color="auto"/>
              <w:left w:val="single" w:sz="4" w:space="0" w:color="auto"/>
              <w:bottom w:val="single" w:sz="4" w:space="0" w:color="auto"/>
              <w:right w:val="single" w:sz="4" w:space="0" w:color="auto"/>
            </w:tcBorders>
            <w:vAlign w:val="center"/>
            <w:hideMark/>
          </w:tcPr>
          <w:p w14:paraId="02142CD5" w14:textId="77777777" w:rsidR="00201041" w:rsidRPr="00375059" w:rsidRDefault="00201041" w:rsidP="00201041">
            <w:pPr>
              <w:spacing w:after="0" w:line="240" w:lineRule="auto"/>
              <w:ind w:left="-124" w:right="-97" w:firstLine="8"/>
              <w:jc w:val="center"/>
              <w:rPr>
                <w:rFonts w:ascii="Times New Roman" w:eastAsia="Calibri" w:hAnsi="Times New Roman"/>
                <w:bCs/>
                <w:sz w:val="24"/>
                <w:szCs w:val="24"/>
              </w:rPr>
            </w:pPr>
            <w:r w:rsidRPr="00375059">
              <w:rPr>
                <w:rFonts w:ascii="Times New Roman" w:eastAsia="Calibri" w:hAnsi="Times New Roman"/>
                <w:bCs/>
                <w:sz w:val="24"/>
                <w:szCs w:val="24"/>
              </w:rPr>
              <w:t>46,9</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89921" w14:textId="77777777" w:rsidR="00201041" w:rsidRPr="00375059" w:rsidRDefault="00201041" w:rsidP="00201041">
            <w:pPr>
              <w:spacing w:after="0" w:line="240" w:lineRule="auto"/>
              <w:ind w:right="-97" w:firstLine="34"/>
              <w:jc w:val="center"/>
              <w:rPr>
                <w:rFonts w:ascii="Times New Roman" w:eastAsia="Calibri" w:hAnsi="Times New Roman"/>
                <w:bCs/>
                <w:sz w:val="24"/>
                <w:szCs w:val="24"/>
              </w:rPr>
            </w:pPr>
            <w:r w:rsidRPr="00375059">
              <w:rPr>
                <w:rFonts w:ascii="Times New Roman" w:eastAsia="Calibri" w:hAnsi="Times New Roman"/>
                <w:bCs/>
                <w:sz w:val="24"/>
                <w:szCs w:val="24"/>
              </w:rPr>
              <w:t>10,3</w:t>
            </w:r>
          </w:p>
        </w:tc>
        <w:tc>
          <w:tcPr>
            <w:tcW w:w="1378" w:type="dxa"/>
            <w:tcBorders>
              <w:top w:val="single" w:sz="4" w:space="0" w:color="auto"/>
              <w:left w:val="single" w:sz="4" w:space="0" w:color="auto"/>
              <w:bottom w:val="single" w:sz="4" w:space="0" w:color="auto"/>
              <w:right w:val="single" w:sz="4" w:space="0" w:color="auto"/>
            </w:tcBorders>
            <w:vAlign w:val="center"/>
          </w:tcPr>
          <w:p w14:paraId="73E77834" w14:textId="77777777" w:rsidR="00201041" w:rsidRPr="00375059" w:rsidRDefault="00201041" w:rsidP="00201041">
            <w:pPr>
              <w:spacing w:after="0" w:line="240" w:lineRule="auto"/>
              <w:ind w:right="-97" w:firstLine="32"/>
              <w:jc w:val="center"/>
              <w:rPr>
                <w:rFonts w:ascii="Times New Roman" w:eastAsia="Calibri" w:hAnsi="Times New Roman"/>
                <w:sz w:val="24"/>
                <w:szCs w:val="24"/>
              </w:rPr>
            </w:pPr>
            <w:r w:rsidRPr="00375059">
              <w:rPr>
                <w:rFonts w:ascii="Times New Roman" w:eastAsia="Calibri" w:hAnsi="Times New Roman"/>
                <w:sz w:val="24"/>
                <w:szCs w:val="24"/>
              </w:rPr>
              <w:t>106,2</w:t>
            </w:r>
          </w:p>
        </w:tc>
      </w:tr>
      <w:tr w:rsidR="00201041" w:rsidRPr="00375059" w14:paraId="742723A8" w14:textId="77777777" w:rsidTr="00201041">
        <w:trPr>
          <w:trHeight w:val="151"/>
          <w:jc w:val="center"/>
        </w:trPr>
        <w:tc>
          <w:tcPr>
            <w:tcW w:w="2830" w:type="dxa"/>
            <w:tcBorders>
              <w:top w:val="single" w:sz="4" w:space="0" w:color="auto"/>
              <w:left w:val="single" w:sz="4" w:space="0" w:color="auto"/>
              <w:bottom w:val="single" w:sz="4" w:space="0" w:color="auto"/>
              <w:right w:val="single" w:sz="4" w:space="0" w:color="auto"/>
            </w:tcBorders>
            <w:hideMark/>
          </w:tcPr>
          <w:p w14:paraId="746B9D95" w14:textId="77777777" w:rsidR="00201041" w:rsidRPr="00375059" w:rsidRDefault="00201041" w:rsidP="00201041">
            <w:pPr>
              <w:spacing w:after="0" w:line="240" w:lineRule="auto"/>
              <w:ind w:left="-91" w:right="-132" w:firstLine="48"/>
              <w:rPr>
                <w:rFonts w:ascii="Times New Roman" w:eastAsia="Calibri" w:hAnsi="Times New Roman"/>
                <w:sz w:val="24"/>
                <w:szCs w:val="24"/>
              </w:rPr>
            </w:pPr>
            <w:r w:rsidRPr="00375059">
              <w:rPr>
                <w:rFonts w:ascii="Times New Roman" w:eastAsia="Calibri" w:hAnsi="Times New Roman"/>
                <w:sz w:val="24"/>
                <w:szCs w:val="24"/>
              </w:rPr>
              <w:t>сальдо местных бюджетов</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895B4E" w14:textId="77777777" w:rsidR="00201041" w:rsidRPr="00375059" w:rsidRDefault="00201041" w:rsidP="00201041">
            <w:pPr>
              <w:spacing w:after="0" w:line="240" w:lineRule="auto"/>
              <w:jc w:val="center"/>
              <w:rPr>
                <w:rFonts w:ascii="Times New Roman" w:hAnsi="Times New Roman"/>
                <w:sz w:val="24"/>
                <w:szCs w:val="24"/>
              </w:rPr>
            </w:pPr>
            <w:r w:rsidRPr="00375059">
              <w:rPr>
                <w:rFonts w:ascii="Times New Roman" w:hAnsi="Times New Roman"/>
                <w:sz w:val="24"/>
                <w:szCs w:val="24"/>
              </w:rPr>
              <w:t>343,5</w:t>
            </w:r>
          </w:p>
        </w:tc>
        <w:tc>
          <w:tcPr>
            <w:tcW w:w="787" w:type="dxa"/>
            <w:tcBorders>
              <w:top w:val="single" w:sz="4" w:space="0" w:color="auto"/>
              <w:left w:val="single" w:sz="4" w:space="0" w:color="auto"/>
              <w:bottom w:val="single" w:sz="4" w:space="0" w:color="auto"/>
              <w:right w:val="single" w:sz="4" w:space="0" w:color="auto"/>
            </w:tcBorders>
            <w:vAlign w:val="center"/>
            <w:hideMark/>
          </w:tcPr>
          <w:p w14:paraId="3380BB0B" w14:textId="77777777" w:rsidR="00201041" w:rsidRPr="00375059" w:rsidRDefault="00201041" w:rsidP="00201041">
            <w:pPr>
              <w:spacing w:after="0" w:line="240" w:lineRule="auto"/>
              <w:jc w:val="center"/>
              <w:rPr>
                <w:rFonts w:ascii="Times New Roman" w:hAnsi="Times New Roman"/>
                <w:sz w:val="24"/>
                <w:szCs w:val="24"/>
              </w:rPr>
            </w:pPr>
            <w:r w:rsidRPr="00375059">
              <w:rPr>
                <w:rFonts w:ascii="Times New Roman" w:hAnsi="Times New Roman"/>
                <w:sz w:val="24"/>
                <w:szCs w:val="24"/>
              </w:rPr>
              <w:t>25,2</w:t>
            </w:r>
          </w:p>
        </w:tc>
        <w:tc>
          <w:tcPr>
            <w:tcW w:w="777" w:type="dxa"/>
            <w:tcBorders>
              <w:top w:val="single" w:sz="4" w:space="0" w:color="auto"/>
              <w:left w:val="single" w:sz="4" w:space="0" w:color="auto"/>
              <w:bottom w:val="single" w:sz="4" w:space="0" w:color="auto"/>
              <w:right w:val="single" w:sz="4" w:space="0" w:color="auto"/>
            </w:tcBorders>
            <w:vAlign w:val="center"/>
            <w:hideMark/>
          </w:tcPr>
          <w:p w14:paraId="6C946A90" w14:textId="77777777" w:rsidR="00201041" w:rsidRPr="00375059" w:rsidRDefault="00201041" w:rsidP="00201041">
            <w:pPr>
              <w:spacing w:after="0" w:line="240" w:lineRule="auto"/>
              <w:jc w:val="center"/>
              <w:rPr>
                <w:rFonts w:ascii="Times New Roman" w:hAnsi="Times New Roman"/>
                <w:sz w:val="24"/>
                <w:szCs w:val="24"/>
              </w:rPr>
            </w:pPr>
            <w:r w:rsidRPr="00375059">
              <w:rPr>
                <w:rFonts w:ascii="Times New Roman" w:hAnsi="Times New Roman"/>
                <w:sz w:val="24"/>
                <w:szCs w:val="24"/>
              </w:rPr>
              <w:t>2,5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4C900CA" w14:textId="77777777" w:rsidR="00201041" w:rsidRPr="00375059" w:rsidRDefault="00201041" w:rsidP="00201041">
            <w:pPr>
              <w:spacing w:after="0" w:line="240" w:lineRule="auto"/>
              <w:ind w:left="-124" w:right="-97" w:firstLine="8"/>
              <w:jc w:val="center"/>
              <w:rPr>
                <w:rFonts w:ascii="Times New Roman" w:eastAsia="Calibri" w:hAnsi="Times New Roman"/>
                <w:sz w:val="24"/>
                <w:szCs w:val="24"/>
              </w:rPr>
            </w:pPr>
            <w:r w:rsidRPr="00375059">
              <w:rPr>
                <w:rFonts w:ascii="Times New Roman" w:eastAsia="Calibri" w:hAnsi="Times New Roman"/>
                <w:sz w:val="24"/>
                <w:szCs w:val="24"/>
              </w:rPr>
              <w:t>337,1</w:t>
            </w:r>
          </w:p>
        </w:tc>
        <w:tc>
          <w:tcPr>
            <w:tcW w:w="797" w:type="dxa"/>
            <w:tcBorders>
              <w:top w:val="single" w:sz="4" w:space="0" w:color="auto"/>
              <w:left w:val="single" w:sz="4" w:space="0" w:color="auto"/>
              <w:bottom w:val="single" w:sz="4" w:space="0" w:color="auto"/>
              <w:right w:val="single" w:sz="4" w:space="0" w:color="auto"/>
            </w:tcBorders>
            <w:vAlign w:val="center"/>
            <w:hideMark/>
          </w:tcPr>
          <w:p w14:paraId="7E2FFD33" w14:textId="77777777" w:rsidR="00201041" w:rsidRPr="00375059" w:rsidRDefault="00201041" w:rsidP="00201041">
            <w:pPr>
              <w:spacing w:after="0" w:line="240" w:lineRule="auto"/>
              <w:ind w:left="-124" w:right="-97" w:firstLine="8"/>
              <w:jc w:val="center"/>
              <w:rPr>
                <w:rFonts w:ascii="Times New Roman" w:eastAsia="Calibri" w:hAnsi="Times New Roman"/>
                <w:sz w:val="24"/>
                <w:szCs w:val="24"/>
              </w:rPr>
            </w:pPr>
            <w:r w:rsidRPr="00375059">
              <w:rPr>
                <w:rFonts w:ascii="Times New Roman" w:eastAsia="Calibri" w:hAnsi="Times New Roman"/>
                <w:sz w:val="24"/>
                <w:szCs w:val="24"/>
              </w:rPr>
              <w:t>22,2</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19A19" w14:textId="77777777" w:rsidR="00201041" w:rsidRPr="00375059" w:rsidRDefault="00201041" w:rsidP="00201041">
            <w:pPr>
              <w:spacing w:after="0" w:line="240" w:lineRule="auto"/>
              <w:ind w:right="-97" w:firstLine="34"/>
              <w:jc w:val="center"/>
              <w:rPr>
                <w:rFonts w:ascii="Times New Roman" w:eastAsia="Calibri" w:hAnsi="Times New Roman"/>
                <w:sz w:val="24"/>
                <w:szCs w:val="24"/>
              </w:rPr>
            </w:pPr>
            <w:r w:rsidRPr="00375059">
              <w:rPr>
                <w:rFonts w:ascii="Times New Roman" w:eastAsia="Calibri" w:hAnsi="Times New Roman"/>
                <w:sz w:val="24"/>
                <w:szCs w:val="24"/>
              </w:rPr>
              <w:t>1,8</w:t>
            </w:r>
          </w:p>
        </w:tc>
        <w:tc>
          <w:tcPr>
            <w:tcW w:w="1378" w:type="dxa"/>
            <w:tcBorders>
              <w:top w:val="single" w:sz="4" w:space="0" w:color="auto"/>
              <w:left w:val="single" w:sz="4" w:space="0" w:color="auto"/>
              <w:bottom w:val="single" w:sz="4" w:space="0" w:color="auto"/>
              <w:right w:val="single" w:sz="4" w:space="0" w:color="auto"/>
            </w:tcBorders>
            <w:vAlign w:val="center"/>
          </w:tcPr>
          <w:p w14:paraId="48515B44" w14:textId="77777777" w:rsidR="00201041" w:rsidRPr="00375059" w:rsidRDefault="00201041" w:rsidP="00201041">
            <w:pPr>
              <w:spacing w:after="0" w:line="240" w:lineRule="auto"/>
              <w:ind w:right="-97" w:firstLine="32"/>
              <w:jc w:val="center"/>
              <w:rPr>
                <w:rFonts w:ascii="Times New Roman" w:eastAsia="Calibri" w:hAnsi="Times New Roman"/>
                <w:sz w:val="24"/>
                <w:szCs w:val="24"/>
              </w:rPr>
            </w:pPr>
            <w:r w:rsidRPr="00375059">
              <w:rPr>
                <w:rFonts w:ascii="Times New Roman" w:eastAsia="Calibri" w:hAnsi="Times New Roman"/>
                <w:sz w:val="24"/>
                <w:szCs w:val="24"/>
              </w:rPr>
              <w:t>98,1</w:t>
            </w:r>
          </w:p>
        </w:tc>
      </w:tr>
    </w:tbl>
    <w:p w14:paraId="1C8FC9B6" w14:textId="77777777" w:rsidR="00201041" w:rsidRPr="00375059" w:rsidRDefault="00201041" w:rsidP="00201041">
      <w:pPr>
        <w:widowControl w:val="0"/>
        <w:spacing w:after="0" w:line="240" w:lineRule="auto"/>
        <w:ind w:firstLine="426"/>
        <w:jc w:val="both"/>
        <w:rPr>
          <w:rFonts w:ascii="Times New Roman" w:eastAsia="Calibri" w:hAnsi="Times New Roman"/>
          <w:spacing w:val="-2"/>
          <w:sz w:val="28"/>
          <w:szCs w:val="28"/>
        </w:rPr>
      </w:pPr>
    </w:p>
    <w:p w14:paraId="086D980F" w14:textId="77777777" w:rsidR="00201041" w:rsidRPr="00375059" w:rsidRDefault="00201041" w:rsidP="001463C8">
      <w:pPr>
        <w:pStyle w:val="2"/>
        <w:spacing w:before="0" w:line="240" w:lineRule="auto"/>
        <w:ind w:firstLine="567"/>
        <w:rPr>
          <w:rFonts w:ascii="Times New Roman" w:hAnsi="Times New Roman" w:cs="Times New Roman"/>
          <w:b/>
          <w:color w:val="auto"/>
          <w:sz w:val="28"/>
        </w:rPr>
      </w:pPr>
      <w:bookmarkStart w:id="46" w:name="_Toc101441793"/>
      <w:r w:rsidRPr="00375059">
        <w:rPr>
          <w:rFonts w:ascii="Times New Roman" w:hAnsi="Times New Roman" w:cs="Times New Roman"/>
          <w:b/>
          <w:color w:val="auto"/>
          <w:sz w:val="28"/>
        </w:rPr>
        <w:t>Денежно-кредитная политика</w:t>
      </w:r>
      <w:bookmarkEnd w:id="46"/>
    </w:p>
    <w:p w14:paraId="6F6F3004" w14:textId="77777777" w:rsidR="00201041" w:rsidRPr="00375059" w:rsidRDefault="00201041" w:rsidP="001463C8">
      <w:pPr>
        <w:spacing w:after="0" w:line="240" w:lineRule="auto"/>
        <w:ind w:firstLine="567"/>
        <w:jc w:val="both"/>
        <w:rPr>
          <w:rFonts w:ascii="Times New Roman" w:hAnsi="Times New Roman"/>
          <w:b/>
          <w:bCs/>
          <w:sz w:val="28"/>
          <w:szCs w:val="28"/>
          <w:lang w:bidi="ru-RU"/>
        </w:rPr>
      </w:pPr>
      <w:r w:rsidRPr="00375059">
        <w:rPr>
          <w:rFonts w:ascii="Times New Roman" w:hAnsi="Times New Roman"/>
          <w:bCs/>
          <w:sz w:val="28"/>
          <w:szCs w:val="28"/>
          <w:lang w:bidi="ru-RU"/>
        </w:rPr>
        <w:t>В соответствии с «Основными направлениями единой государственной денежно</w:t>
      </w:r>
      <w:r w:rsidRPr="00375059">
        <w:rPr>
          <w:rFonts w:ascii="Times New Roman" w:hAnsi="Times New Roman"/>
          <w:bCs/>
          <w:sz w:val="28"/>
          <w:szCs w:val="28"/>
          <w:lang w:bidi="ru-RU"/>
        </w:rPr>
        <w:softHyphen/>
        <w:t>-кредитной политики на 2021 год» монетарная политика в отчетном периоде проводилась в рамках стратегии таргетирования валютного курса на заданных целевых уровнях.</w:t>
      </w:r>
    </w:p>
    <w:p w14:paraId="17920EFA"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Преследуя цель сохранения стабильности на финансовом рынке, в условиях относительно сбалансированной конъюнктуры внутреннего валютного рынка официальный курс доллара США в 2021 году находился на нижнем уровне установленного диапазона – 16,10 руб. ПМР за 1 долл. США. </w:t>
      </w:r>
    </w:p>
    <w:p w14:paraId="59555AAB" w14:textId="77777777"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В рамках политики таргетирования валютного курса основным инструментом денежно-кредитной политики оставались валютные интервенции, проводимые в безналичной форме. Поставка иностранной валюты осуществлялась для импортёров с отсрочкой на 60 дней, для нетто-экспортёров – день в день. Спрос клиентов удовлетворялся в полном объёме.</w:t>
      </w:r>
    </w:p>
    <w:p w14:paraId="3A8447C2" w14:textId="77777777"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целом за 2021 года сумма интервенций центрального банка составила 286,9 млн долл. </w:t>
      </w:r>
    </w:p>
    <w:p w14:paraId="7FC1BE0E" w14:textId="77777777" w:rsidR="00201041" w:rsidRPr="00375059" w:rsidRDefault="00201041" w:rsidP="001463C8">
      <w:pPr>
        <w:widowControl w:val="0"/>
        <w:spacing w:after="0" w:line="240" w:lineRule="auto"/>
        <w:ind w:firstLine="567"/>
        <w:jc w:val="both"/>
        <w:rPr>
          <w:rFonts w:ascii="Times New Roman" w:hAnsi="Times New Roman"/>
          <w:sz w:val="28"/>
          <w:szCs w:val="28"/>
        </w:rPr>
      </w:pPr>
    </w:p>
    <w:p w14:paraId="46A52475" w14:textId="77777777" w:rsidR="00201041" w:rsidRPr="00375059" w:rsidRDefault="00201041" w:rsidP="001463C8">
      <w:pPr>
        <w:spacing w:after="0" w:line="240" w:lineRule="auto"/>
        <w:ind w:firstLine="567"/>
        <w:jc w:val="both"/>
        <w:rPr>
          <w:rFonts w:ascii="Times New Roman" w:hAnsi="Times New Roman"/>
          <w:b/>
          <w:bCs/>
          <w:i/>
          <w:iCs/>
          <w:sz w:val="28"/>
          <w:szCs w:val="28"/>
        </w:rPr>
      </w:pPr>
      <w:r w:rsidRPr="00375059">
        <w:rPr>
          <w:rFonts w:ascii="Times New Roman" w:hAnsi="Times New Roman"/>
          <w:b/>
          <w:bCs/>
          <w:i/>
          <w:iCs/>
          <w:sz w:val="28"/>
          <w:szCs w:val="28"/>
        </w:rPr>
        <w:lastRenderedPageBreak/>
        <w:t xml:space="preserve">Монетарная сфера </w:t>
      </w:r>
    </w:p>
    <w:p w14:paraId="487482A2" w14:textId="5BE9A443"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На 1 января 2022 года объем национальной денежной массы возрос на 22,8%, или на 833,8 млн руб., составив 4 492,2 млн руб. </w:t>
      </w:r>
      <w:r w:rsidRPr="00375059">
        <w:rPr>
          <w:rFonts w:ascii="Times New Roman" w:hAnsi="Times New Roman"/>
          <w:bCs/>
          <w:sz w:val="28"/>
          <w:szCs w:val="28"/>
          <w:lang w:bidi="ru-RU"/>
        </w:rPr>
        <w:t xml:space="preserve">Основным фактором расширения стало </w:t>
      </w:r>
      <w:r w:rsidRPr="00375059">
        <w:rPr>
          <w:rFonts w:ascii="Times New Roman" w:hAnsi="Times New Roman"/>
          <w:sz w:val="28"/>
          <w:szCs w:val="28"/>
        </w:rPr>
        <w:t xml:space="preserve">пополнение текущих счетов (на 35,5% до 2 831,6 млн руб.) и срочных депозитов (на 19,4% до 337,9 млн руб.). </w:t>
      </w:r>
    </w:p>
    <w:p w14:paraId="38C44A6F" w14:textId="77777777"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Всего в безналичном сегменте на 1 января 2022 года было сосредоточено 3 170,3 млн руб., или 70,6% денежной массы (2 378,6 млн руб., или 65,0% на начало 2021 года). Объём наличных денежных средств в обращении возрос на 3,3% до 1 321,9 млн руб., однако их доля в структуре показателя снизилась на 5,6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xml:space="preserve">., до 29,4%. </w:t>
      </w:r>
    </w:p>
    <w:p w14:paraId="5D684609" w14:textId="413D89A4"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Таким образом, на один рубль, задействованный в наличном обороте, пришлось 2,40 безналичного рубля против 1,86 рубля на начало периода</w:t>
      </w:r>
      <w:r w:rsidR="001463C8">
        <w:rPr>
          <w:rFonts w:ascii="Times New Roman" w:hAnsi="Times New Roman"/>
          <w:sz w:val="28"/>
          <w:szCs w:val="28"/>
        </w:rPr>
        <w:t xml:space="preserve"> </w:t>
      </w:r>
      <w:r w:rsidRPr="00375059">
        <w:rPr>
          <w:rFonts w:ascii="Times New Roman" w:hAnsi="Times New Roman"/>
          <w:sz w:val="28"/>
          <w:szCs w:val="28"/>
        </w:rPr>
        <w:t>(табл.</w:t>
      </w:r>
      <w:r w:rsidR="00E16DD0" w:rsidRPr="00375059">
        <w:rPr>
          <w:rFonts w:ascii="Times New Roman" w:hAnsi="Times New Roman"/>
          <w:sz w:val="28"/>
          <w:szCs w:val="28"/>
        </w:rPr>
        <w:t>10</w:t>
      </w:r>
      <w:r w:rsidRPr="00375059">
        <w:rPr>
          <w:rFonts w:ascii="Times New Roman" w:hAnsi="Times New Roman"/>
          <w:sz w:val="28"/>
          <w:szCs w:val="28"/>
        </w:rPr>
        <w:t>)</w:t>
      </w:r>
      <w:r w:rsidR="001463C8">
        <w:rPr>
          <w:rFonts w:ascii="Times New Roman" w:hAnsi="Times New Roman"/>
          <w:sz w:val="28"/>
          <w:szCs w:val="28"/>
        </w:rPr>
        <w:t>.</w:t>
      </w:r>
    </w:p>
    <w:p w14:paraId="0453AC94" w14:textId="4D56BC2D" w:rsidR="00201041" w:rsidRPr="00375059" w:rsidRDefault="00201041" w:rsidP="00201041">
      <w:pPr>
        <w:widowControl w:val="0"/>
        <w:spacing w:after="0" w:line="240" w:lineRule="auto"/>
        <w:ind w:firstLine="426"/>
        <w:contextualSpacing/>
        <w:jc w:val="right"/>
        <w:rPr>
          <w:rFonts w:ascii="Times New Roman" w:hAnsi="Times New Roman"/>
          <w:b/>
          <w:sz w:val="28"/>
          <w:szCs w:val="28"/>
        </w:rPr>
      </w:pPr>
      <w:r w:rsidRPr="00375059">
        <w:rPr>
          <w:rFonts w:ascii="Times New Roman" w:hAnsi="Times New Roman"/>
          <w:b/>
          <w:i/>
          <w:sz w:val="28"/>
          <w:szCs w:val="28"/>
        </w:rPr>
        <w:t>Таблица</w:t>
      </w:r>
      <w:bookmarkStart w:id="47" w:name="OLE_LINK10"/>
      <w:r w:rsidR="00E16DD0" w:rsidRPr="00375059">
        <w:rPr>
          <w:rFonts w:ascii="Times New Roman" w:hAnsi="Times New Roman"/>
          <w:b/>
          <w:i/>
          <w:sz w:val="28"/>
          <w:szCs w:val="28"/>
        </w:rPr>
        <w:t xml:space="preserve"> 10</w:t>
      </w:r>
    </w:p>
    <w:p w14:paraId="19104D0F" w14:textId="77777777" w:rsidR="00201041" w:rsidRPr="00375059" w:rsidRDefault="00201041" w:rsidP="00201041">
      <w:pPr>
        <w:widowControl w:val="0"/>
        <w:spacing w:after="0" w:line="240" w:lineRule="auto"/>
        <w:ind w:firstLine="426"/>
        <w:jc w:val="center"/>
        <w:rPr>
          <w:rFonts w:ascii="Times New Roman" w:hAnsi="Times New Roman"/>
          <w:b/>
          <w:sz w:val="28"/>
          <w:szCs w:val="28"/>
        </w:rPr>
      </w:pPr>
      <w:r w:rsidRPr="00375059">
        <w:rPr>
          <w:rFonts w:ascii="Times New Roman" w:hAnsi="Times New Roman"/>
          <w:b/>
          <w:sz w:val="28"/>
          <w:szCs w:val="28"/>
        </w:rPr>
        <w:t xml:space="preserve">Структура и динамика денежного предложения </w:t>
      </w:r>
    </w:p>
    <w:tbl>
      <w:tblPr>
        <w:tblStyle w:val="-13"/>
        <w:tblW w:w="9351" w:type="dxa"/>
        <w:tblLayout w:type="fixed"/>
        <w:tblLook w:val="0000" w:firstRow="0" w:lastRow="0" w:firstColumn="0" w:lastColumn="0" w:noHBand="0" w:noVBand="0"/>
      </w:tblPr>
      <w:tblGrid>
        <w:gridCol w:w="3681"/>
        <w:gridCol w:w="1276"/>
        <w:gridCol w:w="992"/>
        <w:gridCol w:w="1276"/>
        <w:gridCol w:w="992"/>
        <w:gridCol w:w="1134"/>
      </w:tblGrid>
      <w:tr w:rsidR="00201041" w:rsidRPr="00375059" w14:paraId="5E2DD415" w14:textId="77777777" w:rsidTr="00080B0F">
        <w:trPr>
          <w:trHeight w:val="20"/>
        </w:trPr>
        <w:tc>
          <w:tcPr>
            <w:tcW w:w="368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690122"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Показатель</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DD204" w14:textId="2A9C9780"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 xml:space="preserve">на 1 января </w:t>
            </w:r>
            <w:r w:rsidR="00E16DD0" w:rsidRPr="00375059">
              <w:rPr>
                <w:rFonts w:ascii="Times New Roman" w:hAnsi="Times New Roman"/>
                <w:b/>
                <w:sz w:val="24"/>
                <w:szCs w:val="24"/>
              </w:rPr>
              <w:br/>
            </w:r>
            <w:r w:rsidRPr="00375059">
              <w:rPr>
                <w:rFonts w:ascii="Times New Roman" w:hAnsi="Times New Roman"/>
                <w:b/>
                <w:sz w:val="24"/>
                <w:szCs w:val="24"/>
              </w:rPr>
              <w:t>2021 года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75B9D" w14:textId="3D40966B"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на 1 января</w:t>
            </w:r>
            <w:r w:rsidR="00E16DD0" w:rsidRPr="00375059">
              <w:rPr>
                <w:rFonts w:ascii="Times New Roman" w:hAnsi="Times New Roman"/>
                <w:b/>
                <w:sz w:val="24"/>
                <w:szCs w:val="24"/>
              </w:rPr>
              <w:t xml:space="preserve"> </w:t>
            </w:r>
            <w:r w:rsidR="00E16DD0" w:rsidRPr="00375059">
              <w:rPr>
                <w:rFonts w:ascii="Times New Roman" w:hAnsi="Times New Roman"/>
                <w:b/>
                <w:sz w:val="24"/>
                <w:szCs w:val="24"/>
              </w:rPr>
              <w:br/>
            </w:r>
            <w:r w:rsidRPr="00375059">
              <w:rPr>
                <w:rFonts w:ascii="Times New Roman" w:hAnsi="Times New Roman"/>
                <w:b/>
                <w:sz w:val="24"/>
                <w:szCs w:val="24"/>
              </w:rPr>
              <w:t>2022 года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40E1A" w14:textId="23A6F94C" w:rsidR="00201041" w:rsidRPr="00375059" w:rsidRDefault="00E16DD0" w:rsidP="008E362D">
            <w:pPr>
              <w:spacing w:after="0" w:line="240" w:lineRule="auto"/>
              <w:jc w:val="center"/>
              <w:rPr>
                <w:rFonts w:ascii="Times New Roman" w:hAnsi="Times New Roman"/>
                <w:b/>
                <w:sz w:val="24"/>
                <w:szCs w:val="24"/>
              </w:rPr>
            </w:pPr>
            <w:r w:rsidRPr="00375059">
              <w:rPr>
                <w:rFonts w:ascii="Times New Roman" w:eastAsia="Calibri" w:hAnsi="Times New Roman"/>
                <w:b/>
                <w:sz w:val="24"/>
                <w:szCs w:val="24"/>
              </w:rPr>
              <w:t>темп роста к 2020 году, %</w:t>
            </w:r>
          </w:p>
        </w:tc>
      </w:tr>
      <w:tr w:rsidR="00201041" w:rsidRPr="00375059" w14:paraId="4B4FCE84" w14:textId="77777777" w:rsidTr="00080B0F">
        <w:trPr>
          <w:trHeight w:val="20"/>
        </w:trPr>
        <w:tc>
          <w:tcPr>
            <w:tcW w:w="368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E2543" w14:textId="77777777" w:rsidR="00201041" w:rsidRPr="00375059" w:rsidRDefault="00201041" w:rsidP="008E362D">
            <w:pPr>
              <w:spacing w:after="0" w:line="240"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5849F0"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млн руб.</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96AC7"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уд. вес,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25865"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млн руб.</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A5D729"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уд. вес, %</w:t>
            </w: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C09C6" w14:textId="77777777" w:rsidR="00201041" w:rsidRPr="00375059" w:rsidRDefault="00201041" w:rsidP="008E362D">
            <w:pPr>
              <w:spacing w:after="0" w:line="240" w:lineRule="auto"/>
              <w:rPr>
                <w:rFonts w:ascii="Times New Roman" w:hAnsi="Times New Roman"/>
                <w:b/>
                <w:sz w:val="24"/>
                <w:szCs w:val="24"/>
              </w:rPr>
            </w:pPr>
          </w:p>
        </w:tc>
      </w:tr>
      <w:tr w:rsidR="00201041" w:rsidRPr="00375059" w14:paraId="3F9E60B9" w14:textId="77777777" w:rsidTr="00080B0F">
        <w:trPr>
          <w:trHeight w:val="60"/>
        </w:trPr>
        <w:tc>
          <w:tcPr>
            <w:tcW w:w="3681" w:type="dxa"/>
            <w:tcBorders>
              <w:top w:val="single" w:sz="4" w:space="0" w:color="auto"/>
              <w:left w:val="single" w:sz="4" w:space="0" w:color="auto"/>
              <w:bottom w:val="single" w:sz="4" w:space="0" w:color="auto"/>
              <w:right w:val="single" w:sz="4" w:space="0" w:color="auto"/>
            </w:tcBorders>
          </w:tcPr>
          <w:p w14:paraId="4FB272C5"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Полная денежная масса (М3)</w:t>
            </w:r>
          </w:p>
        </w:tc>
        <w:tc>
          <w:tcPr>
            <w:tcW w:w="1276" w:type="dxa"/>
            <w:tcBorders>
              <w:top w:val="single" w:sz="4" w:space="0" w:color="auto"/>
              <w:left w:val="single" w:sz="4" w:space="0" w:color="auto"/>
              <w:bottom w:val="single" w:sz="4" w:space="0" w:color="auto"/>
              <w:right w:val="single" w:sz="4" w:space="0" w:color="auto"/>
            </w:tcBorders>
            <w:vAlign w:val="center"/>
          </w:tcPr>
          <w:p w14:paraId="0BE9E116"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10 456,0</w:t>
            </w:r>
          </w:p>
        </w:tc>
        <w:tc>
          <w:tcPr>
            <w:tcW w:w="992" w:type="dxa"/>
            <w:tcBorders>
              <w:top w:val="single" w:sz="4" w:space="0" w:color="auto"/>
              <w:left w:val="single" w:sz="4" w:space="0" w:color="auto"/>
              <w:bottom w:val="single" w:sz="4" w:space="0" w:color="auto"/>
              <w:right w:val="single" w:sz="4" w:space="0" w:color="auto"/>
            </w:tcBorders>
            <w:vAlign w:val="center"/>
          </w:tcPr>
          <w:p w14:paraId="266CC397"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100,0</w:t>
            </w:r>
          </w:p>
        </w:tc>
        <w:tc>
          <w:tcPr>
            <w:tcW w:w="1276" w:type="dxa"/>
            <w:tcBorders>
              <w:top w:val="single" w:sz="4" w:space="0" w:color="auto"/>
              <w:left w:val="single" w:sz="4" w:space="0" w:color="auto"/>
              <w:bottom w:val="single" w:sz="4" w:space="0" w:color="auto"/>
              <w:right w:val="single" w:sz="4" w:space="0" w:color="auto"/>
            </w:tcBorders>
            <w:vAlign w:val="center"/>
          </w:tcPr>
          <w:p w14:paraId="35982CFB"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11 193,3</w:t>
            </w:r>
          </w:p>
        </w:tc>
        <w:tc>
          <w:tcPr>
            <w:tcW w:w="992" w:type="dxa"/>
            <w:tcBorders>
              <w:top w:val="single" w:sz="4" w:space="0" w:color="auto"/>
              <w:left w:val="single" w:sz="4" w:space="0" w:color="auto"/>
              <w:bottom w:val="single" w:sz="4" w:space="0" w:color="auto"/>
              <w:right w:val="single" w:sz="4" w:space="0" w:color="auto"/>
            </w:tcBorders>
            <w:vAlign w:val="center"/>
          </w:tcPr>
          <w:p w14:paraId="2A026AB5"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14:paraId="39C46D35"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107,1</w:t>
            </w:r>
          </w:p>
        </w:tc>
      </w:tr>
      <w:tr w:rsidR="00201041" w:rsidRPr="00375059" w14:paraId="286275DB" w14:textId="77777777" w:rsidTr="00080B0F">
        <w:trPr>
          <w:trHeight w:val="20"/>
        </w:trPr>
        <w:tc>
          <w:tcPr>
            <w:tcW w:w="3681" w:type="dxa"/>
            <w:tcBorders>
              <w:top w:val="single" w:sz="4" w:space="0" w:color="auto"/>
              <w:left w:val="single" w:sz="4" w:space="0" w:color="auto"/>
              <w:bottom w:val="nil"/>
              <w:right w:val="single" w:sz="4" w:space="0" w:color="auto"/>
            </w:tcBorders>
          </w:tcPr>
          <w:p w14:paraId="39F16436"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в том числе:</w:t>
            </w:r>
          </w:p>
        </w:tc>
        <w:tc>
          <w:tcPr>
            <w:tcW w:w="1276" w:type="dxa"/>
            <w:tcBorders>
              <w:top w:val="single" w:sz="4" w:space="0" w:color="auto"/>
              <w:left w:val="single" w:sz="4" w:space="0" w:color="auto"/>
              <w:bottom w:val="nil"/>
              <w:right w:val="single" w:sz="4" w:space="0" w:color="auto"/>
            </w:tcBorders>
            <w:vAlign w:val="center"/>
          </w:tcPr>
          <w:p w14:paraId="7C9E3EA2" w14:textId="77777777" w:rsidR="00201041" w:rsidRPr="00375059" w:rsidRDefault="00201041" w:rsidP="00080B0F">
            <w:pPr>
              <w:spacing w:after="0" w:line="240" w:lineRule="auto"/>
              <w:ind w:left="-108"/>
              <w:jc w:val="right"/>
              <w:rPr>
                <w:rFonts w:ascii="Times New Roman" w:hAnsi="Times New Roman"/>
                <w:sz w:val="24"/>
                <w:szCs w:val="24"/>
              </w:rPr>
            </w:pPr>
          </w:p>
        </w:tc>
        <w:tc>
          <w:tcPr>
            <w:tcW w:w="992" w:type="dxa"/>
            <w:tcBorders>
              <w:top w:val="single" w:sz="4" w:space="0" w:color="auto"/>
              <w:left w:val="single" w:sz="4" w:space="0" w:color="auto"/>
              <w:bottom w:val="nil"/>
              <w:right w:val="single" w:sz="4" w:space="0" w:color="auto"/>
            </w:tcBorders>
            <w:vAlign w:val="center"/>
          </w:tcPr>
          <w:p w14:paraId="5DD5D6F1" w14:textId="77777777" w:rsidR="00201041" w:rsidRPr="00375059" w:rsidRDefault="00201041" w:rsidP="00080B0F">
            <w:pPr>
              <w:spacing w:after="0" w:line="240" w:lineRule="auto"/>
              <w:ind w:left="-108"/>
              <w:jc w:val="right"/>
              <w:rPr>
                <w:rFonts w:ascii="Times New Roman" w:hAnsi="Times New Roman"/>
                <w:sz w:val="24"/>
                <w:szCs w:val="24"/>
              </w:rPr>
            </w:pPr>
          </w:p>
        </w:tc>
        <w:tc>
          <w:tcPr>
            <w:tcW w:w="1276" w:type="dxa"/>
            <w:tcBorders>
              <w:top w:val="single" w:sz="4" w:space="0" w:color="auto"/>
              <w:left w:val="single" w:sz="4" w:space="0" w:color="auto"/>
              <w:bottom w:val="nil"/>
              <w:right w:val="single" w:sz="4" w:space="0" w:color="auto"/>
            </w:tcBorders>
            <w:vAlign w:val="center"/>
          </w:tcPr>
          <w:p w14:paraId="6FA3D2C2" w14:textId="77777777" w:rsidR="00201041" w:rsidRPr="00375059" w:rsidRDefault="00201041" w:rsidP="00080B0F">
            <w:pPr>
              <w:spacing w:after="0" w:line="240" w:lineRule="auto"/>
              <w:ind w:left="-108"/>
              <w:jc w:val="right"/>
              <w:rPr>
                <w:rFonts w:ascii="Times New Roman" w:hAnsi="Times New Roman"/>
                <w:sz w:val="24"/>
                <w:szCs w:val="24"/>
              </w:rPr>
            </w:pPr>
          </w:p>
        </w:tc>
        <w:tc>
          <w:tcPr>
            <w:tcW w:w="992" w:type="dxa"/>
            <w:tcBorders>
              <w:top w:val="single" w:sz="4" w:space="0" w:color="auto"/>
              <w:left w:val="single" w:sz="4" w:space="0" w:color="auto"/>
              <w:bottom w:val="nil"/>
              <w:right w:val="single" w:sz="4" w:space="0" w:color="auto"/>
            </w:tcBorders>
            <w:vAlign w:val="center"/>
          </w:tcPr>
          <w:p w14:paraId="7AD95C4D" w14:textId="77777777" w:rsidR="00201041" w:rsidRPr="00375059" w:rsidRDefault="00201041" w:rsidP="00080B0F">
            <w:pPr>
              <w:spacing w:after="0" w:line="240" w:lineRule="auto"/>
              <w:ind w:left="-108"/>
              <w:jc w:val="right"/>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vAlign w:val="center"/>
          </w:tcPr>
          <w:p w14:paraId="7FB6F1AD" w14:textId="77777777" w:rsidR="00201041" w:rsidRPr="00375059" w:rsidRDefault="00201041" w:rsidP="00080B0F">
            <w:pPr>
              <w:spacing w:after="0" w:line="240" w:lineRule="auto"/>
              <w:ind w:left="-108"/>
              <w:jc w:val="right"/>
              <w:rPr>
                <w:rFonts w:ascii="Times New Roman" w:hAnsi="Times New Roman"/>
                <w:sz w:val="24"/>
                <w:szCs w:val="24"/>
              </w:rPr>
            </w:pPr>
          </w:p>
        </w:tc>
      </w:tr>
      <w:tr w:rsidR="00201041" w:rsidRPr="00375059" w14:paraId="2A67DA07" w14:textId="77777777" w:rsidTr="00080B0F">
        <w:trPr>
          <w:trHeight w:val="20"/>
        </w:trPr>
        <w:tc>
          <w:tcPr>
            <w:tcW w:w="3681" w:type="dxa"/>
            <w:tcBorders>
              <w:top w:val="nil"/>
              <w:left w:val="single" w:sz="4" w:space="0" w:color="auto"/>
              <w:bottom w:val="single" w:sz="4" w:space="0" w:color="auto"/>
              <w:right w:val="single" w:sz="4" w:space="0" w:color="auto"/>
            </w:tcBorders>
          </w:tcPr>
          <w:p w14:paraId="64501DB6"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Национальная денежная масса (М2х)</w:t>
            </w:r>
          </w:p>
        </w:tc>
        <w:tc>
          <w:tcPr>
            <w:tcW w:w="1276" w:type="dxa"/>
            <w:tcBorders>
              <w:top w:val="nil"/>
              <w:left w:val="single" w:sz="4" w:space="0" w:color="auto"/>
              <w:bottom w:val="single" w:sz="4" w:space="0" w:color="auto"/>
              <w:right w:val="single" w:sz="4" w:space="0" w:color="auto"/>
            </w:tcBorders>
            <w:vAlign w:val="center"/>
          </w:tcPr>
          <w:p w14:paraId="7090B012"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3 658,4</w:t>
            </w:r>
          </w:p>
        </w:tc>
        <w:tc>
          <w:tcPr>
            <w:tcW w:w="992" w:type="dxa"/>
            <w:tcBorders>
              <w:top w:val="nil"/>
              <w:left w:val="single" w:sz="4" w:space="0" w:color="auto"/>
              <w:bottom w:val="single" w:sz="4" w:space="0" w:color="auto"/>
              <w:right w:val="single" w:sz="4" w:space="0" w:color="auto"/>
            </w:tcBorders>
            <w:vAlign w:val="center"/>
          </w:tcPr>
          <w:p w14:paraId="79BFA463"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35,0</w:t>
            </w:r>
          </w:p>
        </w:tc>
        <w:tc>
          <w:tcPr>
            <w:tcW w:w="1276" w:type="dxa"/>
            <w:tcBorders>
              <w:top w:val="nil"/>
              <w:left w:val="single" w:sz="4" w:space="0" w:color="auto"/>
              <w:bottom w:val="single" w:sz="4" w:space="0" w:color="auto"/>
              <w:right w:val="single" w:sz="4" w:space="0" w:color="auto"/>
            </w:tcBorders>
            <w:vAlign w:val="center"/>
          </w:tcPr>
          <w:p w14:paraId="481261ED"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4 492,2</w:t>
            </w:r>
          </w:p>
        </w:tc>
        <w:tc>
          <w:tcPr>
            <w:tcW w:w="992" w:type="dxa"/>
            <w:tcBorders>
              <w:top w:val="nil"/>
              <w:left w:val="single" w:sz="4" w:space="0" w:color="auto"/>
              <w:bottom w:val="single" w:sz="4" w:space="0" w:color="auto"/>
              <w:right w:val="single" w:sz="4" w:space="0" w:color="auto"/>
            </w:tcBorders>
            <w:vAlign w:val="center"/>
          </w:tcPr>
          <w:p w14:paraId="04439399"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40,1</w:t>
            </w:r>
          </w:p>
        </w:tc>
        <w:tc>
          <w:tcPr>
            <w:tcW w:w="1134" w:type="dxa"/>
            <w:tcBorders>
              <w:top w:val="nil"/>
              <w:left w:val="single" w:sz="4" w:space="0" w:color="auto"/>
              <w:bottom w:val="single" w:sz="4" w:space="0" w:color="auto"/>
              <w:right w:val="single" w:sz="4" w:space="0" w:color="auto"/>
            </w:tcBorders>
            <w:vAlign w:val="center"/>
          </w:tcPr>
          <w:p w14:paraId="2F820789"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122,8</w:t>
            </w:r>
          </w:p>
        </w:tc>
      </w:tr>
      <w:tr w:rsidR="00201041" w:rsidRPr="00375059" w14:paraId="7FEC0CA3" w14:textId="77777777" w:rsidTr="00080B0F">
        <w:trPr>
          <w:trHeight w:val="20"/>
        </w:trPr>
        <w:tc>
          <w:tcPr>
            <w:tcW w:w="3681" w:type="dxa"/>
            <w:tcBorders>
              <w:top w:val="single" w:sz="4" w:space="0" w:color="auto"/>
              <w:left w:val="single" w:sz="4" w:space="0" w:color="auto"/>
              <w:bottom w:val="nil"/>
              <w:right w:val="single" w:sz="4" w:space="0" w:color="auto"/>
            </w:tcBorders>
          </w:tcPr>
          <w:p w14:paraId="6D240E6A"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в том числе:</w:t>
            </w:r>
          </w:p>
        </w:tc>
        <w:tc>
          <w:tcPr>
            <w:tcW w:w="1276" w:type="dxa"/>
            <w:tcBorders>
              <w:top w:val="single" w:sz="4" w:space="0" w:color="auto"/>
              <w:left w:val="single" w:sz="4" w:space="0" w:color="auto"/>
              <w:bottom w:val="nil"/>
              <w:right w:val="single" w:sz="4" w:space="0" w:color="auto"/>
            </w:tcBorders>
            <w:vAlign w:val="center"/>
          </w:tcPr>
          <w:p w14:paraId="1B49EA7A" w14:textId="77777777" w:rsidR="00201041" w:rsidRPr="00375059" w:rsidRDefault="00201041" w:rsidP="00080B0F">
            <w:pPr>
              <w:spacing w:after="0" w:line="240" w:lineRule="auto"/>
              <w:ind w:left="-108"/>
              <w:jc w:val="right"/>
              <w:rPr>
                <w:rFonts w:ascii="Times New Roman" w:hAnsi="Times New Roman"/>
                <w:sz w:val="24"/>
                <w:szCs w:val="24"/>
              </w:rPr>
            </w:pPr>
          </w:p>
        </w:tc>
        <w:tc>
          <w:tcPr>
            <w:tcW w:w="992" w:type="dxa"/>
            <w:tcBorders>
              <w:top w:val="single" w:sz="4" w:space="0" w:color="auto"/>
              <w:left w:val="single" w:sz="4" w:space="0" w:color="auto"/>
              <w:bottom w:val="nil"/>
              <w:right w:val="single" w:sz="4" w:space="0" w:color="auto"/>
            </w:tcBorders>
            <w:vAlign w:val="center"/>
          </w:tcPr>
          <w:p w14:paraId="7DB5086F" w14:textId="77777777" w:rsidR="00201041" w:rsidRPr="00375059" w:rsidRDefault="00201041" w:rsidP="00080B0F">
            <w:pPr>
              <w:spacing w:after="0" w:line="240" w:lineRule="auto"/>
              <w:ind w:left="-108"/>
              <w:jc w:val="right"/>
              <w:rPr>
                <w:rFonts w:ascii="Times New Roman" w:hAnsi="Times New Roman"/>
                <w:sz w:val="24"/>
                <w:szCs w:val="24"/>
              </w:rPr>
            </w:pPr>
          </w:p>
        </w:tc>
        <w:tc>
          <w:tcPr>
            <w:tcW w:w="1276" w:type="dxa"/>
            <w:tcBorders>
              <w:top w:val="single" w:sz="4" w:space="0" w:color="auto"/>
              <w:left w:val="single" w:sz="4" w:space="0" w:color="auto"/>
              <w:bottom w:val="nil"/>
              <w:right w:val="single" w:sz="4" w:space="0" w:color="auto"/>
            </w:tcBorders>
            <w:vAlign w:val="center"/>
          </w:tcPr>
          <w:p w14:paraId="25117A6B" w14:textId="77777777" w:rsidR="00201041" w:rsidRPr="00375059" w:rsidRDefault="00201041" w:rsidP="00080B0F">
            <w:pPr>
              <w:spacing w:after="0" w:line="240" w:lineRule="auto"/>
              <w:ind w:left="-108"/>
              <w:jc w:val="right"/>
              <w:rPr>
                <w:rFonts w:ascii="Times New Roman" w:hAnsi="Times New Roman"/>
                <w:sz w:val="24"/>
                <w:szCs w:val="24"/>
              </w:rPr>
            </w:pPr>
          </w:p>
        </w:tc>
        <w:tc>
          <w:tcPr>
            <w:tcW w:w="992" w:type="dxa"/>
            <w:tcBorders>
              <w:top w:val="single" w:sz="4" w:space="0" w:color="auto"/>
              <w:left w:val="single" w:sz="4" w:space="0" w:color="auto"/>
              <w:bottom w:val="nil"/>
              <w:right w:val="single" w:sz="4" w:space="0" w:color="auto"/>
            </w:tcBorders>
            <w:vAlign w:val="center"/>
          </w:tcPr>
          <w:p w14:paraId="2A922A86" w14:textId="77777777" w:rsidR="00201041" w:rsidRPr="00375059" w:rsidRDefault="00201041" w:rsidP="00080B0F">
            <w:pPr>
              <w:spacing w:after="0" w:line="240" w:lineRule="auto"/>
              <w:ind w:left="-108"/>
              <w:jc w:val="right"/>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vAlign w:val="center"/>
          </w:tcPr>
          <w:p w14:paraId="44760D61" w14:textId="77777777" w:rsidR="00201041" w:rsidRPr="00375059" w:rsidRDefault="00201041" w:rsidP="00080B0F">
            <w:pPr>
              <w:spacing w:after="0" w:line="240" w:lineRule="auto"/>
              <w:ind w:left="-108"/>
              <w:jc w:val="right"/>
              <w:rPr>
                <w:rFonts w:ascii="Times New Roman" w:hAnsi="Times New Roman"/>
                <w:sz w:val="24"/>
                <w:szCs w:val="24"/>
              </w:rPr>
            </w:pPr>
          </w:p>
        </w:tc>
      </w:tr>
      <w:tr w:rsidR="00201041" w:rsidRPr="00375059" w14:paraId="0C5B80E4" w14:textId="77777777" w:rsidTr="00080B0F">
        <w:trPr>
          <w:trHeight w:val="20"/>
        </w:trPr>
        <w:tc>
          <w:tcPr>
            <w:tcW w:w="3681" w:type="dxa"/>
            <w:tcBorders>
              <w:top w:val="nil"/>
              <w:left w:val="single" w:sz="4" w:space="0" w:color="auto"/>
              <w:bottom w:val="single" w:sz="4" w:space="0" w:color="auto"/>
              <w:right w:val="single" w:sz="4" w:space="0" w:color="auto"/>
            </w:tcBorders>
          </w:tcPr>
          <w:p w14:paraId="1DADD795"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 наличные деньги в обращении</w:t>
            </w:r>
          </w:p>
        </w:tc>
        <w:tc>
          <w:tcPr>
            <w:tcW w:w="1276" w:type="dxa"/>
            <w:tcBorders>
              <w:top w:val="nil"/>
              <w:left w:val="single" w:sz="4" w:space="0" w:color="auto"/>
              <w:bottom w:val="single" w:sz="4" w:space="0" w:color="auto"/>
              <w:right w:val="single" w:sz="4" w:space="0" w:color="auto"/>
            </w:tcBorders>
            <w:vAlign w:val="center"/>
          </w:tcPr>
          <w:p w14:paraId="3134271A"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1 279,8</w:t>
            </w:r>
          </w:p>
        </w:tc>
        <w:tc>
          <w:tcPr>
            <w:tcW w:w="992" w:type="dxa"/>
            <w:tcBorders>
              <w:top w:val="nil"/>
              <w:left w:val="single" w:sz="4" w:space="0" w:color="auto"/>
              <w:bottom w:val="single" w:sz="4" w:space="0" w:color="auto"/>
              <w:right w:val="single" w:sz="4" w:space="0" w:color="auto"/>
            </w:tcBorders>
            <w:vAlign w:val="center"/>
          </w:tcPr>
          <w:p w14:paraId="38CCDE39"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12,2</w:t>
            </w:r>
          </w:p>
        </w:tc>
        <w:tc>
          <w:tcPr>
            <w:tcW w:w="1276" w:type="dxa"/>
            <w:tcBorders>
              <w:top w:val="nil"/>
              <w:left w:val="single" w:sz="4" w:space="0" w:color="auto"/>
              <w:bottom w:val="single" w:sz="4" w:space="0" w:color="auto"/>
              <w:right w:val="single" w:sz="4" w:space="0" w:color="auto"/>
            </w:tcBorders>
            <w:vAlign w:val="center"/>
          </w:tcPr>
          <w:p w14:paraId="2675F904"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1 321,9</w:t>
            </w:r>
          </w:p>
        </w:tc>
        <w:tc>
          <w:tcPr>
            <w:tcW w:w="992" w:type="dxa"/>
            <w:tcBorders>
              <w:top w:val="nil"/>
              <w:left w:val="single" w:sz="4" w:space="0" w:color="auto"/>
              <w:bottom w:val="single" w:sz="4" w:space="0" w:color="auto"/>
              <w:right w:val="single" w:sz="4" w:space="0" w:color="auto"/>
            </w:tcBorders>
            <w:vAlign w:val="center"/>
          </w:tcPr>
          <w:p w14:paraId="16DECCCC"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11,8</w:t>
            </w:r>
          </w:p>
        </w:tc>
        <w:tc>
          <w:tcPr>
            <w:tcW w:w="1134" w:type="dxa"/>
            <w:tcBorders>
              <w:top w:val="nil"/>
              <w:left w:val="single" w:sz="4" w:space="0" w:color="auto"/>
              <w:bottom w:val="single" w:sz="4" w:space="0" w:color="auto"/>
              <w:right w:val="single" w:sz="4" w:space="0" w:color="auto"/>
            </w:tcBorders>
            <w:vAlign w:val="center"/>
          </w:tcPr>
          <w:p w14:paraId="7C636661"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103,3</w:t>
            </w:r>
          </w:p>
        </w:tc>
      </w:tr>
      <w:tr w:rsidR="00201041" w:rsidRPr="00375059" w14:paraId="276AA722" w14:textId="77777777" w:rsidTr="00080B0F">
        <w:trPr>
          <w:trHeight w:val="20"/>
        </w:trPr>
        <w:tc>
          <w:tcPr>
            <w:tcW w:w="3681" w:type="dxa"/>
            <w:tcBorders>
              <w:top w:val="single" w:sz="4" w:space="0" w:color="auto"/>
              <w:left w:val="single" w:sz="4" w:space="0" w:color="auto"/>
              <w:bottom w:val="single" w:sz="4" w:space="0" w:color="auto"/>
              <w:right w:val="single" w:sz="4" w:space="0" w:color="auto"/>
            </w:tcBorders>
          </w:tcPr>
          <w:p w14:paraId="2D6C62CD"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 безналичные денежные средства</w:t>
            </w:r>
          </w:p>
        </w:tc>
        <w:tc>
          <w:tcPr>
            <w:tcW w:w="1276" w:type="dxa"/>
            <w:tcBorders>
              <w:top w:val="single" w:sz="4" w:space="0" w:color="auto"/>
              <w:left w:val="single" w:sz="4" w:space="0" w:color="auto"/>
              <w:bottom w:val="single" w:sz="4" w:space="0" w:color="auto"/>
              <w:right w:val="single" w:sz="4" w:space="0" w:color="auto"/>
            </w:tcBorders>
            <w:vAlign w:val="center"/>
          </w:tcPr>
          <w:p w14:paraId="32172040"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2 378,6</w:t>
            </w:r>
          </w:p>
        </w:tc>
        <w:tc>
          <w:tcPr>
            <w:tcW w:w="992" w:type="dxa"/>
            <w:tcBorders>
              <w:top w:val="single" w:sz="4" w:space="0" w:color="auto"/>
              <w:left w:val="single" w:sz="4" w:space="0" w:color="auto"/>
              <w:bottom w:val="single" w:sz="4" w:space="0" w:color="auto"/>
              <w:right w:val="single" w:sz="4" w:space="0" w:color="auto"/>
            </w:tcBorders>
            <w:vAlign w:val="center"/>
          </w:tcPr>
          <w:p w14:paraId="3C3CFF8E"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22,7</w:t>
            </w:r>
          </w:p>
        </w:tc>
        <w:tc>
          <w:tcPr>
            <w:tcW w:w="1276" w:type="dxa"/>
            <w:tcBorders>
              <w:top w:val="single" w:sz="4" w:space="0" w:color="auto"/>
              <w:left w:val="single" w:sz="4" w:space="0" w:color="auto"/>
              <w:bottom w:val="single" w:sz="4" w:space="0" w:color="auto"/>
              <w:right w:val="single" w:sz="4" w:space="0" w:color="auto"/>
            </w:tcBorders>
            <w:vAlign w:val="center"/>
          </w:tcPr>
          <w:p w14:paraId="0B24CF4B"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3 170,3</w:t>
            </w:r>
          </w:p>
        </w:tc>
        <w:tc>
          <w:tcPr>
            <w:tcW w:w="992" w:type="dxa"/>
            <w:tcBorders>
              <w:top w:val="single" w:sz="4" w:space="0" w:color="auto"/>
              <w:left w:val="single" w:sz="4" w:space="0" w:color="auto"/>
              <w:bottom w:val="single" w:sz="4" w:space="0" w:color="auto"/>
              <w:right w:val="single" w:sz="4" w:space="0" w:color="auto"/>
            </w:tcBorders>
            <w:vAlign w:val="center"/>
          </w:tcPr>
          <w:p w14:paraId="1E312885"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28,3</w:t>
            </w:r>
          </w:p>
        </w:tc>
        <w:tc>
          <w:tcPr>
            <w:tcW w:w="1134" w:type="dxa"/>
            <w:tcBorders>
              <w:top w:val="single" w:sz="4" w:space="0" w:color="auto"/>
              <w:left w:val="single" w:sz="4" w:space="0" w:color="auto"/>
              <w:bottom w:val="single" w:sz="4" w:space="0" w:color="auto"/>
              <w:right w:val="single" w:sz="4" w:space="0" w:color="auto"/>
            </w:tcBorders>
            <w:vAlign w:val="center"/>
          </w:tcPr>
          <w:p w14:paraId="5EEC399A"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133,3</w:t>
            </w:r>
          </w:p>
        </w:tc>
      </w:tr>
      <w:tr w:rsidR="00201041" w:rsidRPr="00375059" w14:paraId="14F8BC70" w14:textId="77777777" w:rsidTr="00080B0F">
        <w:trPr>
          <w:trHeight w:val="20"/>
        </w:trPr>
        <w:tc>
          <w:tcPr>
            <w:tcW w:w="3681" w:type="dxa"/>
            <w:tcBorders>
              <w:top w:val="single" w:sz="4" w:space="0" w:color="auto"/>
              <w:left w:val="single" w:sz="4" w:space="0" w:color="auto"/>
              <w:bottom w:val="single" w:sz="4" w:space="0" w:color="auto"/>
              <w:right w:val="single" w:sz="4" w:space="0" w:color="auto"/>
            </w:tcBorders>
          </w:tcPr>
          <w:p w14:paraId="419A8331"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Денежная масса в иностранной валюте</w:t>
            </w:r>
          </w:p>
        </w:tc>
        <w:tc>
          <w:tcPr>
            <w:tcW w:w="1276" w:type="dxa"/>
            <w:tcBorders>
              <w:top w:val="single" w:sz="4" w:space="0" w:color="auto"/>
              <w:left w:val="single" w:sz="4" w:space="0" w:color="auto"/>
              <w:bottom w:val="single" w:sz="4" w:space="0" w:color="auto"/>
              <w:right w:val="single" w:sz="4" w:space="0" w:color="auto"/>
            </w:tcBorders>
            <w:vAlign w:val="center"/>
          </w:tcPr>
          <w:p w14:paraId="5FA7BF59"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6 797,6</w:t>
            </w:r>
          </w:p>
        </w:tc>
        <w:tc>
          <w:tcPr>
            <w:tcW w:w="992" w:type="dxa"/>
            <w:tcBorders>
              <w:top w:val="single" w:sz="4" w:space="0" w:color="auto"/>
              <w:left w:val="single" w:sz="4" w:space="0" w:color="auto"/>
              <w:bottom w:val="single" w:sz="4" w:space="0" w:color="auto"/>
              <w:right w:val="single" w:sz="4" w:space="0" w:color="auto"/>
            </w:tcBorders>
            <w:vAlign w:val="center"/>
          </w:tcPr>
          <w:p w14:paraId="41649D49"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65,0</w:t>
            </w:r>
          </w:p>
        </w:tc>
        <w:tc>
          <w:tcPr>
            <w:tcW w:w="1276" w:type="dxa"/>
            <w:tcBorders>
              <w:top w:val="single" w:sz="4" w:space="0" w:color="auto"/>
              <w:left w:val="single" w:sz="4" w:space="0" w:color="auto"/>
              <w:bottom w:val="single" w:sz="4" w:space="0" w:color="auto"/>
              <w:right w:val="single" w:sz="4" w:space="0" w:color="auto"/>
            </w:tcBorders>
            <w:vAlign w:val="center"/>
          </w:tcPr>
          <w:p w14:paraId="4BF2DF32"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6 701,1</w:t>
            </w:r>
          </w:p>
        </w:tc>
        <w:tc>
          <w:tcPr>
            <w:tcW w:w="992" w:type="dxa"/>
            <w:tcBorders>
              <w:top w:val="single" w:sz="4" w:space="0" w:color="auto"/>
              <w:left w:val="single" w:sz="4" w:space="0" w:color="auto"/>
              <w:bottom w:val="single" w:sz="4" w:space="0" w:color="auto"/>
              <w:right w:val="single" w:sz="4" w:space="0" w:color="auto"/>
            </w:tcBorders>
            <w:vAlign w:val="center"/>
          </w:tcPr>
          <w:p w14:paraId="3F696DA9"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59,9</w:t>
            </w:r>
          </w:p>
        </w:tc>
        <w:tc>
          <w:tcPr>
            <w:tcW w:w="1134" w:type="dxa"/>
            <w:tcBorders>
              <w:top w:val="single" w:sz="4" w:space="0" w:color="auto"/>
              <w:left w:val="single" w:sz="4" w:space="0" w:color="auto"/>
              <w:bottom w:val="single" w:sz="4" w:space="0" w:color="auto"/>
              <w:right w:val="single" w:sz="4" w:space="0" w:color="auto"/>
            </w:tcBorders>
            <w:vAlign w:val="center"/>
          </w:tcPr>
          <w:p w14:paraId="4AA0C6D5" w14:textId="77777777" w:rsidR="00201041" w:rsidRPr="00375059" w:rsidRDefault="00201041" w:rsidP="00080B0F">
            <w:pPr>
              <w:spacing w:after="0" w:line="240" w:lineRule="auto"/>
              <w:ind w:left="-108"/>
              <w:jc w:val="right"/>
              <w:rPr>
                <w:rFonts w:ascii="Times New Roman" w:hAnsi="Times New Roman"/>
                <w:sz w:val="24"/>
                <w:szCs w:val="24"/>
              </w:rPr>
            </w:pPr>
            <w:r w:rsidRPr="00375059">
              <w:rPr>
                <w:rFonts w:ascii="Times New Roman" w:hAnsi="Times New Roman"/>
                <w:sz w:val="24"/>
                <w:szCs w:val="24"/>
              </w:rPr>
              <w:t>98,6</w:t>
            </w:r>
          </w:p>
        </w:tc>
      </w:tr>
      <w:bookmarkEnd w:id="47"/>
    </w:tbl>
    <w:p w14:paraId="2561CD1C" w14:textId="77777777" w:rsidR="00201041" w:rsidRPr="00375059" w:rsidRDefault="00201041" w:rsidP="00201041">
      <w:pPr>
        <w:spacing w:after="0" w:line="240" w:lineRule="auto"/>
        <w:ind w:firstLine="426"/>
        <w:jc w:val="both"/>
        <w:rPr>
          <w:rFonts w:ascii="Times New Roman" w:hAnsi="Times New Roman"/>
          <w:sz w:val="28"/>
          <w:szCs w:val="28"/>
        </w:rPr>
      </w:pPr>
    </w:p>
    <w:p w14:paraId="34067C65"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Денежная масса в иностранной валюте за 2021 год сократилась на 1,4% до 6 701,1 млн руб. В результате объём совокупного денежного предложения на 1 января 2022 года составил 11 193,3 млн руб., что выше уровня начала года на 7,1%. Коэффициент </w:t>
      </w:r>
      <w:proofErr w:type="spellStart"/>
      <w:r w:rsidRPr="00375059">
        <w:rPr>
          <w:rFonts w:ascii="Times New Roman" w:hAnsi="Times New Roman"/>
          <w:sz w:val="28"/>
          <w:szCs w:val="28"/>
        </w:rPr>
        <w:t>валютизации</w:t>
      </w:r>
      <w:proofErr w:type="spellEnd"/>
      <w:r w:rsidRPr="00375059">
        <w:rPr>
          <w:rFonts w:ascii="Times New Roman" w:hAnsi="Times New Roman"/>
          <w:sz w:val="28"/>
          <w:szCs w:val="28"/>
        </w:rPr>
        <w:t xml:space="preserve"> уменьшился до 59,9% (-5,1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w:t>
      </w:r>
    </w:p>
    <w:p w14:paraId="77DF04A2"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По итогам 2021 года размер денежной базы увеличился на 17,4%, сложившись в сумме 3 906,0 млн руб. Данный рост был в основном обусловлен увеличением остатков средств, размещённых на корреспондентских счетах кредитных организаций в Приднестровском республиканском банке, включая обязательные резервы и страховые фонды, на 33,8% до 2 033,4 млн руб. </w:t>
      </w:r>
    </w:p>
    <w:p w14:paraId="41C1A1CE"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Вследствие более активного расширения национальной денежной массы по сравнению с динамикой денежной базы, денежный мультипликатор на 1 января 2022 года составил 1,150 против 1,099 на начало 2021 года.</w:t>
      </w:r>
    </w:p>
    <w:p w14:paraId="3C69257E" w14:textId="77777777" w:rsidR="00201041" w:rsidRPr="00375059" w:rsidRDefault="00201041" w:rsidP="001463C8">
      <w:pPr>
        <w:spacing w:before="120" w:after="0" w:line="240" w:lineRule="auto"/>
        <w:ind w:firstLine="567"/>
        <w:jc w:val="both"/>
        <w:rPr>
          <w:rFonts w:ascii="Times New Roman" w:hAnsi="Times New Roman"/>
          <w:b/>
          <w:i/>
          <w:sz w:val="28"/>
          <w:szCs w:val="28"/>
        </w:rPr>
      </w:pPr>
      <w:r w:rsidRPr="00375059">
        <w:rPr>
          <w:rFonts w:ascii="Times New Roman" w:hAnsi="Times New Roman"/>
          <w:b/>
          <w:i/>
          <w:sz w:val="28"/>
          <w:szCs w:val="28"/>
        </w:rPr>
        <w:t>Валютная сфера</w:t>
      </w:r>
    </w:p>
    <w:p w14:paraId="28D01B75" w14:textId="77777777" w:rsidR="00201041" w:rsidRPr="00375059" w:rsidRDefault="00201041" w:rsidP="001463C8">
      <w:pPr>
        <w:spacing w:after="0" w:line="240" w:lineRule="auto"/>
        <w:ind w:firstLine="567"/>
        <w:jc w:val="both"/>
        <w:rPr>
          <w:rFonts w:ascii="Times New Roman" w:hAnsi="Times New Roman"/>
          <w:color w:val="000000"/>
          <w:sz w:val="28"/>
          <w:szCs w:val="28"/>
        </w:rPr>
      </w:pPr>
      <w:r w:rsidRPr="00375059">
        <w:rPr>
          <w:rFonts w:ascii="Times New Roman" w:hAnsi="Times New Roman"/>
          <w:color w:val="000000"/>
          <w:sz w:val="28"/>
          <w:szCs w:val="28"/>
        </w:rPr>
        <w:t>В 2021 году значение официального курса доллара США находилось на нижнем уровне целевого диапазона 16,1-16,5 руб. ПМР.</w:t>
      </w:r>
    </w:p>
    <w:p w14:paraId="52BA1252" w14:textId="77777777" w:rsidR="00201041" w:rsidRPr="00375059" w:rsidRDefault="00201041" w:rsidP="001463C8">
      <w:pPr>
        <w:spacing w:after="0" w:line="240" w:lineRule="auto"/>
        <w:ind w:firstLine="567"/>
        <w:jc w:val="both"/>
        <w:rPr>
          <w:rFonts w:ascii="Times New Roman" w:hAnsi="Times New Roman"/>
          <w:color w:val="000000"/>
          <w:sz w:val="28"/>
          <w:szCs w:val="28"/>
        </w:rPr>
      </w:pPr>
      <w:r w:rsidRPr="00375059">
        <w:rPr>
          <w:rFonts w:ascii="Times New Roman" w:hAnsi="Times New Roman"/>
          <w:color w:val="000000"/>
          <w:sz w:val="28"/>
          <w:szCs w:val="28"/>
        </w:rPr>
        <w:lastRenderedPageBreak/>
        <w:t>Ввиду усилившихся в конце 2021 года девальвационных процессов и рекордных уровней инфляционного давления в основных странах торговых партнёрах республики, реальный эффективный курс приднестровского рубля по итогам года укрепился на 1,2%.</w:t>
      </w:r>
    </w:p>
    <w:p w14:paraId="475DC42E"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Совокупная ёмкость наличного валютного рынка</w:t>
      </w:r>
      <w:r w:rsidRPr="00375059">
        <w:rPr>
          <w:rStyle w:val="a6"/>
          <w:rFonts w:ascii="Times New Roman" w:hAnsi="Times New Roman"/>
          <w:sz w:val="28"/>
          <w:szCs w:val="28"/>
        </w:rPr>
        <w:footnoteReference w:id="2"/>
      </w:r>
      <w:r w:rsidRPr="00375059">
        <w:rPr>
          <w:rFonts w:ascii="Times New Roman" w:hAnsi="Times New Roman"/>
          <w:sz w:val="28"/>
          <w:szCs w:val="28"/>
        </w:rPr>
        <w:t xml:space="preserve"> республики за 2021 год расширилась на 46,9% и сложилась в сумме 486,6 млн долл. При этом объём наличной иностранной валюты, реализованной клиентами, возрос на 44,1% и достиг 292,5 млн долл. Спрос увеличился на 51,3% до 194,1 млн долл. В итоге превышение предложения иностранной валюты над её спросом в наличном сегменте рынка зафиксировано на уровне 98,4 млн долл., что на 31,7% больше значения 2020 года.</w:t>
      </w:r>
    </w:p>
    <w:p w14:paraId="733C043B" w14:textId="77777777" w:rsidR="00201041" w:rsidRPr="00375059" w:rsidRDefault="00201041" w:rsidP="001463C8">
      <w:pPr>
        <w:widowControl w:val="0"/>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Оборот безналичного сегмента рынка иностранной валюты</w:t>
      </w:r>
      <w:r w:rsidRPr="00375059">
        <w:rPr>
          <w:rFonts w:ascii="Times New Roman" w:hAnsi="Times New Roman"/>
          <w:sz w:val="28"/>
          <w:szCs w:val="28"/>
          <w:vertAlign w:val="superscript"/>
        </w:rPr>
        <w:t>1</w:t>
      </w:r>
      <w:r w:rsidRPr="00375059">
        <w:rPr>
          <w:rFonts w:ascii="Times New Roman" w:hAnsi="Times New Roman"/>
          <w:sz w:val="28"/>
          <w:szCs w:val="28"/>
        </w:rPr>
        <w:t xml:space="preserve"> расширился на 33,3% до 1 702,9 млн долл. В том числе предложение увеличилось на 35,2% до 818,4 млн долл., спрос – на 31,6% до 884,5 млн долл. В результате безналичных </w:t>
      </w:r>
      <w:proofErr w:type="spellStart"/>
      <w:r w:rsidRPr="00375059">
        <w:rPr>
          <w:rFonts w:ascii="Times New Roman" w:hAnsi="Times New Roman"/>
          <w:sz w:val="28"/>
          <w:szCs w:val="28"/>
        </w:rPr>
        <w:t>валютообменных</w:t>
      </w:r>
      <w:proofErr w:type="spellEnd"/>
      <w:r w:rsidRPr="00375059">
        <w:rPr>
          <w:rFonts w:ascii="Times New Roman" w:hAnsi="Times New Roman"/>
          <w:sz w:val="28"/>
          <w:szCs w:val="28"/>
        </w:rPr>
        <w:t xml:space="preserve"> сделок за 2021 год сложился нетто-спрос клиентов на иностранную валюту в эквиваленте 66,1 млн долл. (-0,4% к уровню 2020 года). </w:t>
      </w:r>
    </w:p>
    <w:p w14:paraId="607B3E5F" w14:textId="77777777" w:rsidR="00201041" w:rsidRPr="00375059" w:rsidRDefault="00201041" w:rsidP="001463C8">
      <w:pPr>
        <w:widowControl w:val="0"/>
        <w:shd w:val="clear" w:color="auto" w:fill="FFFFFF"/>
        <w:spacing w:after="0" w:line="240" w:lineRule="auto"/>
        <w:ind w:firstLine="567"/>
        <w:jc w:val="both"/>
        <w:rPr>
          <w:rFonts w:ascii="Times New Roman" w:hAnsi="Times New Roman"/>
          <w:sz w:val="28"/>
          <w:szCs w:val="28"/>
        </w:rPr>
      </w:pPr>
      <w:r w:rsidRPr="00375059">
        <w:rPr>
          <w:rFonts w:ascii="Times New Roman" w:hAnsi="Times New Roman"/>
          <w:sz w:val="28"/>
          <w:szCs w:val="28"/>
        </w:rPr>
        <w:t>Таким образом, совокупное сальдо операций в наличном и безналичном сегментах рынка сформировалось как нетто-предложение валюты в эквиваленте 32,3 млн долл.</w:t>
      </w:r>
    </w:p>
    <w:p w14:paraId="7314B4ED" w14:textId="77777777" w:rsidR="00201041" w:rsidRPr="00375059" w:rsidRDefault="00201041" w:rsidP="001463C8">
      <w:pPr>
        <w:widowControl w:val="0"/>
        <w:shd w:val="clear" w:color="auto" w:fill="FFFFFF"/>
        <w:spacing w:after="0" w:line="240" w:lineRule="auto"/>
        <w:ind w:firstLine="567"/>
        <w:jc w:val="both"/>
        <w:rPr>
          <w:rFonts w:ascii="Times New Roman" w:hAnsi="Times New Roman"/>
          <w:b/>
          <w:i/>
          <w:sz w:val="28"/>
          <w:szCs w:val="28"/>
        </w:rPr>
      </w:pPr>
    </w:p>
    <w:p w14:paraId="7C6DCFF2" w14:textId="77777777" w:rsidR="00201041" w:rsidRPr="00375059" w:rsidRDefault="00201041" w:rsidP="001463C8">
      <w:pPr>
        <w:widowControl w:val="0"/>
        <w:shd w:val="clear" w:color="auto" w:fill="FFFFFF"/>
        <w:spacing w:after="0" w:line="240" w:lineRule="auto"/>
        <w:ind w:firstLine="567"/>
        <w:jc w:val="both"/>
        <w:rPr>
          <w:rFonts w:ascii="Times New Roman" w:hAnsi="Times New Roman"/>
          <w:b/>
          <w:i/>
          <w:sz w:val="28"/>
          <w:szCs w:val="28"/>
        </w:rPr>
      </w:pPr>
      <w:r w:rsidRPr="00375059">
        <w:rPr>
          <w:rFonts w:ascii="Times New Roman" w:hAnsi="Times New Roman"/>
          <w:b/>
          <w:i/>
          <w:sz w:val="28"/>
          <w:szCs w:val="28"/>
        </w:rPr>
        <w:t xml:space="preserve">Кредитная деятельность Приднестровского республиканского банка </w:t>
      </w:r>
    </w:p>
    <w:p w14:paraId="1BCF6DD4"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2021 году Приднестровский республиканский банк не осуществлял выдачу межбанковских кредитов ввиду отсутствия спроса на ликвидность у коммерческих банков. По состоянию на 1 января 2022 года задолженность банков по кредитам перед Приднестровским республиканским банком отсутствует.</w:t>
      </w:r>
    </w:p>
    <w:p w14:paraId="7FB51BAE" w14:textId="77777777" w:rsidR="00201041" w:rsidRPr="00375059" w:rsidRDefault="00201041" w:rsidP="001463C8">
      <w:pPr>
        <w:spacing w:after="0" w:line="240" w:lineRule="auto"/>
        <w:ind w:firstLine="567"/>
        <w:jc w:val="both"/>
        <w:rPr>
          <w:rFonts w:ascii="Times New Roman" w:hAnsi="Times New Roman"/>
          <w:b/>
          <w:sz w:val="28"/>
          <w:szCs w:val="28"/>
        </w:rPr>
      </w:pPr>
      <w:r w:rsidRPr="00375059">
        <w:rPr>
          <w:rFonts w:ascii="Times New Roman" w:hAnsi="Times New Roman"/>
          <w:sz w:val="28"/>
          <w:szCs w:val="28"/>
        </w:rPr>
        <w:t>Задолженность государства перед Приднестровским республиканским банком по кредитам не изменилась и по состоянию на 1 января 2022 года составляет 36,5 млн руб.</w:t>
      </w:r>
    </w:p>
    <w:p w14:paraId="61F3CEDB" w14:textId="7B9AE5A3" w:rsidR="00201041" w:rsidRPr="00375059" w:rsidRDefault="00201041" w:rsidP="001463C8">
      <w:pPr>
        <w:widowControl w:val="0"/>
        <w:spacing w:after="0" w:line="240" w:lineRule="auto"/>
        <w:ind w:firstLine="567"/>
        <w:jc w:val="both"/>
        <w:rPr>
          <w:rFonts w:ascii="Times New Roman" w:hAnsi="Times New Roman"/>
          <w:sz w:val="28"/>
          <w:szCs w:val="28"/>
        </w:rPr>
      </w:pPr>
      <w:bookmarkStart w:id="48" w:name="OLE_LINK11"/>
      <w:bookmarkStart w:id="49" w:name="OLE_LINK12"/>
      <w:r w:rsidRPr="00375059">
        <w:rPr>
          <w:rFonts w:ascii="Times New Roman" w:hAnsi="Times New Roman"/>
          <w:sz w:val="28"/>
          <w:szCs w:val="28"/>
        </w:rPr>
        <w:t>В отчётном периоде Приднестровский республиканский банк не осуществлял операции с ценными бумагами. По состоянию на 1</w:t>
      </w:r>
      <w:r w:rsidR="000801C5">
        <w:rPr>
          <w:rFonts w:ascii="Times New Roman" w:hAnsi="Times New Roman"/>
          <w:sz w:val="28"/>
          <w:szCs w:val="28"/>
        </w:rPr>
        <w:t> </w:t>
      </w:r>
      <w:r w:rsidRPr="00375059">
        <w:rPr>
          <w:rFonts w:ascii="Times New Roman" w:hAnsi="Times New Roman"/>
          <w:sz w:val="28"/>
          <w:szCs w:val="28"/>
        </w:rPr>
        <w:t>января</w:t>
      </w:r>
      <w:r w:rsidR="000801C5">
        <w:rPr>
          <w:rFonts w:ascii="Times New Roman" w:hAnsi="Times New Roman"/>
          <w:sz w:val="28"/>
          <w:szCs w:val="28"/>
        </w:rPr>
        <w:t> </w:t>
      </w:r>
      <w:r w:rsidRPr="00375059">
        <w:rPr>
          <w:rFonts w:ascii="Times New Roman" w:hAnsi="Times New Roman"/>
          <w:sz w:val="28"/>
          <w:szCs w:val="28"/>
        </w:rPr>
        <w:t>2022</w:t>
      </w:r>
      <w:r w:rsidR="000801C5">
        <w:rPr>
          <w:rFonts w:ascii="Times New Roman" w:hAnsi="Times New Roman"/>
          <w:sz w:val="28"/>
          <w:szCs w:val="28"/>
        </w:rPr>
        <w:t> </w:t>
      </w:r>
      <w:r w:rsidRPr="00375059">
        <w:rPr>
          <w:rFonts w:ascii="Times New Roman" w:hAnsi="Times New Roman"/>
          <w:sz w:val="28"/>
          <w:szCs w:val="28"/>
        </w:rPr>
        <w:t>года в портфеле центрального банка находятся долгосрочные государственные облигации на общую сумму 2 174,1 млн руб., учитываемые по цене приобретения.</w:t>
      </w:r>
    </w:p>
    <w:p w14:paraId="61539015" w14:textId="77777777" w:rsidR="00201041" w:rsidRPr="00375059" w:rsidRDefault="00201041" w:rsidP="001463C8">
      <w:pPr>
        <w:widowControl w:val="0"/>
        <w:spacing w:after="0" w:line="240" w:lineRule="auto"/>
        <w:ind w:firstLine="567"/>
        <w:jc w:val="both"/>
        <w:rPr>
          <w:rFonts w:ascii="Times New Roman" w:hAnsi="Times New Roman"/>
          <w:sz w:val="28"/>
          <w:szCs w:val="28"/>
        </w:rPr>
      </w:pPr>
    </w:p>
    <w:p w14:paraId="38DD8A81" w14:textId="77777777" w:rsidR="00CC680C" w:rsidRDefault="00201041" w:rsidP="00CC680C">
      <w:pPr>
        <w:widowControl w:val="0"/>
        <w:spacing w:after="0" w:line="240" w:lineRule="auto"/>
        <w:ind w:firstLine="567"/>
        <w:jc w:val="both"/>
        <w:rPr>
          <w:rFonts w:ascii="Times New Roman" w:hAnsi="Times New Roman"/>
          <w:b/>
          <w:i/>
          <w:sz w:val="28"/>
          <w:szCs w:val="28"/>
        </w:rPr>
      </w:pPr>
      <w:r w:rsidRPr="00375059">
        <w:rPr>
          <w:rFonts w:ascii="Times New Roman" w:hAnsi="Times New Roman"/>
          <w:b/>
          <w:i/>
          <w:sz w:val="28"/>
          <w:szCs w:val="28"/>
        </w:rPr>
        <w:t>Кредитование экономики коммерческими банками</w:t>
      </w:r>
      <w:bookmarkEnd w:id="48"/>
      <w:bookmarkEnd w:id="49"/>
    </w:p>
    <w:p w14:paraId="5DF08687" w14:textId="7888F2F5" w:rsidR="00201041" w:rsidRPr="00375059" w:rsidRDefault="00201041" w:rsidP="00CC680C">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На кредитование нефинансового сектора экономики</w:t>
      </w:r>
      <w:r w:rsidRPr="00375059">
        <w:rPr>
          <w:rStyle w:val="a6"/>
          <w:rFonts w:ascii="Times New Roman" w:hAnsi="Times New Roman"/>
          <w:sz w:val="28"/>
          <w:szCs w:val="28"/>
        </w:rPr>
        <w:footnoteReference w:id="3"/>
      </w:r>
      <w:r w:rsidRPr="00375059">
        <w:rPr>
          <w:rFonts w:ascii="Times New Roman" w:hAnsi="Times New Roman"/>
          <w:sz w:val="28"/>
          <w:szCs w:val="28"/>
        </w:rPr>
        <w:t xml:space="preserve"> по итогам 2021 года коммерческими банками было направлено 35,5% суммарных ресурсов </w:t>
      </w:r>
      <w:r w:rsidRPr="00375059">
        <w:rPr>
          <w:rFonts w:ascii="Times New Roman" w:hAnsi="Times New Roman"/>
          <w:sz w:val="28"/>
          <w:szCs w:val="28"/>
        </w:rPr>
        <w:br/>
      </w:r>
      <w:r w:rsidRPr="00375059">
        <w:rPr>
          <w:rFonts w:ascii="Times New Roman" w:hAnsi="Times New Roman"/>
          <w:sz w:val="28"/>
          <w:szCs w:val="28"/>
        </w:rPr>
        <w:lastRenderedPageBreak/>
        <w:t>(- 0,1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или 4 139,8 млн руб., что на 4,2% больше уровня на начало отчётного года. (табл.</w:t>
      </w:r>
      <w:r w:rsidR="00E16DD0" w:rsidRPr="00375059">
        <w:rPr>
          <w:rFonts w:ascii="Times New Roman" w:hAnsi="Times New Roman"/>
          <w:sz w:val="28"/>
          <w:szCs w:val="28"/>
        </w:rPr>
        <w:t>11</w:t>
      </w:r>
      <w:r w:rsidRPr="00375059">
        <w:rPr>
          <w:rFonts w:ascii="Times New Roman" w:hAnsi="Times New Roman"/>
          <w:sz w:val="28"/>
          <w:szCs w:val="28"/>
        </w:rPr>
        <w:t>).</w:t>
      </w:r>
    </w:p>
    <w:p w14:paraId="6F65DA55"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Задолженность по кредитам предприятий и организаций реального сектора увеличилась на 5,5% и на 1 января 2022 года составила 3 023,4 млн руб., или 73,0% обязательств субъектов нефинансового сектора (+0,9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xml:space="preserve">.). Степень </w:t>
      </w:r>
      <w:proofErr w:type="spellStart"/>
      <w:r w:rsidRPr="00375059">
        <w:rPr>
          <w:rFonts w:ascii="Times New Roman" w:hAnsi="Times New Roman"/>
          <w:sz w:val="28"/>
          <w:szCs w:val="28"/>
        </w:rPr>
        <w:t>валютизации</w:t>
      </w:r>
      <w:proofErr w:type="spellEnd"/>
      <w:r w:rsidRPr="00375059">
        <w:rPr>
          <w:rFonts w:ascii="Times New Roman" w:hAnsi="Times New Roman"/>
          <w:sz w:val="28"/>
          <w:szCs w:val="28"/>
        </w:rPr>
        <w:t xml:space="preserve"> корпоративных кредитов сложилась на уровне 87,6% </w:t>
      </w:r>
      <w:r w:rsidRPr="00375059">
        <w:rPr>
          <w:rFonts w:ascii="Times New Roman" w:hAnsi="Times New Roman"/>
          <w:sz w:val="28"/>
          <w:szCs w:val="28"/>
        </w:rPr>
        <w:br/>
        <w:t xml:space="preserve">(-1,3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xml:space="preserve">.). </w:t>
      </w:r>
    </w:p>
    <w:p w14:paraId="3175E14C" w14:textId="77777777" w:rsidR="00201041" w:rsidRPr="00375059" w:rsidRDefault="00201041" w:rsidP="001463C8">
      <w:pPr>
        <w:widowControl w:val="0"/>
        <w:spacing w:after="0" w:line="240" w:lineRule="auto"/>
        <w:ind w:firstLine="567"/>
        <w:jc w:val="both"/>
        <w:rPr>
          <w:rFonts w:ascii="Times New Roman" w:hAnsi="Times New Roman"/>
          <w:bCs/>
          <w:color w:val="000000"/>
          <w:sz w:val="28"/>
          <w:szCs w:val="28"/>
          <w:lang w:bidi="ru-RU"/>
        </w:rPr>
      </w:pPr>
      <w:r w:rsidRPr="00375059">
        <w:rPr>
          <w:rFonts w:ascii="Times New Roman" w:hAnsi="Times New Roman"/>
          <w:sz w:val="28"/>
          <w:szCs w:val="28"/>
        </w:rPr>
        <w:t>В результате, на 1 рубль ссуд, номинированных в приднестровских рублях, приходилось 7,04 рубля кредитов, выданных в иностранной валюте,</w:t>
      </w:r>
      <w:r w:rsidRPr="00375059">
        <w:rPr>
          <w:rFonts w:ascii="Times New Roman" w:hAnsi="Times New Roman"/>
          <w:bCs/>
          <w:color w:val="000000"/>
          <w:sz w:val="28"/>
          <w:szCs w:val="28"/>
          <w:lang w:bidi="ru-RU"/>
        </w:rPr>
        <w:t xml:space="preserve"> тогда как на начало отчетного периода это соотношение составляло 1 рубль к 8,03 рубля соответственно.</w:t>
      </w:r>
    </w:p>
    <w:p w14:paraId="2EBA0123" w14:textId="30CC4D75" w:rsidR="00E16DD0" w:rsidRDefault="00201041" w:rsidP="001463C8">
      <w:pPr>
        <w:widowControl w:val="0"/>
        <w:autoSpaceDE w:val="0"/>
        <w:autoSpaceDN w:val="0"/>
        <w:adjustRightInd w:val="0"/>
        <w:spacing w:after="0" w:line="240" w:lineRule="auto"/>
        <w:ind w:left="34" w:firstLine="567"/>
        <w:jc w:val="both"/>
        <w:rPr>
          <w:rFonts w:ascii="Times New Roman" w:hAnsi="Times New Roman"/>
          <w:sz w:val="28"/>
          <w:szCs w:val="28"/>
        </w:rPr>
      </w:pPr>
      <w:r w:rsidRPr="00375059">
        <w:rPr>
          <w:rFonts w:ascii="Times New Roman" w:hAnsi="Times New Roman"/>
          <w:sz w:val="28"/>
          <w:szCs w:val="28"/>
        </w:rPr>
        <w:t>Наибольшую долю в кредитном портфеле юридических лиц заняли кредиты, предоставленные на срок свыше 3-х лет, – 56,0%, или 1 693,1 млн руб.</w:t>
      </w:r>
      <w:r w:rsidR="008A0869">
        <w:rPr>
          <w:rFonts w:ascii="Times New Roman" w:hAnsi="Times New Roman"/>
          <w:sz w:val="28"/>
          <w:szCs w:val="28"/>
        </w:rPr>
        <w:t xml:space="preserve"> В то же время наибольшими темпами прироста характеризовались краткосрочные ссуды – в 2,8 раз до 231,4 млн руб.</w:t>
      </w:r>
    </w:p>
    <w:p w14:paraId="4401895A" w14:textId="3D6A0197" w:rsidR="00201041" w:rsidRPr="00375059" w:rsidRDefault="00201041" w:rsidP="00E16DD0">
      <w:pPr>
        <w:widowControl w:val="0"/>
        <w:autoSpaceDE w:val="0"/>
        <w:autoSpaceDN w:val="0"/>
        <w:adjustRightInd w:val="0"/>
        <w:spacing w:after="0" w:line="240" w:lineRule="auto"/>
        <w:ind w:left="34" w:firstLine="567"/>
        <w:jc w:val="right"/>
        <w:rPr>
          <w:rFonts w:ascii="Times New Roman" w:hAnsi="Times New Roman"/>
          <w:b/>
          <w:bCs/>
          <w:i/>
          <w:sz w:val="28"/>
          <w:szCs w:val="28"/>
        </w:rPr>
      </w:pPr>
      <w:r w:rsidRPr="00375059">
        <w:rPr>
          <w:rFonts w:ascii="Times New Roman" w:hAnsi="Times New Roman"/>
          <w:b/>
          <w:bCs/>
          <w:i/>
          <w:sz w:val="28"/>
          <w:szCs w:val="28"/>
        </w:rPr>
        <w:t xml:space="preserve">Таблица </w:t>
      </w:r>
      <w:r w:rsidR="00E16DD0" w:rsidRPr="00375059">
        <w:rPr>
          <w:rFonts w:ascii="Times New Roman" w:hAnsi="Times New Roman"/>
          <w:b/>
          <w:bCs/>
          <w:i/>
          <w:sz w:val="28"/>
          <w:szCs w:val="28"/>
        </w:rPr>
        <w:t>11</w:t>
      </w:r>
    </w:p>
    <w:p w14:paraId="09FF1398" w14:textId="77777777" w:rsidR="00201041" w:rsidRPr="00375059" w:rsidRDefault="00201041" w:rsidP="00201041">
      <w:pPr>
        <w:widowControl w:val="0"/>
        <w:spacing w:after="0" w:line="240" w:lineRule="auto"/>
        <w:ind w:firstLine="426"/>
        <w:jc w:val="center"/>
        <w:rPr>
          <w:rFonts w:ascii="Times New Roman" w:hAnsi="Times New Roman"/>
          <w:b/>
          <w:sz w:val="28"/>
          <w:szCs w:val="28"/>
        </w:rPr>
      </w:pPr>
      <w:r w:rsidRPr="00375059">
        <w:rPr>
          <w:rFonts w:ascii="Times New Roman" w:hAnsi="Times New Roman"/>
          <w:b/>
          <w:sz w:val="28"/>
          <w:szCs w:val="28"/>
        </w:rPr>
        <w:t>Динамика задолженности по кредитам реального сектора</w:t>
      </w:r>
    </w:p>
    <w:tbl>
      <w:tblPr>
        <w:tblStyle w:val="-13"/>
        <w:tblW w:w="9351" w:type="dxa"/>
        <w:tblLayout w:type="fixed"/>
        <w:tblLook w:val="0000" w:firstRow="0" w:lastRow="0" w:firstColumn="0" w:lastColumn="0" w:noHBand="0" w:noVBand="0"/>
      </w:tblPr>
      <w:tblGrid>
        <w:gridCol w:w="3964"/>
        <w:gridCol w:w="1134"/>
        <w:gridCol w:w="1134"/>
        <w:gridCol w:w="1134"/>
        <w:gridCol w:w="1134"/>
        <w:gridCol w:w="851"/>
      </w:tblGrid>
      <w:tr w:rsidR="00201041" w:rsidRPr="00375059" w14:paraId="09E366F7" w14:textId="77777777" w:rsidTr="008E362D">
        <w:trPr>
          <w:trHeight w:val="20"/>
        </w:trPr>
        <w:tc>
          <w:tcPr>
            <w:tcW w:w="396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9F7627"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Показатель</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847808" w14:textId="53F6C466"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на 1 января</w:t>
            </w:r>
          </w:p>
          <w:p w14:paraId="15FD97C9"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2021 года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B4BB6F"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на 1 января</w:t>
            </w:r>
          </w:p>
          <w:p w14:paraId="7C875AC0"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2022 года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5F1CE0" w14:textId="59B01A88" w:rsidR="00201041" w:rsidRPr="00375059" w:rsidRDefault="00E16DD0" w:rsidP="008E362D">
            <w:pPr>
              <w:spacing w:after="0" w:line="240" w:lineRule="auto"/>
              <w:jc w:val="center"/>
              <w:rPr>
                <w:rFonts w:ascii="Times New Roman" w:hAnsi="Times New Roman"/>
                <w:b/>
                <w:sz w:val="24"/>
                <w:szCs w:val="24"/>
              </w:rPr>
            </w:pPr>
            <w:r w:rsidRPr="00375059">
              <w:rPr>
                <w:rFonts w:ascii="Times New Roman" w:eastAsia="Calibri" w:hAnsi="Times New Roman"/>
                <w:b/>
                <w:sz w:val="24"/>
                <w:szCs w:val="24"/>
              </w:rPr>
              <w:t>темп роста к 2020 году, %</w:t>
            </w:r>
          </w:p>
        </w:tc>
      </w:tr>
      <w:tr w:rsidR="00201041" w:rsidRPr="00375059" w14:paraId="02F762D0" w14:textId="77777777" w:rsidTr="008E362D">
        <w:trPr>
          <w:trHeight w:val="20"/>
        </w:trPr>
        <w:tc>
          <w:tcPr>
            <w:tcW w:w="396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1BDEF" w14:textId="77777777" w:rsidR="00201041" w:rsidRPr="00375059" w:rsidRDefault="00201041" w:rsidP="008E362D">
            <w:pPr>
              <w:spacing w:after="0" w:line="240" w:lineRule="auto"/>
              <w:jc w:val="cente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108079"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D652B"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уд. вес,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EF9D6"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37111"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уд. вес, %</w:t>
            </w: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956959" w14:textId="77777777" w:rsidR="00201041" w:rsidRPr="00375059" w:rsidRDefault="00201041" w:rsidP="008E362D">
            <w:pPr>
              <w:spacing w:after="0" w:line="240" w:lineRule="auto"/>
              <w:rPr>
                <w:rFonts w:ascii="Times New Roman" w:hAnsi="Times New Roman"/>
                <w:sz w:val="24"/>
                <w:szCs w:val="24"/>
              </w:rPr>
            </w:pPr>
          </w:p>
        </w:tc>
      </w:tr>
      <w:tr w:rsidR="00201041" w:rsidRPr="00375059" w14:paraId="5D89F44D" w14:textId="77777777" w:rsidTr="008E362D">
        <w:trPr>
          <w:trHeight w:val="60"/>
        </w:trPr>
        <w:tc>
          <w:tcPr>
            <w:tcW w:w="3964" w:type="dxa"/>
            <w:tcBorders>
              <w:top w:val="single" w:sz="4" w:space="0" w:color="auto"/>
              <w:left w:val="single" w:sz="4" w:space="0" w:color="auto"/>
              <w:bottom w:val="single" w:sz="4" w:space="0" w:color="auto"/>
              <w:right w:val="single" w:sz="4" w:space="0" w:color="auto"/>
            </w:tcBorders>
          </w:tcPr>
          <w:p w14:paraId="6796731E"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 xml:space="preserve">Задолженность по кредитам, всего </w:t>
            </w:r>
          </w:p>
        </w:tc>
        <w:tc>
          <w:tcPr>
            <w:tcW w:w="1134" w:type="dxa"/>
            <w:tcBorders>
              <w:top w:val="single" w:sz="4" w:space="0" w:color="auto"/>
              <w:left w:val="single" w:sz="4" w:space="0" w:color="auto"/>
              <w:bottom w:val="single" w:sz="4" w:space="0" w:color="auto"/>
              <w:right w:val="single" w:sz="4" w:space="0" w:color="auto"/>
            </w:tcBorders>
            <w:vAlign w:val="center"/>
          </w:tcPr>
          <w:p w14:paraId="11CB3087"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2 866,8</w:t>
            </w:r>
          </w:p>
        </w:tc>
        <w:tc>
          <w:tcPr>
            <w:tcW w:w="1134" w:type="dxa"/>
            <w:tcBorders>
              <w:top w:val="single" w:sz="4" w:space="0" w:color="auto"/>
              <w:left w:val="single" w:sz="4" w:space="0" w:color="auto"/>
              <w:bottom w:val="single" w:sz="4" w:space="0" w:color="auto"/>
              <w:right w:val="single" w:sz="4" w:space="0" w:color="auto"/>
            </w:tcBorders>
            <w:vAlign w:val="center"/>
          </w:tcPr>
          <w:p w14:paraId="3B11615E"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14:paraId="24D12113"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3 023,4</w:t>
            </w:r>
          </w:p>
        </w:tc>
        <w:tc>
          <w:tcPr>
            <w:tcW w:w="1134" w:type="dxa"/>
            <w:tcBorders>
              <w:top w:val="single" w:sz="4" w:space="0" w:color="auto"/>
              <w:left w:val="single" w:sz="4" w:space="0" w:color="auto"/>
              <w:bottom w:val="single" w:sz="4" w:space="0" w:color="auto"/>
              <w:right w:val="single" w:sz="4" w:space="0" w:color="auto"/>
            </w:tcBorders>
            <w:vAlign w:val="center"/>
          </w:tcPr>
          <w:p w14:paraId="05EEAC26"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vAlign w:val="center"/>
          </w:tcPr>
          <w:p w14:paraId="304EE3E7"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105,5</w:t>
            </w:r>
          </w:p>
        </w:tc>
      </w:tr>
      <w:tr w:rsidR="00201041" w:rsidRPr="00375059" w14:paraId="3C769DA1" w14:textId="77777777" w:rsidTr="008E362D">
        <w:trPr>
          <w:trHeight w:val="20"/>
        </w:trPr>
        <w:tc>
          <w:tcPr>
            <w:tcW w:w="3964" w:type="dxa"/>
            <w:tcBorders>
              <w:top w:val="single" w:sz="4" w:space="0" w:color="auto"/>
              <w:left w:val="single" w:sz="4" w:space="0" w:color="auto"/>
              <w:bottom w:val="single" w:sz="4" w:space="0" w:color="auto"/>
              <w:right w:val="single" w:sz="4" w:space="0" w:color="auto"/>
            </w:tcBorders>
          </w:tcPr>
          <w:p w14:paraId="106E1095"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в том числе (по отраслям):</w:t>
            </w:r>
          </w:p>
        </w:tc>
        <w:tc>
          <w:tcPr>
            <w:tcW w:w="1134" w:type="dxa"/>
            <w:tcBorders>
              <w:top w:val="single" w:sz="4" w:space="0" w:color="auto"/>
              <w:left w:val="single" w:sz="4" w:space="0" w:color="auto"/>
              <w:bottom w:val="nil"/>
              <w:right w:val="single" w:sz="4" w:space="0" w:color="auto"/>
            </w:tcBorders>
            <w:vAlign w:val="center"/>
          </w:tcPr>
          <w:p w14:paraId="697ED91A" w14:textId="77777777" w:rsidR="00201041" w:rsidRPr="00375059" w:rsidRDefault="00201041" w:rsidP="008E362D">
            <w:pPr>
              <w:spacing w:after="0" w:line="240" w:lineRule="auto"/>
              <w:jc w:val="right"/>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vAlign w:val="center"/>
          </w:tcPr>
          <w:p w14:paraId="425BA465" w14:textId="77777777" w:rsidR="00201041" w:rsidRPr="00375059" w:rsidRDefault="00201041" w:rsidP="008E362D">
            <w:pPr>
              <w:spacing w:after="0" w:line="240" w:lineRule="auto"/>
              <w:jc w:val="right"/>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vAlign w:val="center"/>
          </w:tcPr>
          <w:p w14:paraId="50BE8A63" w14:textId="77777777" w:rsidR="00201041" w:rsidRPr="00375059" w:rsidRDefault="00201041" w:rsidP="008E362D">
            <w:pPr>
              <w:spacing w:after="0" w:line="240" w:lineRule="auto"/>
              <w:jc w:val="right"/>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vAlign w:val="center"/>
          </w:tcPr>
          <w:p w14:paraId="38CFCDAF" w14:textId="77777777" w:rsidR="00201041" w:rsidRPr="00375059" w:rsidRDefault="00201041" w:rsidP="008E362D">
            <w:pPr>
              <w:spacing w:after="0" w:line="240" w:lineRule="auto"/>
              <w:jc w:val="right"/>
              <w:rPr>
                <w:rFonts w:ascii="Times New Roman" w:hAnsi="Times New Roman"/>
                <w:sz w:val="24"/>
                <w:szCs w:val="24"/>
              </w:rPr>
            </w:pPr>
          </w:p>
        </w:tc>
        <w:tc>
          <w:tcPr>
            <w:tcW w:w="851" w:type="dxa"/>
            <w:tcBorders>
              <w:top w:val="single" w:sz="4" w:space="0" w:color="auto"/>
              <w:left w:val="single" w:sz="4" w:space="0" w:color="auto"/>
              <w:bottom w:val="nil"/>
              <w:right w:val="single" w:sz="4" w:space="0" w:color="auto"/>
            </w:tcBorders>
            <w:vAlign w:val="center"/>
          </w:tcPr>
          <w:p w14:paraId="171284A0" w14:textId="77777777" w:rsidR="00201041" w:rsidRPr="00375059" w:rsidRDefault="00201041" w:rsidP="008E362D">
            <w:pPr>
              <w:spacing w:after="0" w:line="240" w:lineRule="auto"/>
              <w:jc w:val="right"/>
              <w:rPr>
                <w:rFonts w:ascii="Times New Roman" w:hAnsi="Times New Roman"/>
                <w:sz w:val="24"/>
                <w:szCs w:val="24"/>
              </w:rPr>
            </w:pPr>
          </w:p>
        </w:tc>
      </w:tr>
      <w:tr w:rsidR="00201041" w:rsidRPr="00375059" w14:paraId="34D7FBE6" w14:textId="77777777" w:rsidTr="008E362D">
        <w:trPr>
          <w:trHeight w:val="20"/>
        </w:trPr>
        <w:tc>
          <w:tcPr>
            <w:tcW w:w="3964" w:type="dxa"/>
            <w:tcBorders>
              <w:top w:val="single" w:sz="4" w:space="0" w:color="auto"/>
              <w:left w:val="single" w:sz="4" w:space="0" w:color="auto"/>
              <w:bottom w:val="single" w:sz="4" w:space="0" w:color="auto"/>
              <w:right w:val="single" w:sz="4" w:space="0" w:color="auto"/>
            </w:tcBorders>
          </w:tcPr>
          <w:p w14:paraId="2D8A0979"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 промышленность</w:t>
            </w:r>
          </w:p>
        </w:tc>
        <w:tc>
          <w:tcPr>
            <w:tcW w:w="1134" w:type="dxa"/>
            <w:tcBorders>
              <w:top w:val="nil"/>
              <w:left w:val="single" w:sz="4" w:space="0" w:color="auto"/>
              <w:bottom w:val="single" w:sz="4" w:space="0" w:color="auto"/>
              <w:right w:val="single" w:sz="4" w:space="0" w:color="auto"/>
            </w:tcBorders>
            <w:vAlign w:val="center"/>
          </w:tcPr>
          <w:p w14:paraId="239A3496"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891,0</w:t>
            </w:r>
          </w:p>
        </w:tc>
        <w:tc>
          <w:tcPr>
            <w:tcW w:w="1134" w:type="dxa"/>
            <w:tcBorders>
              <w:top w:val="nil"/>
              <w:left w:val="single" w:sz="4" w:space="0" w:color="auto"/>
              <w:bottom w:val="single" w:sz="4" w:space="0" w:color="auto"/>
              <w:right w:val="single" w:sz="4" w:space="0" w:color="auto"/>
            </w:tcBorders>
            <w:vAlign w:val="center"/>
          </w:tcPr>
          <w:p w14:paraId="6DE018DC"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31,1</w:t>
            </w:r>
          </w:p>
        </w:tc>
        <w:tc>
          <w:tcPr>
            <w:tcW w:w="1134" w:type="dxa"/>
            <w:tcBorders>
              <w:top w:val="nil"/>
              <w:left w:val="single" w:sz="4" w:space="0" w:color="auto"/>
              <w:bottom w:val="single" w:sz="4" w:space="0" w:color="auto"/>
              <w:right w:val="single" w:sz="4" w:space="0" w:color="auto"/>
            </w:tcBorders>
            <w:vAlign w:val="center"/>
          </w:tcPr>
          <w:p w14:paraId="49269CDE"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549,4</w:t>
            </w:r>
          </w:p>
        </w:tc>
        <w:tc>
          <w:tcPr>
            <w:tcW w:w="1134" w:type="dxa"/>
            <w:tcBorders>
              <w:top w:val="nil"/>
              <w:left w:val="single" w:sz="4" w:space="0" w:color="auto"/>
              <w:bottom w:val="single" w:sz="4" w:space="0" w:color="auto"/>
              <w:right w:val="single" w:sz="4" w:space="0" w:color="auto"/>
            </w:tcBorders>
            <w:vAlign w:val="center"/>
          </w:tcPr>
          <w:p w14:paraId="695CCEAE"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18,2</w:t>
            </w:r>
          </w:p>
        </w:tc>
        <w:tc>
          <w:tcPr>
            <w:tcW w:w="851" w:type="dxa"/>
            <w:tcBorders>
              <w:top w:val="nil"/>
              <w:left w:val="single" w:sz="4" w:space="0" w:color="auto"/>
              <w:bottom w:val="single" w:sz="4" w:space="0" w:color="auto"/>
              <w:right w:val="single" w:sz="4" w:space="0" w:color="auto"/>
            </w:tcBorders>
            <w:vAlign w:val="center"/>
          </w:tcPr>
          <w:p w14:paraId="2871E7D7"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61,7</w:t>
            </w:r>
          </w:p>
        </w:tc>
      </w:tr>
      <w:tr w:rsidR="00201041" w:rsidRPr="00375059" w14:paraId="76DB2655" w14:textId="77777777" w:rsidTr="008E362D">
        <w:trPr>
          <w:trHeight w:val="20"/>
        </w:trPr>
        <w:tc>
          <w:tcPr>
            <w:tcW w:w="3964" w:type="dxa"/>
            <w:tcBorders>
              <w:top w:val="single" w:sz="4" w:space="0" w:color="auto"/>
              <w:left w:val="single" w:sz="4" w:space="0" w:color="auto"/>
              <w:bottom w:val="single" w:sz="4" w:space="0" w:color="auto"/>
              <w:right w:val="single" w:sz="4" w:space="0" w:color="auto"/>
            </w:tcBorders>
          </w:tcPr>
          <w:p w14:paraId="5CE76365"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 агропромышленный комплекс</w:t>
            </w:r>
          </w:p>
        </w:tc>
        <w:tc>
          <w:tcPr>
            <w:tcW w:w="1134" w:type="dxa"/>
            <w:tcBorders>
              <w:top w:val="single" w:sz="4" w:space="0" w:color="auto"/>
              <w:left w:val="single" w:sz="4" w:space="0" w:color="auto"/>
              <w:bottom w:val="single" w:sz="4" w:space="0" w:color="auto"/>
              <w:right w:val="single" w:sz="4" w:space="0" w:color="auto"/>
            </w:tcBorders>
            <w:vAlign w:val="center"/>
          </w:tcPr>
          <w:p w14:paraId="33DD066A"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998,5</w:t>
            </w:r>
          </w:p>
        </w:tc>
        <w:tc>
          <w:tcPr>
            <w:tcW w:w="1134" w:type="dxa"/>
            <w:tcBorders>
              <w:top w:val="single" w:sz="4" w:space="0" w:color="auto"/>
              <w:left w:val="single" w:sz="4" w:space="0" w:color="auto"/>
              <w:bottom w:val="single" w:sz="4" w:space="0" w:color="auto"/>
              <w:right w:val="single" w:sz="4" w:space="0" w:color="auto"/>
            </w:tcBorders>
            <w:vAlign w:val="center"/>
          </w:tcPr>
          <w:p w14:paraId="414BD97D"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34,8</w:t>
            </w:r>
          </w:p>
        </w:tc>
        <w:tc>
          <w:tcPr>
            <w:tcW w:w="1134" w:type="dxa"/>
            <w:tcBorders>
              <w:top w:val="single" w:sz="4" w:space="0" w:color="auto"/>
              <w:left w:val="single" w:sz="4" w:space="0" w:color="auto"/>
              <w:bottom w:val="single" w:sz="4" w:space="0" w:color="auto"/>
              <w:right w:val="single" w:sz="4" w:space="0" w:color="auto"/>
            </w:tcBorders>
            <w:vAlign w:val="center"/>
          </w:tcPr>
          <w:p w14:paraId="15E3671B"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1 147,5</w:t>
            </w:r>
          </w:p>
        </w:tc>
        <w:tc>
          <w:tcPr>
            <w:tcW w:w="1134" w:type="dxa"/>
            <w:tcBorders>
              <w:top w:val="single" w:sz="4" w:space="0" w:color="auto"/>
              <w:left w:val="single" w:sz="4" w:space="0" w:color="auto"/>
              <w:bottom w:val="single" w:sz="4" w:space="0" w:color="auto"/>
              <w:right w:val="single" w:sz="4" w:space="0" w:color="auto"/>
            </w:tcBorders>
            <w:vAlign w:val="center"/>
          </w:tcPr>
          <w:p w14:paraId="4FF7305A"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38,0</w:t>
            </w:r>
          </w:p>
        </w:tc>
        <w:tc>
          <w:tcPr>
            <w:tcW w:w="851" w:type="dxa"/>
            <w:tcBorders>
              <w:top w:val="single" w:sz="4" w:space="0" w:color="auto"/>
              <w:left w:val="single" w:sz="4" w:space="0" w:color="auto"/>
              <w:bottom w:val="single" w:sz="4" w:space="0" w:color="auto"/>
              <w:right w:val="single" w:sz="4" w:space="0" w:color="auto"/>
            </w:tcBorders>
            <w:vAlign w:val="center"/>
          </w:tcPr>
          <w:p w14:paraId="5906D9B7"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114,9</w:t>
            </w:r>
          </w:p>
        </w:tc>
      </w:tr>
      <w:tr w:rsidR="00201041" w:rsidRPr="00375059" w14:paraId="64BE47BC" w14:textId="77777777" w:rsidTr="008E362D">
        <w:trPr>
          <w:trHeight w:val="20"/>
        </w:trPr>
        <w:tc>
          <w:tcPr>
            <w:tcW w:w="3964" w:type="dxa"/>
            <w:tcBorders>
              <w:top w:val="single" w:sz="4" w:space="0" w:color="auto"/>
              <w:left w:val="single" w:sz="4" w:space="0" w:color="auto"/>
              <w:bottom w:val="single" w:sz="4" w:space="0" w:color="auto"/>
              <w:right w:val="single" w:sz="4" w:space="0" w:color="auto"/>
            </w:tcBorders>
          </w:tcPr>
          <w:p w14:paraId="505A7773"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 транспорт и связь</w:t>
            </w:r>
          </w:p>
        </w:tc>
        <w:tc>
          <w:tcPr>
            <w:tcW w:w="1134" w:type="dxa"/>
            <w:tcBorders>
              <w:top w:val="single" w:sz="4" w:space="0" w:color="auto"/>
              <w:left w:val="single" w:sz="4" w:space="0" w:color="auto"/>
              <w:bottom w:val="single" w:sz="4" w:space="0" w:color="auto"/>
              <w:right w:val="single" w:sz="4" w:space="0" w:color="auto"/>
            </w:tcBorders>
            <w:vAlign w:val="center"/>
          </w:tcPr>
          <w:p w14:paraId="39A55842"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6,2</w:t>
            </w:r>
          </w:p>
        </w:tc>
        <w:tc>
          <w:tcPr>
            <w:tcW w:w="1134" w:type="dxa"/>
            <w:tcBorders>
              <w:top w:val="single" w:sz="4" w:space="0" w:color="auto"/>
              <w:left w:val="single" w:sz="4" w:space="0" w:color="auto"/>
              <w:bottom w:val="single" w:sz="4" w:space="0" w:color="auto"/>
              <w:right w:val="single" w:sz="4" w:space="0" w:color="auto"/>
            </w:tcBorders>
            <w:vAlign w:val="center"/>
          </w:tcPr>
          <w:p w14:paraId="1737C1E2"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vAlign w:val="center"/>
          </w:tcPr>
          <w:p w14:paraId="5115AFC7"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5,9</w:t>
            </w:r>
          </w:p>
        </w:tc>
        <w:tc>
          <w:tcPr>
            <w:tcW w:w="1134" w:type="dxa"/>
            <w:tcBorders>
              <w:top w:val="single" w:sz="4" w:space="0" w:color="auto"/>
              <w:left w:val="single" w:sz="4" w:space="0" w:color="auto"/>
              <w:bottom w:val="single" w:sz="4" w:space="0" w:color="auto"/>
              <w:right w:val="single" w:sz="4" w:space="0" w:color="auto"/>
            </w:tcBorders>
            <w:vAlign w:val="center"/>
          </w:tcPr>
          <w:p w14:paraId="4805335E"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0,2</w:t>
            </w:r>
          </w:p>
        </w:tc>
        <w:tc>
          <w:tcPr>
            <w:tcW w:w="851" w:type="dxa"/>
            <w:tcBorders>
              <w:top w:val="single" w:sz="4" w:space="0" w:color="auto"/>
              <w:left w:val="single" w:sz="4" w:space="0" w:color="auto"/>
              <w:bottom w:val="single" w:sz="4" w:space="0" w:color="auto"/>
              <w:right w:val="single" w:sz="4" w:space="0" w:color="auto"/>
            </w:tcBorders>
            <w:vAlign w:val="center"/>
          </w:tcPr>
          <w:p w14:paraId="0A908155"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94,5</w:t>
            </w:r>
          </w:p>
        </w:tc>
      </w:tr>
      <w:tr w:rsidR="00201041" w:rsidRPr="00375059" w14:paraId="2795A061" w14:textId="77777777" w:rsidTr="008E362D">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72D2D76D" w14:textId="77777777" w:rsidR="00201041" w:rsidRPr="00375059" w:rsidRDefault="00201041" w:rsidP="008E362D">
            <w:pPr>
              <w:spacing w:after="0" w:line="240" w:lineRule="auto"/>
              <w:rPr>
                <w:rFonts w:ascii="Times New Roman" w:hAnsi="Times New Roman"/>
                <w:b w:val="0"/>
                <w:sz w:val="24"/>
                <w:szCs w:val="24"/>
              </w:rPr>
            </w:pPr>
            <w:r w:rsidRPr="00375059">
              <w:rPr>
                <w:rFonts w:ascii="Times New Roman" w:hAnsi="Times New Roman"/>
                <w:b w:val="0"/>
                <w:sz w:val="24"/>
                <w:szCs w:val="24"/>
              </w:rPr>
              <w:t>-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14:paraId="1D9F7287"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5,8</w:t>
            </w:r>
          </w:p>
        </w:tc>
        <w:tc>
          <w:tcPr>
            <w:tcW w:w="1134" w:type="dxa"/>
            <w:tcBorders>
              <w:top w:val="single" w:sz="4" w:space="0" w:color="auto"/>
              <w:left w:val="single" w:sz="4" w:space="0" w:color="auto"/>
              <w:bottom w:val="single" w:sz="4" w:space="0" w:color="auto"/>
              <w:right w:val="single" w:sz="4" w:space="0" w:color="auto"/>
            </w:tcBorders>
            <w:vAlign w:val="center"/>
          </w:tcPr>
          <w:p w14:paraId="08F95753"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vAlign w:val="center"/>
          </w:tcPr>
          <w:p w14:paraId="6097BA0E"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11,2</w:t>
            </w:r>
          </w:p>
        </w:tc>
        <w:tc>
          <w:tcPr>
            <w:tcW w:w="1134" w:type="dxa"/>
            <w:tcBorders>
              <w:top w:val="single" w:sz="4" w:space="0" w:color="auto"/>
              <w:left w:val="single" w:sz="4" w:space="0" w:color="auto"/>
              <w:bottom w:val="single" w:sz="4" w:space="0" w:color="auto"/>
              <w:right w:val="single" w:sz="4" w:space="0" w:color="auto"/>
            </w:tcBorders>
            <w:vAlign w:val="center"/>
          </w:tcPr>
          <w:p w14:paraId="37C9A00D"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0,4</w:t>
            </w:r>
          </w:p>
        </w:tc>
        <w:tc>
          <w:tcPr>
            <w:tcW w:w="851" w:type="dxa"/>
            <w:tcBorders>
              <w:top w:val="single" w:sz="4" w:space="0" w:color="auto"/>
              <w:left w:val="single" w:sz="4" w:space="0" w:color="auto"/>
              <w:bottom w:val="single" w:sz="4" w:space="0" w:color="auto"/>
              <w:right w:val="single" w:sz="4" w:space="0" w:color="auto"/>
            </w:tcBorders>
            <w:vAlign w:val="center"/>
          </w:tcPr>
          <w:p w14:paraId="4D0DDAF4"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193,6</w:t>
            </w:r>
          </w:p>
        </w:tc>
      </w:tr>
      <w:tr w:rsidR="00201041" w:rsidRPr="00375059" w14:paraId="742F187F" w14:textId="77777777" w:rsidTr="008E362D">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323665A2" w14:textId="77777777" w:rsidR="00201041" w:rsidRPr="00375059" w:rsidRDefault="00201041" w:rsidP="008E362D">
            <w:pPr>
              <w:spacing w:after="0" w:line="240" w:lineRule="auto"/>
              <w:rPr>
                <w:rFonts w:ascii="Times New Roman" w:hAnsi="Times New Roman"/>
                <w:b w:val="0"/>
                <w:sz w:val="24"/>
                <w:szCs w:val="24"/>
              </w:rPr>
            </w:pPr>
            <w:r w:rsidRPr="00375059">
              <w:rPr>
                <w:rFonts w:ascii="Times New Roman" w:hAnsi="Times New Roman"/>
                <w:b w:val="0"/>
                <w:sz w:val="24"/>
                <w:szCs w:val="24"/>
              </w:rPr>
              <w:t>- торговля</w:t>
            </w:r>
          </w:p>
        </w:tc>
        <w:tc>
          <w:tcPr>
            <w:tcW w:w="1134" w:type="dxa"/>
            <w:tcBorders>
              <w:top w:val="single" w:sz="4" w:space="0" w:color="auto"/>
              <w:left w:val="single" w:sz="4" w:space="0" w:color="auto"/>
              <w:bottom w:val="single" w:sz="4" w:space="0" w:color="auto"/>
              <w:right w:val="single" w:sz="4" w:space="0" w:color="auto"/>
            </w:tcBorders>
            <w:vAlign w:val="center"/>
          </w:tcPr>
          <w:p w14:paraId="6BE5BAC3"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782,2</w:t>
            </w:r>
          </w:p>
        </w:tc>
        <w:tc>
          <w:tcPr>
            <w:tcW w:w="1134" w:type="dxa"/>
            <w:tcBorders>
              <w:top w:val="single" w:sz="4" w:space="0" w:color="auto"/>
              <w:left w:val="single" w:sz="4" w:space="0" w:color="auto"/>
              <w:bottom w:val="single" w:sz="4" w:space="0" w:color="auto"/>
              <w:right w:val="single" w:sz="4" w:space="0" w:color="auto"/>
            </w:tcBorders>
            <w:vAlign w:val="center"/>
          </w:tcPr>
          <w:p w14:paraId="673AAC8B"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27,3</w:t>
            </w:r>
          </w:p>
        </w:tc>
        <w:tc>
          <w:tcPr>
            <w:tcW w:w="1134" w:type="dxa"/>
            <w:tcBorders>
              <w:top w:val="single" w:sz="4" w:space="0" w:color="auto"/>
              <w:left w:val="single" w:sz="4" w:space="0" w:color="auto"/>
              <w:bottom w:val="single" w:sz="4" w:space="0" w:color="auto"/>
              <w:right w:val="single" w:sz="4" w:space="0" w:color="auto"/>
            </w:tcBorders>
            <w:vAlign w:val="center"/>
          </w:tcPr>
          <w:p w14:paraId="50FA4B4E"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1 036,6</w:t>
            </w:r>
          </w:p>
        </w:tc>
        <w:tc>
          <w:tcPr>
            <w:tcW w:w="1134" w:type="dxa"/>
            <w:tcBorders>
              <w:top w:val="single" w:sz="4" w:space="0" w:color="auto"/>
              <w:left w:val="single" w:sz="4" w:space="0" w:color="auto"/>
              <w:bottom w:val="single" w:sz="4" w:space="0" w:color="auto"/>
              <w:right w:val="single" w:sz="4" w:space="0" w:color="auto"/>
            </w:tcBorders>
            <w:vAlign w:val="center"/>
          </w:tcPr>
          <w:p w14:paraId="2D27BE03"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34,3</w:t>
            </w:r>
          </w:p>
        </w:tc>
        <w:tc>
          <w:tcPr>
            <w:tcW w:w="851" w:type="dxa"/>
            <w:tcBorders>
              <w:top w:val="single" w:sz="4" w:space="0" w:color="auto"/>
              <w:left w:val="single" w:sz="4" w:space="0" w:color="auto"/>
              <w:bottom w:val="single" w:sz="4" w:space="0" w:color="auto"/>
              <w:right w:val="single" w:sz="4" w:space="0" w:color="auto"/>
            </w:tcBorders>
            <w:vAlign w:val="center"/>
          </w:tcPr>
          <w:p w14:paraId="68B14849"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132,5</w:t>
            </w:r>
          </w:p>
        </w:tc>
      </w:tr>
      <w:tr w:rsidR="00201041" w:rsidRPr="00375059" w14:paraId="4F2587CB" w14:textId="77777777" w:rsidTr="008E362D">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4DCBA344" w14:textId="77777777" w:rsidR="00201041" w:rsidRPr="00375059" w:rsidRDefault="00201041" w:rsidP="008E362D">
            <w:pPr>
              <w:spacing w:after="0" w:line="240" w:lineRule="auto"/>
              <w:rPr>
                <w:rFonts w:ascii="Times New Roman" w:hAnsi="Times New Roman"/>
                <w:b w:val="0"/>
                <w:sz w:val="24"/>
                <w:szCs w:val="24"/>
              </w:rPr>
            </w:pPr>
            <w:r w:rsidRPr="00375059">
              <w:rPr>
                <w:rFonts w:ascii="Times New Roman" w:hAnsi="Times New Roman"/>
                <w:b w:val="0"/>
                <w:sz w:val="24"/>
                <w:szCs w:val="24"/>
              </w:rPr>
              <w:t>- прочие</w:t>
            </w:r>
          </w:p>
        </w:tc>
        <w:tc>
          <w:tcPr>
            <w:tcW w:w="1134" w:type="dxa"/>
            <w:tcBorders>
              <w:top w:val="single" w:sz="4" w:space="0" w:color="auto"/>
              <w:left w:val="single" w:sz="4" w:space="0" w:color="auto"/>
              <w:bottom w:val="single" w:sz="4" w:space="0" w:color="auto"/>
              <w:right w:val="single" w:sz="4" w:space="0" w:color="auto"/>
            </w:tcBorders>
            <w:vAlign w:val="center"/>
          </w:tcPr>
          <w:p w14:paraId="18434D89"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183,1</w:t>
            </w:r>
          </w:p>
        </w:tc>
        <w:tc>
          <w:tcPr>
            <w:tcW w:w="1134" w:type="dxa"/>
            <w:tcBorders>
              <w:top w:val="single" w:sz="4" w:space="0" w:color="auto"/>
              <w:left w:val="single" w:sz="4" w:space="0" w:color="auto"/>
              <w:bottom w:val="single" w:sz="4" w:space="0" w:color="auto"/>
              <w:right w:val="single" w:sz="4" w:space="0" w:color="auto"/>
            </w:tcBorders>
            <w:vAlign w:val="center"/>
          </w:tcPr>
          <w:p w14:paraId="69022E79"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6,4</w:t>
            </w:r>
          </w:p>
        </w:tc>
        <w:tc>
          <w:tcPr>
            <w:tcW w:w="1134" w:type="dxa"/>
            <w:tcBorders>
              <w:top w:val="single" w:sz="4" w:space="0" w:color="auto"/>
              <w:left w:val="single" w:sz="4" w:space="0" w:color="auto"/>
              <w:bottom w:val="single" w:sz="4" w:space="0" w:color="auto"/>
              <w:right w:val="single" w:sz="4" w:space="0" w:color="auto"/>
            </w:tcBorders>
            <w:vAlign w:val="center"/>
          </w:tcPr>
          <w:p w14:paraId="13BDD085"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272,9</w:t>
            </w:r>
          </w:p>
        </w:tc>
        <w:tc>
          <w:tcPr>
            <w:tcW w:w="1134" w:type="dxa"/>
            <w:tcBorders>
              <w:top w:val="single" w:sz="4" w:space="0" w:color="auto"/>
              <w:left w:val="single" w:sz="4" w:space="0" w:color="auto"/>
              <w:bottom w:val="single" w:sz="4" w:space="0" w:color="auto"/>
              <w:right w:val="single" w:sz="4" w:space="0" w:color="auto"/>
            </w:tcBorders>
            <w:vAlign w:val="center"/>
          </w:tcPr>
          <w:p w14:paraId="73F53BC1"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9,0</w:t>
            </w:r>
          </w:p>
        </w:tc>
        <w:tc>
          <w:tcPr>
            <w:tcW w:w="851" w:type="dxa"/>
            <w:tcBorders>
              <w:top w:val="single" w:sz="4" w:space="0" w:color="auto"/>
              <w:left w:val="single" w:sz="4" w:space="0" w:color="auto"/>
              <w:bottom w:val="single" w:sz="4" w:space="0" w:color="auto"/>
              <w:right w:val="single" w:sz="4" w:space="0" w:color="auto"/>
            </w:tcBorders>
            <w:vAlign w:val="center"/>
          </w:tcPr>
          <w:p w14:paraId="22025938"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149,0</w:t>
            </w:r>
          </w:p>
        </w:tc>
      </w:tr>
      <w:tr w:rsidR="00201041" w:rsidRPr="00375059" w14:paraId="1D11A5FE" w14:textId="77777777" w:rsidTr="008E362D">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6DD75767" w14:textId="77777777" w:rsidR="00201041" w:rsidRPr="00375059" w:rsidRDefault="00201041" w:rsidP="008E362D">
            <w:pPr>
              <w:spacing w:after="0" w:line="240" w:lineRule="auto"/>
              <w:rPr>
                <w:rFonts w:ascii="Times New Roman" w:hAnsi="Times New Roman"/>
                <w:b w:val="0"/>
                <w:sz w:val="24"/>
                <w:szCs w:val="24"/>
              </w:rPr>
            </w:pPr>
            <w:r w:rsidRPr="00375059">
              <w:rPr>
                <w:rFonts w:ascii="Times New Roman" w:hAnsi="Times New Roman"/>
                <w:b w:val="0"/>
                <w:sz w:val="24"/>
                <w:szCs w:val="24"/>
              </w:rPr>
              <w:t>в том числе (по срочности):</w:t>
            </w:r>
          </w:p>
          <w:p w14:paraId="7940F064" w14:textId="77777777" w:rsidR="00201041" w:rsidRPr="00375059" w:rsidRDefault="00201041" w:rsidP="008E362D">
            <w:pPr>
              <w:spacing w:after="0" w:line="240" w:lineRule="auto"/>
              <w:rPr>
                <w:rFonts w:ascii="Times New Roman" w:hAnsi="Times New Roman"/>
                <w:b w:val="0"/>
                <w:sz w:val="24"/>
                <w:szCs w:val="24"/>
              </w:rPr>
            </w:pPr>
            <w:r w:rsidRPr="00375059">
              <w:rPr>
                <w:rFonts w:ascii="Times New Roman" w:hAnsi="Times New Roman"/>
                <w:b w:val="0"/>
                <w:sz w:val="24"/>
                <w:szCs w:val="24"/>
              </w:rPr>
              <w:t>- краткосрочные</w:t>
            </w:r>
          </w:p>
        </w:tc>
        <w:tc>
          <w:tcPr>
            <w:tcW w:w="1134" w:type="dxa"/>
            <w:tcBorders>
              <w:top w:val="single" w:sz="4" w:space="0" w:color="auto"/>
              <w:left w:val="single" w:sz="4" w:space="0" w:color="auto"/>
              <w:bottom w:val="single" w:sz="4" w:space="0" w:color="auto"/>
              <w:right w:val="single" w:sz="4" w:space="0" w:color="auto"/>
            </w:tcBorders>
            <w:vAlign w:val="center"/>
          </w:tcPr>
          <w:p w14:paraId="4B5334C6"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83,0</w:t>
            </w:r>
          </w:p>
        </w:tc>
        <w:tc>
          <w:tcPr>
            <w:tcW w:w="1134" w:type="dxa"/>
            <w:tcBorders>
              <w:top w:val="single" w:sz="4" w:space="0" w:color="auto"/>
              <w:left w:val="single" w:sz="4" w:space="0" w:color="auto"/>
              <w:bottom w:val="single" w:sz="4" w:space="0" w:color="auto"/>
              <w:right w:val="single" w:sz="4" w:space="0" w:color="auto"/>
            </w:tcBorders>
            <w:vAlign w:val="center"/>
          </w:tcPr>
          <w:p w14:paraId="521C60ED"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2,9</w:t>
            </w:r>
          </w:p>
        </w:tc>
        <w:tc>
          <w:tcPr>
            <w:tcW w:w="1134" w:type="dxa"/>
            <w:tcBorders>
              <w:top w:val="single" w:sz="4" w:space="0" w:color="auto"/>
              <w:left w:val="single" w:sz="4" w:space="0" w:color="auto"/>
              <w:bottom w:val="single" w:sz="4" w:space="0" w:color="auto"/>
              <w:right w:val="single" w:sz="4" w:space="0" w:color="auto"/>
            </w:tcBorders>
            <w:vAlign w:val="center"/>
          </w:tcPr>
          <w:p w14:paraId="25BF4B80"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231,4</w:t>
            </w:r>
          </w:p>
        </w:tc>
        <w:tc>
          <w:tcPr>
            <w:tcW w:w="1134" w:type="dxa"/>
            <w:tcBorders>
              <w:top w:val="single" w:sz="4" w:space="0" w:color="auto"/>
              <w:left w:val="single" w:sz="4" w:space="0" w:color="auto"/>
              <w:bottom w:val="single" w:sz="4" w:space="0" w:color="auto"/>
              <w:right w:val="single" w:sz="4" w:space="0" w:color="auto"/>
            </w:tcBorders>
            <w:vAlign w:val="center"/>
          </w:tcPr>
          <w:p w14:paraId="36C03A74"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7,7</w:t>
            </w:r>
          </w:p>
        </w:tc>
        <w:tc>
          <w:tcPr>
            <w:tcW w:w="851" w:type="dxa"/>
            <w:tcBorders>
              <w:top w:val="single" w:sz="4" w:space="0" w:color="auto"/>
              <w:left w:val="single" w:sz="4" w:space="0" w:color="auto"/>
              <w:bottom w:val="single" w:sz="4" w:space="0" w:color="auto"/>
              <w:right w:val="single" w:sz="4" w:space="0" w:color="auto"/>
            </w:tcBorders>
            <w:vAlign w:val="center"/>
          </w:tcPr>
          <w:p w14:paraId="078F3C86"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278,7</w:t>
            </w:r>
          </w:p>
        </w:tc>
      </w:tr>
      <w:tr w:rsidR="00201041" w:rsidRPr="00375059" w14:paraId="744AD088" w14:textId="77777777" w:rsidTr="008E362D">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4919B56C" w14:textId="77777777" w:rsidR="00201041" w:rsidRPr="00375059" w:rsidRDefault="00201041" w:rsidP="008E362D">
            <w:pPr>
              <w:spacing w:after="0" w:line="240" w:lineRule="auto"/>
              <w:rPr>
                <w:rFonts w:ascii="Times New Roman" w:hAnsi="Times New Roman"/>
                <w:b w:val="0"/>
                <w:sz w:val="24"/>
                <w:szCs w:val="24"/>
              </w:rPr>
            </w:pPr>
            <w:r w:rsidRPr="00375059">
              <w:rPr>
                <w:rFonts w:ascii="Times New Roman" w:hAnsi="Times New Roman"/>
                <w:b w:val="0"/>
                <w:sz w:val="24"/>
                <w:szCs w:val="24"/>
              </w:rPr>
              <w:t>- среднесрочные</w:t>
            </w:r>
          </w:p>
        </w:tc>
        <w:tc>
          <w:tcPr>
            <w:tcW w:w="1134" w:type="dxa"/>
            <w:tcBorders>
              <w:top w:val="single" w:sz="4" w:space="0" w:color="auto"/>
              <w:left w:val="single" w:sz="4" w:space="0" w:color="auto"/>
              <w:bottom w:val="single" w:sz="4" w:space="0" w:color="auto"/>
              <w:right w:val="single" w:sz="4" w:space="0" w:color="auto"/>
            </w:tcBorders>
            <w:vAlign w:val="center"/>
          </w:tcPr>
          <w:p w14:paraId="7A51DA41"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750,7</w:t>
            </w:r>
          </w:p>
        </w:tc>
        <w:tc>
          <w:tcPr>
            <w:tcW w:w="1134" w:type="dxa"/>
            <w:tcBorders>
              <w:top w:val="single" w:sz="4" w:space="0" w:color="auto"/>
              <w:left w:val="single" w:sz="4" w:space="0" w:color="auto"/>
              <w:bottom w:val="single" w:sz="4" w:space="0" w:color="auto"/>
              <w:right w:val="single" w:sz="4" w:space="0" w:color="auto"/>
            </w:tcBorders>
            <w:vAlign w:val="center"/>
          </w:tcPr>
          <w:p w14:paraId="312EF0A4"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26,2</w:t>
            </w:r>
          </w:p>
        </w:tc>
        <w:tc>
          <w:tcPr>
            <w:tcW w:w="1134" w:type="dxa"/>
            <w:tcBorders>
              <w:top w:val="single" w:sz="4" w:space="0" w:color="auto"/>
              <w:left w:val="single" w:sz="4" w:space="0" w:color="auto"/>
              <w:bottom w:val="single" w:sz="4" w:space="0" w:color="auto"/>
              <w:right w:val="single" w:sz="4" w:space="0" w:color="auto"/>
            </w:tcBorders>
            <w:vAlign w:val="center"/>
          </w:tcPr>
          <w:p w14:paraId="70D29552"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1 020,2</w:t>
            </w:r>
          </w:p>
        </w:tc>
        <w:tc>
          <w:tcPr>
            <w:tcW w:w="1134" w:type="dxa"/>
            <w:tcBorders>
              <w:top w:val="single" w:sz="4" w:space="0" w:color="auto"/>
              <w:left w:val="single" w:sz="4" w:space="0" w:color="auto"/>
              <w:bottom w:val="single" w:sz="4" w:space="0" w:color="auto"/>
              <w:right w:val="single" w:sz="4" w:space="0" w:color="auto"/>
            </w:tcBorders>
            <w:vAlign w:val="center"/>
          </w:tcPr>
          <w:p w14:paraId="59B77182"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33,7</w:t>
            </w:r>
          </w:p>
        </w:tc>
        <w:tc>
          <w:tcPr>
            <w:tcW w:w="851" w:type="dxa"/>
            <w:tcBorders>
              <w:top w:val="single" w:sz="4" w:space="0" w:color="auto"/>
              <w:left w:val="single" w:sz="4" w:space="0" w:color="auto"/>
              <w:bottom w:val="single" w:sz="4" w:space="0" w:color="auto"/>
              <w:right w:val="single" w:sz="4" w:space="0" w:color="auto"/>
            </w:tcBorders>
            <w:vAlign w:val="center"/>
          </w:tcPr>
          <w:p w14:paraId="6D8A78D7"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135,9</w:t>
            </w:r>
          </w:p>
        </w:tc>
      </w:tr>
      <w:tr w:rsidR="00201041" w:rsidRPr="00375059" w14:paraId="6F3B463D" w14:textId="77777777" w:rsidTr="008E362D">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752ED821" w14:textId="77777777" w:rsidR="00201041" w:rsidRPr="00375059" w:rsidRDefault="00201041" w:rsidP="008E362D">
            <w:pPr>
              <w:spacing w:after="0" w:line="240" w:lineRule="auto"/>
              <w:rPr>
                <w:rFonts w:ascii="Times New Roman" w:hAnsi="Times New Roman"/>
                <w:b w:val="0"/>
                <w:sz w:val="24"/>
                <w:szCs w:val="24"/>
              </w:rPr>
            </w:pPr>
            <w:r w:rsidRPr="00375059">
              <w:rPr>
                <w:rFonts w:ascii="Times New Roman" w:hAnsi="Times New Roman"/>
                <w:b w:val="0"/>
                <w:sz w:val="24"/>
                <w:szCs w:val="24"/>
              </w:rPr>
              <w:t>- долгосрочные</w:t>
            </w:r>
          </w:p>
        </w:tc>
        <w:tc>
          <w:tcPr>
            <w:tcW w:w="1134" w:type="dxa"/>
            <w:tcBorders>
              <w:top w:val="single" w:sz="4" w:space="0" w:color="auto"/>
              <w:left w:val="single" w:sz="4" w:space="0" w:color="auto"/>
              <w:bottom w:val="single" w:sz="4" w:space="0" w:color="auto"/>
              <w:right w:val="single" w:sz="4" w:space="0" w:color="auto"/>
            </w:tcBorders>
            <w:vAlign w:val="center"/>
          </w:tcPr>
          <w:p w14:paraId="21266B64"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1 940,8</w:t>
            </w:r>
          </w:p>
        </w:tc>
        <w:tc>
          <w:tcPr>
            <w:tcW w:w="1134" w:type="dxa"/>
            <w:tcBorders>
              <w:top w:val="single" w:sz="4" w:space="0" w:color="auto"/>
              <w:left w:val="single" w:sz="4" w:space="0" w:color="auto"/>
              <w:bottom w:val="single" w:sz="4" w:space="0" w:color="auto"/>
              <w:right w:val="single" w:sz="4" w:space="0" w:color="auto"/>
            </w:tcBorders>
            <w:vAlign w:val="center"/>
          </w:tcPr>
          <w:p w14:paraId="59F2A97A"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67,7</w:t>
            </w:r>
          </w:p>
        </w:tc>
        <w:tc>
          <w:tcPr>
            <w:tcW w:w="1134" w:type="dxa"/>
            <w:tcBorders>
              <w:top w:val="single" w:sz="4" w:space="0" w:color="auto"/>
              <w:left w:val="single" w:sz="4" w:space="0" w:color="auto"/>
              <w:bottom w:val="single" w:sz="4" w:space="0" w:color="auto"/>
              <w:right w:val="single" w:sz="4" w:space="0" w:color="auto"/>
            </w:tcBorders>
            <w:vAlign w:val="center"/>
          </w:tcPr>
          <w:p w14:paraId="4D5C9878"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1 693,1</w:t>
            </w:r>
          </w:p>
        </w:tc>
        <w:tc>
          <w:tcPr>
            <w:tcW w:w="1134" w:type="dxa"/>
            <w:tcBorders>
              <w:top w:val="single" w:sz="4" w:space="0" w:color="auto"/>
              <w:left w:val="single" w:sz="4" w:space="0" w:color="auto"/>
              <w:bottom w:val="single" w:sz="4" w:space="0" w:color="auto"/>
              <w:right w:val="single" w:sz="4" w:space="0" w:color="auto"/>
            </w:tcBorders>
            <w:vAlign w:val="center"/>
          </w:tcPr>
          <w:p w14:paraId="745203B0"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56,0</w:t>
            </w:r>
          </w:p>
        </w:tc>
        <w:tc>
          <w:tcPr>
            <w:tcW w:w="851" w:type="dxa"/>
            <w:tcBorders>
              <w:top w:val="single" w:sz="4" w:space="0" w:color="auto"/>
              <w:left w:val="single" w:sz="4" w:space="0" w:color="auto"/>
              <w:bottom w:val="single" w:sz="4" w:space="0" w:color="auto"/>
              <w:right w:val="single" w:sz="4" w:space="0" w:color="auto"/>
            </w:tcBorders>
            <w:vAlign w:val="center"/>
          </w:tcPr>
          <w:p w14:paraId="09647DD0"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87,2</w:t>
            </w:r>
          </w:p>
        </w:tc>
      </w:tr>
      <w:tr w:rsidR="00201041" w:rsidRPr="00375059" w14:paraId="6B5C7BE2" w14:textId="77777777" w:rsidTr="008E362D">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tcPr>
          <w:p w14:paraId="50027C68" w14:textId="77777777" w:rsidR="00201041" w:rsidRPr="00375059" w:rsidRDefault="00201041" w:rsidP="008E362D">
            <w:pPr>
              <w:spacing w:after="0" w:line="240" w:lineRule="auto"/>
              <w:rPr>
                <w:rFonts w:ascii="Times New Roman" w:hAnsi="Times New Roman"/>
                <w:b w:val="0"/>
                <w:sz w:val="24"/>
                <w:szCs w:val="24"/>
              </w:rPr>
            </w:pPr>
            <w:r w:rsidRPr="00375059">
              <w:rPr>
                <w:rFonts w:ascii="Times New Roman" w:hAnsi="Times New Roman"/>
                <w:b w:val="0"/>
                <w:sz w:val="24"/>
                <w:szCs w:val="24"/>
              </w:rPr>
              <w:t>- просроченные</w:t>
            </w:r>
          </w:p>
        </w:tc>
        <w:tc>
          <w:tcPr>
            <w:tcW w:w="1134" w:type="dxa"/>
            <w:tcBorders>
              <w:top w:val="single" w:sz="4" w:space="0" w:color="auto"/>
              <w:left w:val="single" w:sz="4" w:space="0" w:color="auto"/>
              <w:bottom w:val="single" w:sz="4" w:space="0" w:color="auto"/>
              <w:right w:val="single" w:sz="4" w:space="0" w:color="auto"/>
            </w:tcBorders>
            <w:vAlign w:val="center"/>
          </w:tcPr>
          <w:p w14:paraId="0A6B9181"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92,3</w:t>
            </w:r>
          </w:p>
        </w:tc>
        <w:tc>
          <w:tcPr>
            <w:tcW w:w="1134" w:type="dxa"/>
            <w:tcBorders>
              <w:top w:val="single" w:sz="4" w:space="0" w:color="auto"/>
              <w:left w:val="single" w:sz="4" w:space="0" w:color="auto"/>
              <w:bottom w:val="single" w:sz="4" w:space="0" w:color="auto"/>
              <w:right w:val="single" w:sz="4" w:space="0" w:color="auto"/>
            </w:tcBorders>
            <w:vAlign w:val="center"/>
          </w:tcPr>
          <w:p w14:paraId="5BB9AEAB"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vAlign w:val="center"/>
          </w:tcPr>
          <w:p w14:paraId="7D6EC7C9"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78,7</w:t>
            </w:r>
          </w:p>
        </w:tc>
        <w:tc>
          <w:tcPr>
            <w:tcW w:w="1134" w:type="dxa"/>
            <w:tcBorders>
              <w:top w:val="single" w:sz="4" w:space="0" w:color="auto"/>
              <w:left w:val="single" w:sz="4" w:space="0" w:color="auto"/>
              <w:bottom w:val="single" w:sz="4" w:space="0" w:color="auto"/>
              <w:right w:val="single" w:sz="4" w:space="0" w:color="auto"/>
            </w:tcBorders>
            <w:vAlign w:val="center"/>
          </w:tcPr>
          <w:p w14:paraId="1DF358EA"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2,6</w:t>
            </w:r>
          </w:p>
        </w:tc>
        <w:tc>
          <w:tcPr>
            <w:tcW w:w="851" w:type="dxa"/>
            <w:tcBorders>
              <w:top w:val="single" w:sz="4" w:space="0" w:color="auto"/>
              <w:left w:val="single" w:sz="4" w:space="0" w:color="auto"/>
              <w:bottom w:val="single" w:sz="4" w:space="0" w:color="auto"/>
              <w:right w:val="single" w:sz="4" w:space="0" w:color="auto"/>
            </w:tcBorders>
            <w:vAlign w:val="center"/>
          </w:tcPr>
          <w:p w14:paraId="1BA6DC41"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85,3</w:t>
            </w:r>
          </w:p>
        </w:tc>
      </w:tr>
    </w:tbl>
    <w:p w14:paraId="560977E0" w14:textId="01E271DC" w:rsidR="00201041" w:rsidRPr="00375059" w:rsidRDefault="00201041" w:rsidP="00023D89">
      <w:pPr>
        <w:autoSpaceDE w:val="0"/>
        <w:autoSpaceDN w:val="0"/>
        <w:adjustRightInd w:val="0"/>
        <w:spacing w:before="120" w:after="0" w:line="240" w:lineRule="auto"/>
        <w:ind w:firstLine="567"/>
        <w:jc w:val="both"/>
        <w:rPr>
          <w:rFonts w:ascii="Times New Roman" w:hAnsi="Times New Roman"/>
          <w:strike/>
          <w:sz w:val="28"/>
          <w:szCs w:val="28"/>
        </w:rPr>
      </w:pPr>
      <w:r w:rsidRPr="00375059">
        <w:rPr>
          <w:rFonts w:ascii="Times New Roman" w:hAnsi="Times New Roman"/>
          <w:sz w:val="28"/>
          <w:szCs w:val="28"/>
        </w:rPr>
        <w:t>В структуре кредитных вложений по секторам экономики по итогам 2021</w:t>
      </w:r>
      <w:r w:rsidR="00023D89">
        <w:rPr>
          <w:rFonts w:ascii="Times New Roman" w:hAnsi="Times New Roman"/>
          <w:sz w:val="28"/>
          <w:szCs w:val="28"/>
        </w:rPr>
        <w:t> </w:t>
      </w:r>
      <w:r w:rsidRPr="00375059">
        <w:rPr>
          <w:rFonts w:ascii="Times New Roman" w:hAnsi="Times New Roman"/>
          <w:sz w:val="28"/>
          <w:szCs w:val="28"/>
        </w:rPr>
        <w:t xml:space="preserve">года большая часть принадлежала предприятиям агропромышленного комплекса (38,0%, +3,2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xml:space="preserve">.). </w:t>
      </w:r>
    </w:p>
    <w:p w14:paraId="4448A012" w14:textId="7462039F" w:rsidR="00201041" w:rsidRDefault="00201041" w:rsidP="001463C8">
      <w:pPr>
        <w:autoSpaceDE w:val="0"/>
        <w:autoSpaceDN w:val="0"/>
        <w:adjustRightInd w:val="0"/>
        <w:spacing w:after="0" w:line="240" w:lineRule="auto"/>
        <w:ind w:firstLine="567"/>
        <w:jc w:val="both"/>
        <w:rPr>
          <w:rFonts w:ascii="Times New Roman" w:hAnsi="Times New Roman"/>
          <w:sz w:val="28"/>
          <w:szCs w:val="28"/>
        </w:rPr>
      </w:pPr>
      <w:r w:rsidRPr="00375059">
        <w:rPr>
          <w:rFonts w:ascii="Times New Roman" w:hAnsi="Times New Roman"/>
          <w:sz w:val="28"/>
          <w:szCs w:val="28"/>
        </w:rPr>
        <w:t>Совокупный размер розничного кредитного портфеля на</w:t>
      </w:r>
      <w:r w:rsidR="008A0869">
        <w:rPr>
          <w:rFonts w:ascii="Times New Roman" w:hAnsi="Times New Roman"/>
          <w:sz w:val="28"/>
          <w:szCs w:val="28"/>
        </w:rPr>
        <w:t xml:space="preserve"> </w:t>
      </w:r>
      <w:r w:rsidRPr="00375059">
        <w:rPr>
          <w:rFonts w:ascii="Times New Roman" w:hAnsi="Times New Roman"/>
          <w:sz w:val="28"/>
          <w:szCs w:val="28"/>
        </w:rPr>
        <w:t>1 января 2022 года сложился на уровне 1 116,3 млн руб., что соответствует 27,0% кредитов нефинансовому сектору</w:t>
      </w:r>
      <w:r w:rsidR="008A0869">
        <w:rPr>
          <w:rFonts w:ascii="Times New Roman" w:hAnsi="Times New Roman"/>
          <w:sz w:val="28"/>
          <w:szCs w:val="28"/>
        </w:rPr>
        <w:t xml:space="preserve"> </w:t>
      </w:r>
      <w:r w:rsidRPr="00375059">
        <w:rPr>
          <w:rFonts w:ascii="Times New Roman" w:hAnsi="Times New Roman"/>
          <w:sz w:val="28"/>
          <w:szCs w:val="28"/>
        </w:rPr>
        <w:t xml:space="preserve">(табл. </w:t>
      </w:r>
      <w:r w:rsidR="00E16DD0" w:rsidRPr="00375059">
        <w:rPr>
          <w:rFonts w:ascii="Times New Roman" w:hAnsi="Times New Roman"/>
          <w:sz w:val="28"/>
          <w:szCs w:val="28"/>
        </w:rPr>
        <w:t>12</w:t>
      </w:r>
      <w:r w:rsidRPr="00375059">
        <w:rPr>
          <w:rFonts w:ascii="Times New Roman" w:hAnsi="Times New Roman"/>
          <w:sz w:val="28"/>
          <w:szCs w:val="28"/>
        </w:rPr>
        <w:t>).</w:t>
      </w:r>
    </w:p>
    <w:p w14:paraId="6066409F" w14:textId="382D7FAA" w:rsidR="002E5521" w:rsidRPr="00375059" w:rsidRDefault="002E5521" w:rsidP="001463C8">
      <w:pPr>
        <w:autoSpaceDE w:val="0"/>
        <w:autoSpaceDN w:val="0"/>
        <w:adjustRightInd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разрезе валют динамика задолженности населения по кредитам обусловлена расширением остатков по рублёвым заимствованиям (+2,8%), тогда как задолженность по валютным кредитам сократилась (-6,4%), что обеспечило снижение степени </w:t>
      </w:r>
      <w:proofErr w:type="spellStart"/>
      <w:r w:rsidRPr="00375059">
        <w:rPr>
          <w:rFonts w:ascii="Times New Roman" w:hAnsi="Times New Roman"/>
          <w:sz w:val="28"/>
          <w:szCs w:val="28"/>
        </w:rPr>
        <w:t>валютизации</w:t>
      </w:r>
      <w:proofErr w:type="spellEnd"/>
      <w:r w:rsidRPr="00375059">
        <w:rPr>
          <w:rFonts w:ascii="Times New Roman" w:hAnsi="Times New Roman"/>
          <w:sz w:val="28"/>
          <w:szCs w:val="28"/>
        </w:rPr>
        <w:t xml:space="preserve"> потребительских </w:t>
      </w:r>
      <w:r w:rsidR="00023D89" w:rsidRPr="00375059">
        <w:rPr>
          <w:rFonts w:ascii="Times New Roman" w:hAnsi="Times New Roman"/>
          <w:sz w:val="28"/>
          <w:szCs w:val="28"/>
        </w:rPr>
        <w:t>ссуд до</w:t>
      </w:r>
      <w:r w:rsidRPr="00375059">
        <w:rPr>
          <w:rFonts w:ascii="Times New Roman" w:hAnsi="Times New Roman"/>
          <w:sz w:val="28"/>
          <w:szCs w:val="28"/>
        </w:rPr>
        <w:t xml:space="preserve"> 19,3%</w:t>
      </w:r>
      <w:r w:rsidRPr="00375059">
        <w:rPr>
          <w:rFonts w:ascii="Times New Roman" w:hAnsi="Times New Roman"/>
          <w:sz w:val="28"/>
          <w:szCs w:val="28"/>
        </w:rPr>
        <w:br/>
        <w:t xml:space="preserve">(-1,5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xml:space="preserve">.). </w:t>
      </w:r>
    </w:p>
    <w:p w14:paraId="3131A842" w14:textId="3F4DFD71" w:rsidR="00201041" w:rsidRPr="00375059" w:rsidRDefault="00201041" w:rsidP="00201041">
      <w:pPr>
        <w:widowControl w:val="0"/>
        <w:spacing w:after="0" w:line="240" w:lineRule="auto"/>
        <w:ind w:firstLine="426"/>
        <w:jc w:val="right"/>
        <w:rPr>
          <w:rFonts w:ascii="Times New Roman" w:hAnsi="Times New Roman"/>
          <w:b/>
          <w:i/>
          <w:sz w:val="28"/>
          <w:szCs w:val="28"/>
        </w:rPr>
      </w:pPr>
      <w:r w:rsidRPr="00375059">
        <w:rPr>
          <w:rFonts w:ascii="Times New Roman" w:hAnsi="Times New Roman"/>
          <w:b/>
          <w:i/>
          <w:sz w:val="28"/>
          <w:szCs w:val="28"/>
        </w:rPr>
        <w:lastRenderedPageBreak/>
        <w:t>Таблица</w:t>
      </w:r>
      <w:r w:rsidR="00E16DD0" w:rsidRPr="00375059">
        <w:rPr>
          <w:rFonts w:ascii="Times New Roman" w:hAnsi="Times New Roman"/>
          <w:b/>
          <w:i/>
          <w:sz w:val="28"/>
          <w:szCs w:val="28"/>
        </w:rPr>
        <w:t xml:space="preserve"> 12</w:t>
      </w:r>
    </w:p>
    <w:p w14:paraId="5910BE06" w14:textId="77777777" w:rsidR="00201041" w:rsidRPr="00375059" w:rsidRDefault="00201041" w:rsidP="00201041">
      <w:pPr>
        <w:widowControl w:val="0"/>
        <w:spacing w:after="0" w:line="240" w:lineRule="auto"/>
        <w:ind w:firstLine="426"/>
        <w:jc w:val="center"/>
        <w:rPr>
          <w:rFonts w:ascii="Times New Roman" w:hAnsi="Times New Roman"/>
          <w:b/>
          <w:sz w:val="28"/>
          <w:szCs w:val="28"/>
        </w:rPr>
      </w:pPr>
      <w:r w:rsidRPr="00375059">
        <w:rPr>
          <w:rFonts w:ascii="Times New Roman" w:hAnsi="Times New Roman"/>
          <w:b/>
          <w:sz w:val="28"/>
          <w:szCs w:val="28"/>
        </w:rPr>
        <w:t>Динамика задолженности по кредитам населению</w:t>
      </w:r>
    </w:p>
    <w:tbl>
      <w:tblPr>
        <w:tblStyle w:val="-13"/>
        <w:tblW w:w="9351" w:type="dxa"/>
        <w:tblLayout w:type="fixed"/>
        <w:tblLook w:val="0000" w:firstRow="0" w:lastRow="0" w:firstColumn="0" w:lastColumn="0" w:noHBand="0" w:noVBand="0"/>
      </w:tblPr>
      <w:tblGrid>
        <w:gridCol w:w="3681"/>
        <w:gridCol w:w="1276"/>
        <w:gridCol w:w="1134"/>
        <w:gridCol w:w="1275"/>
        <w:gridCol w:w="993"/>
        <w:gridCol w:w="992"/>
      </w:tblGrid>
      <w:tr w:rsidR="00201041" w:rsidRPr="00375059" w14:paraId="7047B270" w14:textId="77777777" w:rsidTr="008A0869">
        <w:trPr>
          <w:trHeight w:val="20"/>
        </w:trPr>
        <w:tc>
          <w:tcPr>
            <w:tcW w:w="368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F2659"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Показатель</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ECBAC" w14:textId="1B09FE7D"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на 1 января</w:t>
            </w:r>
          </w:p>
          <w:p w14:paraId="1FE846D3"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2021 года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F1CF1D"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на 1 января</w:t>
            </w:r>
          </w:p>
          <w:p w14:paraId="53A369CB"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2022 года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16CCD" w14:textId="2C506839" w:rsidR="00201041" w:rsidRPr="00375059" w:rsidRDefault="00E16DD0" w:rsidP="008E362D">
            <w:pPr>
              <w:spacing w:after="0" w:line="240" w:lineRule="auto"/>
              <w:jc w:val="center"/>
              <w:rPr>
                <w:rFonts w:ascii="Times New Roman" w:hAnsi="Times New Roman"/>
                <w:b/>
                <w:sz w:val="24"/>
                <w:szCs w:val="24"/>
              </w:rPr>
            </w:pPr>
            <w:r w:rsidRPr="00375059">
              <w:rPr>
                <w:rFonts w:ascii="Times New Roman" w:eastAsia="Calibri" w:hAnsi="Times New Roman"/>
                <w:b/>
                <w:sz w:val="24"/>
                <w:szCs w:val="24"/>
              </w:rPr>
              <w:t>темп роста к 2020 году, %</w:t>
            </w:r>
          </w:p>
        </w:tc>
      </w:tr>
      <w:tr w:rsidR="00201041" w:rsidRPr="00375059" w14:paraId="2E840863" w14:textId="77777777" w:rsidTr="008A0869">
        <w:trPr>
          <w:trHeight w:val="20"/>
        </w:trPr>
        <w:tc>
          <w:tcPr>
            <w:tcW w:w="368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9554D9" w14:textId="77777777" w:rsidR="00201041" w:rsidRPr="00375059" w:rsidRDefault="00201041" w:rsidP="008E362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E4BA82"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3F77A"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уд. вес, %</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C9CC86"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млн руб.</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B81C46" w14:textId="77777777" w:rsidR="00201041" w:rsidRPr="00375059" w:rsidRDefault="00201041" w:rsidP="008E362D">
            <w:pPr>
              <w:spacing w:after="0" w:line="240" w:lineRule="auto"/>
              <w:jc w:val="center"/>
              <w:rPr>
                <w:rFonts w:ascii="Times New Roman" w:hAnsi="Times New Roman"/>
                <w:b/>
                <w:sz w:val="24"/>
                <w:szCs w:val="24"/>
              </w:rPr>
            </w:pPr>
            <w:r w:rsidRPr="00375059">
              <w:rPr>
                <w:rFonts w:ascii="Times New Roman" w:hAnsi="Times New Roman"/>
                <w:b/>
                <w:sz w:val="24"/>
                <w:szCs w:val="24"/>
              </w:rPr>
              <w:t>уд. вес, %</w:t>
            </w: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21A357" w14:textId="77777777" w:rsidR="00201041" w:rsidRPr="00375059" w:rsidRDefault="00201041" w:rsidP="008E362D">
            <w:pPr>
              <w:spacing w:after="0" w:line="240" w:lineRule="auto"/>
              <w:rPr>
                <w:rFonts w:ascii="Times New Roman" w:hAnsi="Times New Roman"/>
                <w:sz w:val="24"/>
                <w:szCs w:val="24"/>
              </w:rPr>
            </w:pPr>
          </w:p>
        </w:tc>
      </w:tr>
      <w:tr w:rsidR="00201041" w:rsidRPr="00375059" w14:paraId="1CBA9013" w14:textId="77777777" w:rsidTr="008A0869">
        <w:trPr>
          <w:trHeight w:val="60"/>
        </w:trPr>
        <w:tc>
          <w:tcPr>
            <w:tcW w:w="3681" w:type="dxa"/>
            <w:tcBorders>
              <w:top w:val="single" w:sz="4" w:space="0" w:color="auto"/>
              <w:left w:val="single" w:sz="4" w:space="0" w:color="auto"/>
              <w:bottom w:val="single" w:sz="4" w:space="0" w:color="auto"/>
              <w:right w:val="single" w:sz="4" w:space="0" w:color="auto"/>
            </w:tcBorders>
          </w:tcPr>
          <w:p w14:paraId="1A429842"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 xml:space="preserve">Задолженность по кредитам, всего </w:t>
            </w:r>
          </w:p>
        </w:tc>
        <w:tc>
          <w:tcPr>
            <w:tcW w:w="1276" w:type="dxa"/>
            <w:tcBorders>
              <w:top w:val="single" w:sz="4" w:space="0" w:color="auto"/>
              <w:left w:val="single" w:sz="4" w:space="0" w:color="auto"/>
              <w:bottom w:val="single" w:sz="4" w:space="0" w:color="auto"/>
              <w:right w:val="single" w:sz="4" w:space="0" w:color="auto"/>
            </w:tcBorders>
            <w:vAlign w:val="center"/>
          </w:tcPr>
          <w:p w14:paraId="07D7CABC"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1 106,9</w:t>
            </w:r>
          </w:p>
        </w:tc>
        <w:tc>
          <w:tcPr>
            <w:tcW w:w="1134" w:type="dxa"/>
            <w:tcBorders>
              <w:top w:val="single" w:sz="4" w:space="0" w:color="auto"/>
              <w:left w:val="single" w:sz="4" w:space="0" w:color="auto"/>
              <w:bottom w:val="single" w:sz="4" w:space="0" w:color="auto"/>
              <w:right w:val="single" w:sz="4" w:space="0" w:color="auto"/>
            </w:tcBorders>
            <w:vAlign w:val="center"/>
          </w:tcPr>
          <w:p w14:paraId="7C894EF5"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100,0</w:t>
            </w:r>
          </w:p>
        </w:tc>
        <w:tc>
          <w:tcPr>
            <w:tcW w:w="1275" w:type="dxa"/>
            <w:tcBorders>
              <w:top w:val="single" w:sz="4" w:space="0" w:color="auto"/>
              <w:left w:val="single" w:sz="4" w:space="0" w:color="auto"/>
              <w:bottom w:val="single" w:sz="4" w:space="0" w:color="auto"/>
              <w:right w:val="single" w:sz="4" w:space="0" w:color="auto"/>
            </w:tcBorders>
            <w:vAlign w:val="center"/>
          </w:tcPr>
          <w:p w14:paraId="3AA703D7"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1 116,3</w:t>
            </w:r>
          </w:p>
        </w:tc>
        <w:tc>
          <w:tcPr>
            <w:tcW w:w="993" w:type="dxa"/>
            <w:tcBorders>
              <w:top w:val="single" w:sz="4" w:space="0" w:color="auto"/>
              <w:left w:val="single" w:sz="4" w:space="0" w:color="auto"/>
              <w:bottom w:val="single" w:sz="4" w:space="0" w:color="auto"/>
              <w:right w:val="single" w:sz="4" w:space="0" w:color="auto"/>
            </w:tcBorders>
            <w:vAlign w:val="center"/>
          </w:tcPr>
          <w:p w14:paraId="344B2C3E"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14:paraId="42ED17E5"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100,9</w:t>
            </w:r>
          </w:p>
        </w:tc>
      </w:tr>
      <w:tr w:rsidR="00201041" w:rsidRPr="00375059" w14:paraId="6166C83D" w14:textId="77777777" w:rsidTr="008A0869">
        <w:trPr>
          <w:trHeight w:val="20"/>
        </w:trPr>
        <w:tc>
          <w:tcPr>
            <w:tcW w:w="3681" w:type="dxa"/>
            <w:tcBorders>
              <w:top w:val="single" w:sz="4" w:space="0" w:color="auto"/>
              <w:left w:val="single" w:sz="4" w:space="0" w:color="auto"/>
              <w:bottom w:val="nil"/>
              <w:right w:val="single" w:sz="4" w:space="0" w:color="auto"/>
            </w:tcBorders>
          </w:tcPr>
          <w:p w14:paraId="3C35E140" w14:textId="77777777" w:rsidR="00201041" w:rsidRPr="00375059" w:rsidRDefault="00201041" w:rsidP="008E362D">
            <w:pPr>
              <w:spacing w:after="0" w:line="240" w:lineRule="auto"/>
              <w:rPr>
                <w:rFonts w:ascii="Times New Roman" w:hAnsi="Times New Roman"/>
                <w:sz w:val="24"/>
                <w:szCs w:val="24"/>
              </w:rPr>
            </w:pPr>
            <w:r w:rsidRPr="00375059">
              <w:rPr>
                <w:rFonts w:ascii="Times New Roman" w:hAnsi="Times New Roman"/>
                <w:sz w:val="24"/>
                <w:szCs w:val="24"/>
              </w:rPr>
              <w:t>в том числе:</w:t>
            </w:r>
          </w:p>
        </w:tc>
        <w:tc>
          <w:tcPr>
            <w:tcW w:w="1276" w:type="dxa"/>
            <w:tcBorders>
              <w:top w:val="single" w:sz="4" w:space="0" w:color="auto"/>
              <w:left w:val="single" w:sz="4" w:space="0" w:color="auto"/>
              <w:bottom w:val="nil"/>
              <w:right w:val="single" w:sz="4" w:space="0" w:color="auto"/>
            </w:tcBorders>
            <w:vAlign w:val="center"/>
          </w:tcPr>
          <w:p w14:paraId="7A0F1E80" w14:textId="77777777" w:rsidR="00201041" w:rsidRPr="00375059" w:rsidRDefault="00201041" w:rsidP="008E362D">
            <w:pPr>
              <w:spacing w:after="0" w:line="240" w:lineRule="auto"/>
              <w:jc w:val="right"/>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vAlign w:val="center"/>
          </w:tcPr>
          <w:p w14:paraId="311214EE" w14:textId="77777777" w:rsidR="00201041" w:rsidRPr="00375059" w:rsidRDefault="00201041" w:rsidP="008E362D">
            <w:pPr>
              <w:spacing w:after="0" w:line="240" w:lineRule="auto"/>
              <w:jc w:val="right"/>
              <w:rPr>
                <w:rFonts w:ascii="Times New Roman" w:hAnsi="Times New Roman"/>
                <w:sz w:val="24"/>
                <w:szCs w:val="24"/>
              </w:rPr>
            </w:pPr>
          </w:p>
        </w:tc>
        <w:tc>
          <w:tcPr>
            <w:tcW w:w="1275" w:type="dxa"/>
            <w:tcBorders>
              <w:top w:val="single" w:sz="4" w:space="0" w:color="auto"/>
              <w:left w:val="single" w:sz="4" w:space="0" w:color="auto"/>
              <w:bottom w:val="nil"/>
              <w:right w:val="single" w:sz="4" w:space="0" w:color="auto"/>
            </w:tcBorders>
            <w:vAlign w:val="center"/>
          </w:tcPr>
          <w:p w14:paraId="1DB9AED4" w14:textId="77777777" w:rsidR="00201041" w:rsidRPr="00375059" w:rsidRDefault="00201041" w:rsidP="008E362D">
            <w:pPr>
              <w:spacing w:after="0" w:line="240" w:lineRule="auto"/>
              <w:jc w:val="right"/>
              <w:rPr>
                <w:rFonts w:ascii="Times New Roman" w:hAnsi="Times New Roman"/>
                <w:sz w:val="24"/>
                <w:szCs w:val="24"/>
              </w:rPr>
            </w:pPr>
          </w:p>
        </w:tc>
        <w:tc>
          <w:tcPr>
            <w:tcW w:w="993" w:type="dxa"/>
            <w:tcBorders>
              <w:top w:val="single" w:sz="4" w:space="0" w:color="auto"/>
              <w:left w:val="single" w:sz="4" w:space="0" w:color="auto"/>
              <w:bottom w:val="nil"/>
              <w:right w:val="single" w:sz="4" w:space="0" w:color="auto"/>
            </w:tcBorders>
            <w:vAlign w:val="center"/>
          </w:tcPr>
          <w:p w14:paraId="7774AF9D" w14:textId="77777777" w:rsidR="00201041" w:rsidRPr="00375059" w:rsidRDefault="00201041" w:rsidP="008E362D">
            <w:pPr>
              <w:spacing w:after="0" w:line="240" w:lineRule="auto"/>
              <w:jc w:val="right"/>
              <w:rPr>
                <w:rFonts w:ascii="Times New Roman" w:hAnsi="Times New Roman"/>
                <w:sz w:val="24"/>
                <w:szCs w:val="24"/>
              </w:rPr>
            </w:pPr>
          </w:p>
        </w:tc>
        <w:tc>
          <w:tcPr>
            <w:tcW w:w="992" w:type="dxa"/>
            <w:tcBorders>
              <w:top w:val="single" w:sz="4" w:space="0" w:color="auto"/>
              <w:left w:val="single" w:sz="4" w:space="0" w:color="auto"/>
              <w:bottom w:val="nil"/>
              <w:right w:val="single" w:sz="4" w:space="0" w:color="auto"/>
            </w:tcBorders>
            <w:vAlign w:val="center"/>
          </w:tcPr>
          <w:p w14:paraId="52820781" w14:textId="77777777" w:rsidR="00201041" w:rsidRPr="00375059" w:rsidRDefault="00201041" w:rsidP="008E362D">
            <w:pPr>
              <w:spacing w:after="0" w:line="240" w:lineRule="auto"/>
              <w:jc w:val="right"/>
              <w:rPr>
                <w:rFonts w:ascii="Times New Roman" w:hAnsi="Times New Roman"/>
                <w:sz w:val="24"/>
                <w:szCs w:val="24"/>
              </w:rPr>
            </w:pPr>
          </w:p>
        </w:tc>
      </w:tr>
      <w:tr w:rsidR="00201041" w:rsidRPr="00375059" w14:paraId="08D64A05" w14:textId="77777777" w:rsidTr="008A0869">
        <w:trPr>
          <w:trHeight w:val="20"/>
        </w:trPr>
        <w:tc>
          <w:tcPr>
            <w:tcW w:w="3681" w:type="dxa"/>
            <w:tcBorders>
              <w:top w:val="nil"/>
              <w:left w:val="single" w:sz="4" w:space="0" w:color="auto"/>
              <w:bottom w:val="single" w:sz="4" w:space="0" w:color="auto"/>
              <w:right w:val="single" w:sz="4" w:space="0" w:color="auto"/>
            </w:tcBorders>
          </w:tcPr>
          <w:p w14:paraId="3F1CA6F9" w14:textId="77777777" w:rsidR="00201041" w:rsidRPr="00AE58BC" w:rsidRDefault="00201041" w:rsidP="008E362D">
            <w:pPr>
              <w:spacing w:after="0" w:line="240" w:lineRule="auto"/>
              <w:rPr>
                <w:rFonts w:ascii="Times New Roman" w:hAnsi="Times New Roman"/>
                <w:sz w:val="24"/>
                <w:szCs w:val="24"/>
              </w:rPr>
            </w:pPr>
            <w:r w:rsidRPr="00AE58BC">
              <w:rPr>
                <w:rFonts w:ascii="Times New Roman" w:hAnsi="Times New Roman"/>
                <w:sz w:val="24"/>
                <w:szCs w:val="24"/>
              </w:rPr>
              <w:t>- краткосрочные</w:t>
            </w:r>
          </w:p>
        </w:tc>
        <w:tc>
          <w:tcPr>
            <w:tcW w:w="1276" w:type="dxa"/>
            <w:tcBorders>
              <w:top w:val="nil"/>
              <w:left w:val="single" w:sz="4" w:space="0" w:color="auto"/>
              <w:bottom w:val="single" w:sz="4" w:space="0" w:color="auto"/>
              <w:right w:val="single" w:sz="4" w:space="0" w:color="auto"/>
            </w:tcBorders>
            <w:vAlign w:val="center"/>
          </w:tcPr>
          <w:p w14:paraId="493E7DFE" w14:textId="77777777" w:rsidR="00201041" w:rsidRPr="00AE58BC" w:rsidRDefault="00201041" w:rsidP="008E362D">
            <w:pPr>
              <w:spacing w:after="0" w:line="240" w:lineRule="auto"/>
              <w:jc w:val="right"/>
              <w:rPr>
                <w:rFonts w:ascii="Times New Roman" w:hAnsi="Times New Roman"/>
                <w:sz w:val="24"/>
                <w:szCs w:val="24"/>
              </w:rPr>
            </w:pPr>
            <w:r w:rsidRPr="00AE58BC">
              <w:rPr>
                <w:rFonts w:ascii="Times New Roman" w:hAnsi="Times New Roman"/>
                <w:sz w:val="24"/>
                <w:szCs w:val="24"/>
              </w:rPr>
              <w:t>119,2</w:t>
            </w:r>
          </w:p>
        </w:tc>
        <w:tc>
          <w:tcPr>
            <w:tcW w:w="1134" w:type="dxa"/>
            <w:tcBorders>
              <w:top w:val="nil"/>
              <w:left w:val="single" w:sz="4" w:space="0" w:color="auto"/>
              <w:bottom w:val="single" w:sz="4" w:space="0" w:color="auto"/>
              <w:right w:val="single" w:sz="4" w:space="0" w:color="auto"/>
            </w:tcBorders>
            <w:vAlign w:val="center"/>
          </w:tcPr>
          <w:p w14:paraId="7D744373" w14:textId="77777777" w:rsidR="00201041" w:rsidRPr="00AE58BC" w:rsidRDefault="00201041" w:rsidP="008E362D">
            <w:pPr>
              <w:spacing w:after="0" w:line="240" w:lineRule="auto"/>
              <w:jc w:val="right"/>
              <w:rPr>
                <w:rFonts w:ascii="Times New Roman" w:hAnsi="Times New Roman"/>
                <w:sz w:val="24"/>
                <w:szCs w:val="24"/>
              </w:rPr>
            </w:pPr>
            <w:r w:rsidRPr="00AE58BC">
              <w:rPr>
                <w:rFonts w:ascii="Times New Roman" w:hAnsi="Times New Roman"/>
                <w:sz w:val="24"/>
                <w:szCs w:val="24"/>
              </w:rPr>
              <w:t>10,8</w:t>
            </w:r>
          </w:p>
        </w:tc>
        <w:tc>
          <w:tcPr>
            <w:tcW w:w="1275" w:type="dxa"/>
            <w:tcBorders>
              <w:top w:val="nil"/>
              <w:left w:val="single" w:sz="4" w:space="0" w:color="auto"/>
              <w:bottom w:val="single" w:sz="4" w:space="0" w:color="auto"/>
              <w:right w:val="single" w:sz="4" w:space="0" w:color="auto"/>
            </w:tcBorders>
            <w:vAlign w:val="center"/>
          </w:tcPr>
          <w:p w14:paraId="704C8C3C"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133,8</w:t>
            </w:r>
          </w:p>
        </w:tc>
        <w:tc>
          <w:tcPr>
            <w:tcW w:w="993" w:type="dxa"/>
            <w:tcBorders>
              <w:top w:val="nil"/>
              <w:left w:val="single" w:sz="4" w:space="0" w:color="auto"/>
              <w:bottom w:val="single" w:sz="4" w:space="0" w:color="auto"/>
              <w:right w:val="single" w:sz="4" w:space="0" w:color="auto"/>
            </w:tcBorders>
            <w:vAlign w:val="center"/>
          </w:tcPr>
          <w:p w14:paraId="43ACC492"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12,0</w:t>
            </w:r>
          </w:p>
        </w:tc>
        <w:tc>
          <w:tcPr>
            <w:tcW w:w="992" w:type="dxa"/>
            <w:tcBorders>
              <w:top w:val="nil"/>
              <w:left w:val="single" w:sz="4" w:space="0" w:color="auto"/>
              <w:bottom w:val="single" w:sz="4" w:space="0" w:color="auto"/>
              <w:right w:val="single" w:sz="4" w:space="0" w:color="auto"/>
            </w:tcBorders>
            <w:vAlign w:val="center"/>
          </w:tcPr>
          <w:p w14:paraId="55FDE8BC"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112,3</w:t>
            </w:r>
          </w:p>
        </w:tc>
      </w:tr>
      <w:tr w:rsidR="00201041" w:rsidRPr="00375059" w14:paraId="41C33C82" w14:textId="77777777" w:rsidTr="008A0869">
        <w:trPr>
          <w:trHeight w:val="20"/>
        </w:trPr>
        <w:tc>
          <w:tcPr>
            <w:tcW w:w="3681" w:type="dxa"/>
            <w:tcBorders>
              <w:top w:val="single" w:sz="4" w:space="0" w:color="auto"/>
              <w:left w:val="single" w:sz="4" w:space="0" w:color="auto"/>
              <w:bottom w:val="single" w:sz="4" w:space="0" w:color="auto"/>
              <w:right w:val="single" w:sz="4" w:space="0" w:color="auto"/>
            </w:tcBorders>
          </w:tcPr>
          <w:p w14:paraId="1FE24D80" w14:textId="77777777" w:rsidR="00201041" w:rsidRPr="00AE58BC" w:rsidRDefault="00201041" w:rsidP="008E362D">
            <w:pPr>
              <w:spacing w:after="0" w:line="240" w:lineRule="auto"/>
              <w:rPr>
                <w:rFonts w:ascii="Times New Roman" w:hAnsi="Times New Roman"/>
                <w:sz w:val="24"/>
                <w:szCs w:val="24"/>
              </w:rPr>
            </w:pPr>
            <w:r w:rsidRPr="00AE58BC">
              <w:rPr>
                <w:rFonts w:ascii="Times New Roman" w:hAnsi="Times New Roman"/>
                <w:sz w:val="24"/>
                <w:szCs w:val="24"/>
              </w:rPr>
              <w:t>- среднесрочные</w:t>
            </w:r>
          </w:p>
        </w:tc>
        <w:tc>
          <w:tcPr>
            <w:tcW w:w="1276" w:type="dxa"/>
            <w:tcBorders>
              <w:top w:val="single" w:sz="4" w:space="0" w:color="auto"/>
              <w:left w:val="single" w:sz="4" w:space="0" w:color="auto"/>
              <w:bottom w:val="single" w:sz="4" w:space="0" w:color="auto"/>
              <w:right w:val="single" w:sz="4" w:space="0" w:color="auto"/>
            </w:tcBorders>
            <w:vAlign w:val="center"/>
          </w:tcPr>
          <w:p w14:paraId="47C3FD5E" w14:textId="77777777" w:rsidR="00201041" w:rsidRPr="00AE58BC" w:rsidRDefault="00201041" w:rsidP="008E362D">
            <w:pPr>
              <w:spacing w:after="0" w:line="240" w:lineRule="auto"/>
              <w:jc w:val="right"/>
              <w:rPr>
                <w:rFonts w:ascii="Times New Roman" w:hAnsi="Times New Roman"/>
                <w:sz w:val="24"/>
                <w:szCs w:val="24"/>
              </w:rPr>
            </w:pPr>
            <w:r w:rsidRPr="00AE58BC">
              <w:rPr>
                <w:rFonts w:ascii="Times New Roman" w:hAnsi="Times New Roman"/>
                <w:sz w:val="24"/>
                <w:szCs w:val="24"/>
              </w:rPr>
              <w:t>339,3</w:t>
            </w:r>
          </w:p>
        </w:tc>
        <w:tc>
          <w:tcPr>
            <w:tcW w:w="1134" w:type="dxa"/>
            <w:tcBorders>
              <w:top w:val="single" w:sz="4" w:space="0" w:color="auto"/>
              <w:left w:val="single" w:sz="4" w:space="0" w:color="auto"/>
              <w:bottom w:val="single" w:sz="4" w:space="0" w:color="auto"/>
              <w:right w:val="single" w:sz="4" w:space="0" w:color="auto"/>
            </w:tcBorders>
            <w:vAlign w:val="center"/>
          </w:tcPr>
          <w:p w14:paraId="44DBDF22" w14:textId="77777777" w:rsidR="00201041" w:rsidRPr="00AE58BC" w:rsidRDefault="00201041" w:rsidP="008E362D">
            <w:pPr>
              <w:spacing w:after="0" w:line="240" w:lineRule="auto"/>
              <w:jc w:val="right"/>
              <w:rPr>
                <w:rFonts w:ascii="Times New Roman" w:hAnsi="Times New Roman"/>
                <w:sz w:val="24"/>
                <w:szCs w:val="24"/>
              </w:rPr>
            </w:pPr>
            <w:r w:rsidRPr="00AE58BC">
              <w:rPr>
                <w:rFonts w:ascii="Times New Roman" w:hAnsi="Times New Roman"/>
                <w:sz w:val="24"/>
                <w:szCs w:val="24"/>
              </w:rPr>
              <w:t>30,7</w:t>
            </w:r>
          </w:p>
        </w:tc>
        <w:tc>
          <w:tcPr>
            <w:tcW w:w="1275" w:type="dxa"/>
            <w:tcBorders>
              <w:top w:val="single" w:sz="4" w:space="0" w:color="auto"/>
              <w:left w:val="single" w:sz="4" w:space="0" w:color="auto"/>
              <w:bottom w:val="single" w:sz="4" w:space="0" w:color="auto"/>
              <w:right w:val="single" w:sz="4" w:space="0" w:color="auto"/>
            </w:tcBorders>
            <w:vAlign w:val="center"/>
          </w:tcPr>
          <w:p w14:paraId="420BE8FA"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286,8</w:t>
            </w:r>
          </w:p>
        </w:tc>
        <w:tc>
          <w:tcPr>
            <w:tcW w:w="993" w:type="dxa"/>
            <w:tcBorders>
              <w:top w:val="single" w:sz="4" w:space="0" w:color="auto"/>
              <w:left w:val="single" w:sz="4" w:space="0" w:color="auto"/>
              <w:bottom w:val="single" w:sz="4" w:space="0" w:color="auto"/>
              <w:right w:val="single" w:sz="4" w:space="0" w:color="auto"/>
            </w:tcBorders>
            <w:vAlign w:val="center"/>
          </w:tcPr>
          <w:p w14:paraId="5DF59F8D"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25,7</w:t>
            </w:r>
          </w:p>
        </w:tc>
        <w:tc>
          <w:tcPr>
            <w:tcW w:w="992" w:type="dxa"/>
            <w:tcBorders>
              <w:top w:val="single" w:sz="4" w:space="0" w:color="auto"/>
              <w:left w:val="single" w:sz="4" w:space="0" w:color="auto"/>
              <w:bottom w:val="single" w:sz="4" w:space="0" w:color="auto"/>
              <w:right w:val="single" w:sz="4" w:space="0" w:color="auto"/>
            </w:tcBorders>
            <w:vAlign w:val="center"/>
          </w:tcPr>
          <w:p w14:paraId="32F6D12B"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84,5</w:t>
            </w:r>
          </w:p>
        </w:tc>
      </w:tr>
      <w:tr w:rsidR="00201041" w:rsidRPr="00375059" w14:paraId="7A4F8A4D" w14:textId="77777777" w:rsidTr="008A0869">
        <w:trPr>
          <w:trHeight w:val="20"/>
        </w:trPr>
        <w:tc>
          <w:tcPr>
            <w:tcW w:w="3681" w:type="dxa"/>
            <w:tcBorders>
              <w:top w:val="single" w:sz="4" w:space="0" w:color="auto"/>
              <w:left w:val="single" w:sz="4" w:space="0" w:color="auto"/>
              <w:bottom w:val="single" w:sz="4" w:space="0" w:color="auto"/>
              <w:right w:val="single" w:sz="4" w:space="0" w:color="auto"/>
            </w:tcBorders>
          </w:tcPr>
          <w:p w14:paraId="79F5118D" w14:textId="77777777" w:rsidR="00201041" w:rsidRPr="00AE58BC" w:rsidRDefault="00201041" w:rsidP="008E362D">
            <w:pPr>
              <w:spacing w:after="0" w:line="240" w:lineRule="auto"/>
              <w:rPr>
                <w:rFonts w:ascii="Times New Roman" w:hAnsi="Times New Roman"/>
                <w:sz w:val="24"/>
                <w:szCs w:val="24"/>
              </w:rPr>
            </w:pPr>
            <w:r w:rsidRPr="00AE58BC">
              <w:rPr>
                <w:rFonts w:ascii="Times New Roman" w:hAnsi="Times New Roman"/>
                <w:sz w:val="24"/>
                <w:szCs w:val="24"/>
              </w:rPr>
              <w:t>- долгосрочные</w:t>
            </w:r>
          </w:p>
        </w:tc>
        <w:tc>
          <w:tcPr>
            <w:tcW w:w="1276" w:type="dxa"/>
            <w:tcBorders>
              <w:top w:val="single" w:sz="4" w:space="0" w:color="auto"/>
              <w:left w:val="single" w:sz="4" w:space="0" w:color="auto"/>
              <w:bottom w:val="single" w:sz="4" w:space="0" w:color="auto"/>
              <w:right w:val="single" w:sz="4" w:space="0" w:color="auto"/>
            </w:tcBorders>
            <w:vAlign w:val="center"/>
          </w:tcPr>
          <w:p w14:paraId="49AF559E" w14:textId="77777777" w:rsidR="00201041" w:rsidRPr="00AE58BC" w:rsidRDefault="00201041" w:rsidP="008E362D">
            <w:pPr>
              <w:spacing w:after="0" w:line="240" w:lineRule="auto"/>
              <w:jc w:val="right"/>
              <w:rPr>
                <w:rFonts w:ascii="Times New Roman" w:hAnsi="Times New Roman"/>
                <w:sz w:val="24"/>
                <w:szCs w:val="24"/>
              </w:rPr>
            </w:pPr>
            <w:r w:rsidRPr="00AE58BC">
              <w:rPr>
                <w:rFonts w:ascii="Times New Roman" w:hAnsi="Times New Roman"/>
                <w:sz w:val="24"/>
                <w:szCs w:val="24"/>
              </w:rPr>
              <w:t>554,0</w:t>
            </w:r>
          </w:p>
        </w:tc>
        <w:tc>
          <w:tcPr>
            <w:tcW w:w="1134" w:type="dxa"/>
            <w:tcBorders>
              <w:top w:val="single" w:sz="4" w:space="0" w:color="auto"/>
              <w:left w:val="single" w:sz="4" w:space="0" w:color="auto"/>
              <w:bottom w:val="single" w:sz="4" w:space="0" w:color="auto"/>
              <w:right w:val="single" w:sz="4" w:space="0" w:color="auto"/>
            </w:tcBorders>
            <w:vAlign w:val="center"/>
          </w:tcPr>
          <w:p w14:paraId="667470ED" w14:textId="77777777" w:rsidR="00201041" w:rsidRPr="00AE58BC" w:rsidRDefault="00201041" w:rsidP="008E362D">
            <w:pPr>
              <w:spacing w:after="0" w:line="240" w:lineRule="auto"/>
              <w:jc w:val="right"/>
              <w:rPr>
                <w:rFonts w:ascii="Times New Roman" w:hAnsi="Times New Roman"/>
                <w:sz w:val="24"/>
                <w:szCs w:val="24"/>
              </w:rPr>
            </w:pPr>
            <w:r w:rsidRPr="00AE58BC">
              <w:rPr>
                <w:rFonts w:ascii="Times New Roman" w:hAnsi="Times New Roman"/>
                <w:sz w:val="24"/>
                <w:szCs w:val="24"/>
              </w:rPr>
              <w:t>50,1</w:t>
            </w:r>
          </w:p>
        </w:tc>
        <w:tc>
          <w:tcPr>
            <w:tcW w:w="1275" w:type="dxa"/>
            <w:tcBorders>
              <w:top w:val="single" w:sz="4" w:space="0" w:color="auto"/>
              <w:left w:val="single" w:sz="4" w:space="0" w:color="auto"/>
              <w:bottom w:val="single" w:sz="4" w:space="0" w:color="auto"/>
              <w:right w:val="single" w:sz="4" w:space="0" w:color="auto"/>
            </w:tcBorders>
            <w:vAlign w:val="center"/>
          </w:tcPr>
          <w:p w14:paraId="1C1D2ED5"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656,2</w:t>
            </w:r>
          </w:p>
        </w:tc>
        <w:tc>
          <w:tcPr>
            <w:tcW w:w="993" w:type="dxa"/>
            <w:tcBorders>
              <w:top w:val="single" w:sz="4" w:space="0" w:color="auto"/>
              <w:left w:val="single" w:sz="4" w:space="0" w:color="auto"/>
              <w:bottom w:val="single" w:sz="4" w:space="0" w:color="auto"/>
              <w:right w:val="single" w:sz="4" w:space="0" w:color="auto"/>
            </w:tcBorders>
            <w:vAlign w:val="center"/>
          </w:tcPr>
          <w:p w14:paraId="269A6916"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58,8</w:t>
            </w:r>
          </w:p>
        </w:tc>
        <w:tc>
          <w:tcPr>
            <w:tcW w:w="992" w:type="dxa"/>
            <w:tcBorders>
              <w:top w:val="single" w:sz="4" w:space="0" w:color="auto"/>
              <w:left w:val="single" w:sz="4" w:space="0" w:color="auto"/>
              <w:bottom w:val="single" w:sz="4" w:space="0" w:color="auto"/>
              <w:right w:val="single" w:sz="4" w:space="0" w:color="auto"/>
            </w:tcBorders>
            <w:vAlign w:val="center"/>
          </w:tcPr>
          <w:p w14:paraId="0CBE4451" w14:textId="77777777" w:rsidR="00201041" w:rsidRPr="00375059" w:rsidRDefault="00201041" w:rsidP="008E362D">
            <w:pPr>
              <w:spacing w:after="0" w:line="240" w:lineRule="auto"/>
              <w:jc w:val="right"/>
              <w:rPr>
                <w:rFonts w:ascii="Times New Roman" w:hAnsi="Times New Roman"/>
                <w:sz w:val="24"/>
                <w:szCs w:val="24"/>
              </w:rPr>
            </w:pPr>
            <w:r w:rsidRPr="00375059">
              <w:rPr>
                <w:rFonts w:ascii="Times New Roman" w:hAnsi="Times New Roman"/>
                <w:sz w:val="24"/>
                <w:szCs w:val="24"/>
              </w:rPr>
              <w:t>118,4</w:t>
            </w:r>
          </w:p>
        </w:tc>
      </w:tr>
      <w:tr w:rsidR="00201041" w:rsidRPr="00375059" w14:paraId="1922F9C9" w14:textId="77777777" w:rsidTr="008A0869">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tcPr>
          <w:p w14:paraId="587992A0" w14:textId="77777777" w:rsidR="00201041" w:rsidRPr="00AE58BC" w:rsidRDefault="00201041" w:rsidP="008E362D">
            <w:pPr>
              <w:spacing w:after="0" w:line="240" w:lineRule="auto"/>
              <w:rPr>
                <w:rFonts w:ascii="Times New Roman" w:hAnsi="Times New Roman"/>
                <w:b w:val="0"/>
                <w:sz w:val="24"/>
                <w:szCs w:val="24"/>
              </w:rPr>
            </w:pPr>
            <w:r w:rsidRPr="00AE58BC">
              <w:rPr>
                <w:rFonts w:ascii="Times New Roman" w:hAnsi="Times New Roman"/>
                <w:b w:val="0"/>
                <w:sz w:val="24"/>
                <w:szCs w:val="24"/>
              </w:rPr>
              <w:t>- просроченные</w:t>
            </w:r>
          </w:p>
        </w:tc>
        <w:tc>
          <w:tcPr>
            <w:tcW w:w="1276" w:type="dxa"/>
            <w:tcBorders>
              <w:top w:val="single" w:sz="4" w:space="0" w:color="auto"/>
              <w:left w:val="single" w:sz="4" w:space="0" w:color="auto"/>
              <w:bottom w:val="single" w:sz="4" w:space="0" w:color="auto"/>
              <w:right w:val="single" w:sz="4" w:space="0" w:color="auto"/>
            </w:tcBorders>
            <w:vAlign w:val="center"/>
          </w:tcPr>
          <w:p w14:paraId="4AFAD845" w14:textId="77777777" w:rsidR="00201041" w:rsidRPr="00AE58BC"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58BC">
              <w:rPr>
                <w:rFonts w:ascii="Times New Roman" w:hAnsi="Times New Roman"/>
                <w:sz w:val="24"/>
                <w:szCs w:val="24"/>
              </w:rPr>
              <w:t>94,4</w:t>
            </w:r>
          </w:p>
        </w:tc>
        <w:tc>
          <w:tcPr>
            <w:tcW w:w="1134" w:type="dxa"/>
            <w:tcBorders>
              <w:top w:val="single" w:sz="4" w:space="0" w:color="auto"/>
              <w:left w:val="single" w:sz="4" w:space="0" w:color="auto"/>
              <w:bottom w:val="single" w:sz="4" w:space="0" w:color="auto"/>
              <w:right w:val="single" w:sz="4" w:space="0" w:color="auto"/>
            </w:tcBorders>
            <w:vAlign w:val="center"/>
          </w:tcPr>
          <w:p w14:paraId="1447A83C" w14:textId="77777777" w:rsidR="00201041" w:rsidRPr="00AE58BC"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58BC">
              <w:rPr>
                <w:rFonts w:ascii="Times New Roman" w:hAnsi="Times New Roman"/>
                <w:sz w:val="24"/>
                <w:szCs w:val="24"/>
              </w:rPr>
              <w:t>8,5</w:t>
            </w:r>
          </w:p>
        </w:tc>
        <w:tc>
          <w:tcPr>
            <w:tcW w:w="1275" w:type="dxa"/>
            <w:tcBorders>
              <w:top w:val="single" w:sz="4" w:space="0" w:color="auto"/>
              <w:left w:val="single" w:sz="4" w:space="0" w:color="auto"/>
              <w:bottom w:val="single" w:sz="4" w:space="0" w:color="auto"/>
              <w:right w:val="single" w:sz="4" w:space="0" w:color="auto"/>
            </w:tcBorders>
            <w:vAlign w:val="center"/>
          </w:tcPr>
          <w:p w14:paraId="1C0DBF1F"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39,6</w:t>
            </w:r>
          </w:p>
        </w:tc>
        <w:tc>
          <w:tcPr>
            <w:tcW w:w="993" w:type="dxa"/>
            <w:tcBorders>
              <w:top w:val="single" w:sz="4" w:space="0" w:color="auto"/>
              <w:left w:val="single" w:sz="4" w:space="0" w:color="auto"/>
              <w:bottom w:val="single" w:sz="4" w:space="0" w:color="auto"/>
              <w:right w:val="single" w:sz="4" w:space="0" w:color="auto"/>
            </w:tcBorders>
            <w:vAlign w:val="center"/>
          </w:tcPr>
          <w:p w14:paraId="5669BA03"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vAlign w:val="center"/>
          </w:tcPr>
          <w:p w14:paraId="3111F64F" w14:textId="77777777" w:rsidR="00201041" w:rsidRPr="00375059" w:rsidRDefault="00201041" w:rsidP="008E362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75059">
              <w:rPr>
                <w:rFonts w:ascii="Times New Roman" w:hAnsi="Times New Roman"/>
                <w:sz w:val="24"/>
                <w:szCs w:val="24"/>
              </w:rPr>
              <w:t>41,9</w:t>
            </w:r>
          </w:p>
        </w:tc>
      </w:tr>
    </w:tbl>
    <w:p w14:paraId="6846A087" w14:textId="77777777" w:rsidR="008A0869" w:rsidRDefault="008A0869" w:rsidP="00201041">
      <w:pPr>
        <w:widowControl w:val="0"/>
        <w:autoSpaceDE w:val="0"/>
        <w:autoSpaceDN w:val="0"/>
        <w:adjustRightInd w:val="0"/>
        <w:spacing w:after="0" w:line="240" w:lineRule="auto"/>
        <w:ind w:left="34" w:firstLine="567"/>
        <w:jc w:val="both"/>
        <w:rPr>
          <w:rFonts w:ascii="Times New Roman" w:hAnsi="Times New Roman"/>
          <w:sz w:val="28"/>
          <w:szCs w:val="28"/>
        </w:rPr>
      </w:pPr>
    </w:p>
    <w:p w14:paraId="2CDC4583" w14:textId="6F31E5B7" w:rsidR="00201041" w:rsidRPr="00375059" w:rsidRDefault="00201041" w:rsidP="001463C8">
      <w:pPr>
        <w:widowControl w:val="0"/>
        <w:autoSpaceDE w:val="0"/>
        <w:autoSpaceDN w:val="0"/>
        <w:adjustRightInd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В разрезе сроков рост в наибольшей степени наблюдался в долгосрочном сегменте (+18,4%) до 656,2 млн руб.</w:t>
      </w:r>
    </w:p>
    <w:p w14:paraId="19638C22" w14:textId="77777777"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По итогам отчётного периода фиксировалось улучшение платёжной дисциплины клиентов: объём совокупной просроченной задолженности сократился на 36,6% до 118,3 млн руб. По состоянию на 1 января 2022 года это соответствует 2,9% совокупных кредитов и займов нефинансового сектора (4,7% на 1 января 2021 года).</w:t>
      </w:r>
    </w:p>
    <w:p w14:paraId="1B03AA27" w14:textId="77777777"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xml:space="preserve">Остаток не погашенных в срок обязательств юридических лиц уменьшился на 14,7% до 78,7 млн руб. (2,6% в структуре корпоративных кредитов), населения – в 2,4 раза до 39,6 млн руб. (3,5% в структуре потребительских кредитов). </w:t>
      </w:r>
    </w:p>
    <w:p w14:paraId="76A35DAD" w14:textId="77777777"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xml:space="preserve">Объём банковских резервов на возможные потери по кредитам и приравненным к ним средствам увеличился по отношению к уровню начала 2021 года на 8,5% и сложился на отметке 749,3 млн руб., составив 15,4% общего объёма выданных займов (+1,1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w:t>
      </w:r>
    </w:p>
    <w:p w14:paraId="744DA8EF" w14:textId="77777777" w:rsidR="00201041" w:rsidRPr="00375059" w:rsidRDefault="00201041" w:rsidP="001463C8">
      <w:pPr>
        <w:widowControl w:val="0"/>
        <w:autoSpaceDE w:val="0"/>
        <w:autoSpaceDN w:val="0"/>
        <w:adjustRightInd w:val="0"/>
        <w:spacing w:after="0" w:line="240" w:lineRule="auto"/>
        <w:ind w:left="34" w:firstLine="533"/>
        <w:rPr>
          <w:rFonts w:ascii="Times New Roman" w:hAnsi="Times New Roman"/>
          <w:b/>
          <w:i/>
          <w:sz w:val="28"/>
          <w:szCs w:val="28"/>
        </w:rPr>
      </w:pPr>
    </w:p>
    <w:p w14:paraId="6256D906" w14:textId="77777777" w:rsidR="00201041" w:rsidRPr="00375059" w:rsidRDefault="00201041" w:rsidP="001463C8">
      <w:pPr>
        <w:widowControl w:val="0"/>
        <w:autoSpaceDE w:val="0"/>
        <w:autoSpaceDN w:val="0"/>
        <w:adjustRightInd w:val="0"/>
        <w:spacing w:after="0" w:line="240" w:lineRule="auto"/>
        <w:ind w:left="34" w:firstLine="533"/>
        <w:rPr>
          <w:rFonts w:ascii="Times New Roman" w:hAnsi="Times New Roman"/>
          <w:b/>
          <w:i/>
          <w:sz w:val="28"/>
          <w:szCs w:val="28"/>
        </w:rPr>
      </w:pPr>
      <w:r w:rsidRPr="00375059">
        <w:rPr>
          <w:rFonts w:ascii="Times New Roman" w:hAnsi="Times New Roman"/>
          <w:b/>
          <w:i/>
          <w:sz w:val="28"/>
          <w:szCs w:val="28"/>
        </w:rPr>
        <w:t>Льготное кредитование</w:t>
      </w:r>
    </w:p>
    <w:p w14:paraId="38D0B34A" w14:textId="77777777" w:rsidR="00201041" w:rsidRPr="00375059" w:rsidRDefault="00201041" w:rsidP="001463C8">
      <w:pPr>
        <w:widowControl w:val="0"/>
        <w:tabs>
          <w:tab w:val="left" w:pos="851"/>
        </w:tabs>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xml:space="preserve">Положительное влияние на динамику кредитования реального сектора экономики оказало продолжение в 2021 году реализации </w:t>
      </w:r>
      <w:r w:rsidRPr="00375059">
        <w:rPr>
          <w:rFonts w:ascii="Times New Roman" w:hAnsi="Times New Roman"/>
          <w:b/>
          <w:sz w:val="28"/>
          <w:szCs w:val="28"/>
        </w:rPr>
        <w:t>программы льготного кредитования на цели модернизации и обновления основных фондов</w:t>
      </w:r>
      <w:r w:rsidRPr="00375059">
        <w:rPr>
          <w:rFonts w:ascii="Times New Roman" w:hAnsi="Times New Roman"/>
          <w:sz w:val="28"/>
          <w:szCs w:val="28"/>
        </w:rPr>
        <w:t>, оказывающей мощный мультипликативный эффект на развитие экономики.</w:t>
      </w:r>
    </w:p>
    <w:p w14:paraId="397AFE3E" w14:textId="77777777" w:rsidR="00201041" w:rsidRPr="00375059" w:rsidRDefault="00201041" w:rsidP="001463C8">
      <w:pPr>
        <w:widowControl w:val="0"/>
        <w:tabs>
          <w:tab w:val="left" w:pos="851"/>
        </w:tabs>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xml:space="preserve">Данная мера государственной поддержки, доступ к которой в отчетном году помимо промышленных, сельскохозяйственных производителей и строительных организаций получили организации сферы туризма, оставалась востребованным инструментом. В 2021 году был одобрен 31 договор </w:t>
      </w:r>
      <w:r w:rsidRPr="00375059">
        <w:rPr>
          <w:rFonts w:ascii="Times New Roman" w:hAnsi="Times New Roman"/>
          <w:sz w:val="28"/>
          <w:szCs w:val="28"/>
        </w:rPr>
        <w:br/>
        <w:t>29 субъектам в совокупной сумме, эквивалентной 118,7 млн руб. При этом треть кредитов была предоставлена на цели улучшения ситуации в сфере мелиорации.</w:t>
      </w:r>
    </w:p>
    <w:p w14:paraId="3E785AA1" w14:textId="77777777" w:rsidR="00201041" w:rsidRPr="00375059" w:rsidRDefault="00201041" w:rsidP="001463C8">
      <w:pPr>
        <w:spacing w:after="0" w:line="240" w:lineRule="auto"/>
        <w:ind w:left="34" w:firstLine="533"/>
        <w:jc w:val="both"/>
        <w:rPr>
          <w:rFonts w:ascii="Times New Roman" w:hAnsi="Times New Roman"/>
          <w:sz w:val="28"/>
          <w:szCs w:val="26"/>
        </w:rPr>
      </w:pPr>
      <w:r w:rsidRPr="00375059">
        <w:rPr>
          <w:rFonts w:ascii="Times New Roman" w:hAnsi="Times New Roman"/>
          <w:sz w:val="28"/>
          <w:szCs w:val="26"/>
        </w:rPr>
        <w:t xml:space="preserve">В связи с исчерпанием источника финансирования, а также принимая во внимание снижение ставок на рынке корпоративных банковских кредитов, с </w:t>
      </w:r>
      <w:r w:rsidRPr="00375059">
        <w:rPr>
          <w:rFonts w:ascii="Times New Roman" w:hAnsi="Times New Roman"/>
          <w:sz w:val="28"/>
          <w:szCs w:val="26"/>
        </w:rPr>
        <w:lastRenderedPageBreak/>
        <w:t>1 апреля 2021 года был запущен новый механизм кредитования путем субсидирования части процентной ставки в размере 6% годовых от суммы непогашенного кредита за счет средств республиканского бюджета в рамках Фонда развития предпринимательства Приднестровской Молдавской Республики.</w:t>
      </w:r>
    </w:p>
    <w:p w14:paraId="2A399E9E" w14:textId="77777777" w:rsidR="00201041" w:rsidRPr="00375059" w:rsidRDefault="00201041" w:rsidP="001463C8">
      <w:pPr>
        <w:widowControl w:val="0"/>
        <w:tabs>
          <w:tab w:val="left" w:pos="851"/>
        </w:tabs>
        <w:spacing w:after="0" w:line="240" w:lineRule="auto"/>
        <w:ind w:left="34" w:firstLine="533"/>
        <w:jc w:val="both"/>
        <w:rPr>
          <w:rFonts w:ascii="Times New Roman" w:hAnsi="Times New Roman"/>
          <w:sz w:val="28"/>
          <w:szCs w:val="26"/>
        </w:rPr>
      </w:pPr>
      <w:r w:rsidRPr="00375059">
        <w:rPr>
          <w:rFonts w:ascii="Times New Roman" w:hAnsi="Times New Roman"/>
          <w:sz w:val="28"/>
          <w:szCs w:val="26"/>
        </w:rPr>
        <w:t>На протяжении 2021 года велась непрерывная работа по усовершенствованию программы льготного кредитования. В частности, с целью поддержки внутреннего производителя, была закреплена норма,  устанавливающая приоритет заключения контрактов на поставку товарно-материальных ценностей, выполнение работ (услуг) с зарегистрированными на территории Приднестровской Молдавской Республики производителями отечественных аналогов иностранных товаров (услуг) при соблюдении прочих равных условий в представленном заемщиком проекте.</w:t>
      </w:r>
    </w:p>
    <w:p w14:paraId="7F86DBDA" w14:textId="77777777" w:rsidR="00201041" w:rsidRPr="00375059" w:rsidRDefault="00201041" w:rsidP="001463C8">
      <w:pPr>
        <w:widowControl w:val="0"/>
        <w:tabs>
          <w:tab w:val="left" w:pos="851"/>
        </w:tabs>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Сумма предоставленной государством поддержки в виде субсидирования части процентной ставки по кредитам, выданным с начала действия программы и в отчетном периоде, по итогам 2021 года оценена в размере 33,7 млн руб.</w:t>
      </w:r>
    </w:p>
    <w:p w14:paraId="73AD2CD5" w14:textId="77777777" w:rsidR="00201041" w:rsidRPr="00375059" w:rsidRDefault="00201041" w:rsidP="001463C8">
      <w:pPr>
        <w:widowControl w:val="0"/>
        <w:spacing w:after="0" w:line="240" w:lineRule="auto"/>
        <w:ind w:left="34" w:firstLine="533"/>
        <w:jc w:val="both"/>
        <w:rPr>
          <w:rFonts w:ascii="Times New Roman" w:hAnsi="Times New Roman"/>
          <w:b/>
          <w:i/>
          <w:sz w:val="28"/>
          <w:szCs w:val="28"/>
        </w:rPr>
      </w:pPr>
    </w:p>
    <w:p w14:paraId="559DE449" w14:textId="77777777" w:rsidR="00201041" w:rsidRPr="00375059" w:rsidRDefault="00201041" w:rsidP="001463C8">
      <w:pPr>
        <w:widowControl w:val="0"/>
        <w:spacing w:after="0" w:line="240" w:lineRule="auto"/>
        <w:ind w:left="34" w:firstLine="533"/>
        <w:jc w:val="both"/>
        <w:rPr>
          <w:rFonts w:ascii="Times New Roman" w:hAnsi="Times New Roman"/>
          <w:b/>
          <w:i/>
          <w:sz w:val="28"/>
          <w:szCs w:val="28"/>
        </w:rPr>
      </w:pPr>
      <w:r w:rsidRPr="00375059">
        <w:rPr>
          <w:rFonts w:ascii="Times New Roman" w:hAnsi="Times New Roman"/>
          <w:b/>
          <w:i/>
          <w:sz w:val="28"/>
          <w:szCs w:val="28"/>
        </w:rPr>
        <w:t xml:space="preserve">Инструменты денежно-кредитного регулирования </w:t>
      </w:r>
    </w:p>
    <w:p w14:paraId="254B9691" w14:textId="77777777" w:rsidR="00201041" w:rsidRPr="00375059" w:rsidRDefault="00201041" w:rsidP="001463C8">
      <w:pPr>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xml:space="preserve">В сфере валютного регулирования норма обязательной продажи части валютной выручки, установленная действующим законодательством, в отчётном периоде не изменилась и составила 25%, за исключением: </w:t>
      </w:r>
    </w:p>
    <w:p w14:paraId="5FDC0E8B" w14:textId="77777777" w:rsidR="00201041" w:rsidRPr="00375059" w:rsidRDefault="00201041" w:rsidP="001463C8">
      <w:pPr>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сумм, получаемых от реализации товаров, работ, услуг на территории Приднестровской Молдавской Республики за наличную иностранную валюту на основании лицензий, выданных Приднестровским республиканским банком, по которым норма составляет 10%;</w:t>
      </w:r>
    </w:p>
    <w:p w14:paraId="1826CA7B" w14:textId="77777777" w:rsidR="00201041" w:rsidRPr="00375059" w:rsidRDefault="00201041" w:rsidP="001463C8">
      <w:pPr>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денежных средств, полученных субъектом инновационной деятельности в результате реализации инновационного проекта в иностранной валюте, от реализации готовой продукции за пределы Приднестровской Молдавской Республики при осуществлении инновационного проекта, – норма 3%;</w:t>
      </w:r>
    </w:p>
    <w:p w14:paraId="23329E50" w14:textId="77777777" w:rsidR="00201041" w:rsidRPr="00375059" w:rsidRDefault="00201041" w:rsidP="001463C8">
      <w:pPr>
        <w:autoSpaceDE w:val="0"/>
        <w:autoSpaceDN w:val="0"/>
        <w:adjustRightInd w:val="0"/>
        <w:spacing w:after="0" w:line="240" w:lineRule="auto"/>
        <w:ind w:left="34" w:firstLine="533"/>
        <w:jc w:val="both"/>
        <w:rPr>
          <w:rFonts w:ascii="Times New Roman" w:eastAsia="Calibri" w:hAnsi="Times New Roman"/>
          <w:sz w:val="28"/>
          <w:szCs w:val="28"/>
        </w:rPr>
      </w:pPr>
      <w:r w:rsidRPr="00375059">
        <w:rPr>
          <w:rFonts w:ascii="Times New Roman" w:hAnsi="Times New Roman"/>
          <w:sz w:val="28"/>
          <w:szCs w:val="28"/>
        </w:rPr>
        <w:t xml:space="preserve">- денежных средств, полученных резидентами и нерезидентами в иностранной валюте от экспорта электрической энергии из Приднестровской Молдавской Республики, – норма 95% </w:t>
      </w:r>
      <w:r w:rsidRPr="00375059">
        <w:rPr>
          <w:rFonts w:ascii="Times New Roman" w:eastAsia="Calibri" w:hAnsi="Times New Roman"/>
          <w:sz w:val="28"/>
          <w:szCs w:val="28"/>
        </w:rPr>
        <w:t xml:space="preserve">(с 11 декабря 2021 года </w:t>
      </w:r>
      <w:r w:rsidRPr="00375059">
        <w:rPr>
          <w:rFonts w:ascii="Times New Roman" w:eastAsia="Calibri" w:hAnsi="Times New Roman"/>
          <w:sz w:val="28"/>
          <w:szCs w:val="28"/>
        </w:rPr>
        <w:softHyphen/>
        <w:t>– норма 80%);</w:t>
      </w:r>
    </w:p>
    <w:p w14:paraId="67F01D6E" w14:textId="77777777" w:rsidR="00201041" w:rsidRPr="00375059" w:rsidRDefault="00201041" w:rsidP="001463C8">
      <w:pPr>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организаций чёрной металлургии, осуществивших за предшествующий календарный месяц обязательную продажу части валютной выручки в объёме равном или превышающем в эквиваленте один миллион долларов США – норма 18% от суммы валютной выручки, получаемой в течение текущего календарного месяца.</w:t>
      </w:r>
    </w:p>
    <w:p w14:paraId="01A5F1E9" w14:textId="77777777" w:rsidR="00201041" w:rsidRPr="00375059" w:rsidRDefault="00201041" w:rsidP="001463C8">
      <w:pPr>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xml:space="preserve">Регуляторные меры в отношении ликвидности кредитных организаций в отчётном году не изменялись. Нормативы обязательных резервов сохранялись на уровне, действующем с 1 февраля 2017 года: 15% – по отношению к обязательствам кредитных организаций перед юридическими лицами в рублях и 12% – к обязательствам в валюте. При этом депонирование осуществлялось исключительно в национальной валюте. </w:t>
      </w:r>
    </w:p>
    <w:p w14:paraId="563E2F2A" w14:textId="7F6A2C26" w:rsidR="00201041" w:rsidRPr="00375059" w:rsidRDefault="00201041" w:rsidP="001463C8">
      <w:pPr>
        <w:spacing w:after="0" w:line="240" w:lineRule="auto"/>
        <w:ind w:left="34" w:firstLine="533"/>
        <w:jc w:val="both"/>
        <w:rPr>
          <w:rFonts w:ascii="Times New Roman" w:hAnsi="Times New Roman"/>
          <w:sz w:val="28"/>
          <w:szCs w:val="28"/>
        </w:rPr>
      </w:pPr>
      <w:r w:rsidRPr="00375059">
        <w:rPr>
          <w:rFonts w:ascii="Times New Roman" w:hAnsi="Times New Roman"/>
          <w:sz w:val="28"/>
          <w:szCs w:val="28"/>
        </w:rPr>
        <w:lastRenderedPageBreak/>
        <w:t>Общий объём средств, аккумулированных по состоянию на 1</w:t>
      </w:r>
      <w:r w:rsidR="00023D89">
        <w:rPr>
          <w:rFonts w:ascii="Times New Roman" w:hAnsi="Times New Roman"/>
          <w:sz w:val="28"/>
          <w:szCs w:val="28"/>
        </w:rPr>
        <w:t> </w:t>
      </w:r>
      <w:r w:rsidRPr="00375059">
        <w:rPr>
          <w:rFonts w:ascii="Times New Roman" w:hAnsi="Times New Roman"/>
          <w:sz w:val="28"/>
          <w:szCs w:val="28"/>
        </w:rPr>
        <w:t>января</w:t>
      </w:r>
      <w:r w:rsidR="00023D89">
        <w:rPr>
          <w:rFonts w:ascii="Times New Roman" w:hAnsi="Times New Roman"/>
          <w:sz w:val="28"/>
          <w:szCs w:val="28"/>
        </w:rPr>
        <w:t> </w:t>
      </w:r>
      <w:r w:rsidRPr="00375059">
        <w:rPr>
          <w:rFonts w:ascii="Times New Roman" w:hAnsi="Times New Roman"/>
          <w:sz w:val="28"/>
          <w:szCs w:val="28"/>
        </w:rPr>
        <w:t>2022</w:t>
      </w:r>
      <w:r w:rsidR="00023D89">
        <w:rPr>
          <w:rFonts w:ascii="Times New Roman" w:hAnsi="Times New Roman"/>
          <w:sz w:val="28"/>
          <w:szCs w:val="28"/>
        </w:rPr>
        <w:t> </w:t>
      </w:r>
      <w:r w:rsidRPr="00375059">
        <w:rPr>
          <w:rFonts w:ascii="Times New Roman" w:hAnsi="Times New Roman"/>
          <w:sz w:val="28"/>
          <w:szCs w:val="28"/>
        </w:rPr>
        <w:t>года в центральном банке в качестве обязательных резервов, по сравнению с данными на 1 января 2021 года увеличился на 9,0%, или на 35,9</w:t>
      </w:r>
      <w:r w:rsidR="00023D89">
        <w:rPr>
          <w:rFonts w:ascii="Times New Roman" w:hAnsi="Times New Roman"/>
          <w:sz w:val="28"/>
          <w:szCs w:val="28"/>
        </w:rPr>
        <w:t> </w:t>
      </w:r>
      <w:r w:rsidRPr="00375059">
        <w:rPr>
          <w:rFonts w:ascii="Times New Roman" w:hAnsi="Times New Roman"/>
          <w:sz w:val="28"/>
          <w:szCs w:val="28"/>
        </w:rPr>
        <w:t>млн руб., составив по действующим кредитным организациям 435,9</w:t>
      </w:r>
      <w:r w:rsidR="00023D89">
        <w:rPr>
          <w:rFonts w:ascii="Times New Roman" w:hAnsi="Times New Roman"/>
          <w:sz w:val="28"/>
          <w:szCs w:val="28"/>
        </w:rPr>
        <w:t> </w:t>
      </w:r>
      <w:r w:rsidRPr="00375059">
        <w:rPr>
          <w:rFonts w:ascii="Times New Roman" w:hAnsi="Times New Roman"/>
          <w:sz w:val="28"/>
          <w:szCs w:val="28"/>
        </w:rPr>
        <w:t>млн</w:t>
      </w:r>
      <w:r w:rsidR="00023D89">
        <w:rPr>
          <w:rFonts w:ascii="Times New Roman" w:hAnsi="Times New Roman"/>
          <w:sz w:val="28"/>
          <w:szCs w:val="28"/>
        </w:rPr>
        <w:t> </w:t>
      </w:r>
      <w:r w:rsidRPr="00375059">
        <w:rPr>
          <w:rFonts w:ascii="Times New Roman" w:hAnsi="Times New Roman"/>
          <w:sz w:val="28"/>
          <w:szCs w:val="28"/>
        </w:rPr>
        <w:t xml:space="preserve">руб. </w:t>
      </w:r>
    </w:p>
    <w:p w14:paraId="2AA44EF4" w14:textId="77777777" w:rsidR="00201041" w:rsidRPr="00375059" w:rsidRDefault="00201041" w:rsidP="001463C8">
      <w:pPr>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xml:space="preserve">Ставка страховых взносов составляла 12% от обязательств банка перед физическими лицами в рублях и 14% – в иностранной валюте. За 2021 год объём страховых фондов возрос на 6,8%, или на 31,4 млн руб., до 494,4 млн руб. </w:t>
      </w:r>
    </w:p>
    <w:p w14:paraId="7C75ACC5" w14:textId="77777777"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Ставка рефинансирования центрального банка в отчётном периоде не изменялась.</w:t>
      </w:r>
    </w:p>
    <w:p w14:paraId="4972025E" w14:textId="77777777" w:rsidR="00201041" w:rsidRPr="00375059" w:rsidRDefault="00201041" w:rsidP="001463C8">
      <w:pPr>
        <w:widowControl w:val="0"/>
        <w:spacing w:after="0" w:line="240" w:lineRule="auto"/>
        <w:ind w:left="34" w:firstLine="533"/>
        <w:jc w:val="both"/>
        <w:rPr>
          <w:rFonts w:ascii="Times New Roman" w:hAnsi="Times New Roman"/>
          <w:sz w:val="28"/>
          <w:szCs w:val="28"/>
        </w:rPr>
      </w:pPr>
    </w:p>
    <w:p w14:paraId="35D1B348" w14:textId="77777777" w:rsidR="00201041" w:rsidRPr="00375059" w:rsidRDefault="00201041" w:rsidP="001463C8">
      <w:pPr>
        <w:widowControl w:val="0"/>
        <w:spacing w:after="0" w:line="240" w:lineRule="auto"/>
        <w:ind w:left="34" w:firstLine="533"/>
        <w:jc w:val="both"/>
        <w:rPr>
          <w:rFonts w:ascii="Times New Roman" w:hAnsi="Times New Roman"/>
          <w:b/>
          <w:i/>
          <w:sz w:val="28"/>
          <w:szCs w:val="28"/>
        </w:rPr>
      </w:pPr>
      <w:r w:rsidRPr="00375059">
        <w:rPr>
          <w:rFonts w:ascii="Times New Roman" w:hAnsi="Times New Roman"/>
          <w:b/>
          <w:i/>
          <w:sz w:val="28"/>
          <w:szCs w:val="28"/>
        </w:rPr>
        <w:t xml:space="preserve">Противодействие легализации (отмыванию) доходов, полученных преступным путём, и финансированию терроризма </w:t>
      </w:r>
    </w:p>
    <w:p w14:paraId="48D7908C" w14:textId="77777777"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xml:space="preserve">В рамках реализации функций, установленных статьёй 12 Закона Приднестровской Молдавской Республики от 6 апреля 2009 года № 704-З-IV «О противодействии легализации (отмыванию) доходов, полученных преступным путём, и финансированию терроризма», Приднестровским республиканским банком как уполномоченным органом в сфере противодействия легализации (отмыванию) доходов, полученных преступным путём, и финансированию терроризма в 2021 году: </w:t>
      </w:r>
    </w:p>
    <w:p w14:paraId="10D117F7" w14:textId="0C817A91"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1) сняты с учёта в Приднестровском республиканском банке 14</w:t>
      </w:r>
      <w:r w:rsidR="00D30363">
        <w:rPr>
          <w:rFonts w:ascii="Times New Roman" w:hAnsi="Times New Roman"/>
          <w:sz w:val="28"/>
          <w:szCs w:val="28"/>
        </w:rPr>
        <w:t> </w:t>
      </w:r>
      <w:r w:rsidRPr="00375059">
        <w:rPr>
          <w:rFonts w:ascii="Times New Roman" w:hAnsi="Times New Roman"/>
          <w:sz w:val="28"/>
          <w:szCs w:val="28"/>
        </w:rPr>
        <w:t>субъектов;</w:t>
      </w:r>
    </w:p>
    <w:p w14:paraId="40910EAF" w14:textId="77777777"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2) поставлены на учёт 4 организации;</w:t>
      </w:r>
    </w:p>
    <w:p w14:paraId="17ED3302" w14:textId="77777777"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3) рассмотрены и согласованы Правила внутреннего контроля (изменения и (или) дополнения), представленные 8 организациями;</w:t>
      </w:r>
    </w:p>
    <w:p w14:paraId="01CA88A1" w14:textId="7B2B60B3"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4) посредством единой информационной системы в сфере противодействия легализации (отмыванию) доходов, полученных преступным путём, и финансированию терроризма, функционирующей в Приднестровском республиканском банке, приняты и проанализированы 3</w:t>
      </w:r>
      <w:r w:rsidR="00740F00">
        <w:rPr>
          <w:rFonts w:ascii="Times New Roman" w:hAnsi="Times New Roman"/>
          <w:sz w:val="28"/>
          <w:szCs w:val="28"/>
        </w:rPr>
        <w:t> </w:t>
      </w:r>
      <w:r w:rsidRPr="00375059">
        <w:rPr>
          <w:rFonts w:ascii="Times New Roman" w:hAnsi="Times New Roman"/>
          <w:sz w:val="28"/>
          <w:szCs w:val="28"/>
        </w:rPr>
        <w:t xml:space="preserve">367 сообщений от организаций, осуществляющих операции (сделки) с денежными средствами или иным имуществом, в том числе: </w:t>
      </w:r>
    </w:p>
    <w:p w14:paraId="51E8451B" w14:textId="77777777"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- 1 315 сообщений по операциям (сделкам), подлежащим государственному контролю;</w:t>
      </w:r>
    </w:p>
    <w:p w14:paraId="56AFF4A0" w14:textId="77777777" w:rsidR="00201041" w:rsidRPr="00375059" w:rsidRDefault="00201041" w:rsidP="001463C8">
      <w:pPr>
        <w:widowControl w:val="0"/>
        <w:spacing w:after="0" w:line="240" w:lineRule="auto"/>
        <w:ind w:left="34" w:firstLine="533"/>
        <w:jc w:val="both"/>
        <w:rPr>
          <w:rFonts w:ascii="Times New Roman" w:hAnsi="Times New Roman"/>
          <w:sz w:val="28"/>
          <w:szCs w:val="28"/>
        </w:rPr>
      </w:pPr>
      <w:r w:rsidRPr="00375059">
        <w:rPr>
          <w:rFonts w:ascii="Times New Roman" w:hAnsi="Times New Roman"/>
          <w:sz w:val="28"/>
          <w:szCs w:val="28"/>
        </w:rPr>
        <w:t>- 2 052 сообщения по операциям (сделкам), в отношении которых возникли подозрения, что они связаны с легализацией (отмыванием) доходов, полученных преступным путём, и финансированием терроризма;</w:t>
      </w:r>
    </w:p>
    <w:p w14:paraId="44415FB7" w14:textId="77777777" w:rsidR="00CC680C" w:rsidRDefault="00201041" w:rsidP="001463C8">
      <w:pPr>
        <w:widowControl w:val="0"/>
        <w:spacing w:after="0" w:line="240" w:lineRule="auto"/>
        <w:ind w:left="34" w:firstLine="533"/>
        <w:jc w:val="both"/>
        <w:rPr>
          <w:rFonts w:ascii="Times New Roman" w:hAnsi="Times New Roman"/>
          <w:sz w:val="28"/>
          <w:szCs w:val="28"/>
        </w:rPr>
        <w:sectPr w:rsidR="00CC680C" w:rsidSect="00963998">
          <w:headerReference w:type="even" r:id="rId71"/>
          <w:headerReference w:type="default" r:id="rId72"/>
          <w:headerReference w:type="first" r:id="rId73"/>
          <w:pgSz w:w="11906" w:h="16838"/>
          <w:pgMar w:top="1134" w:right="850" w:bottom="1134" w:left="1701" w:header="454" w:footer="340" w:gutter="0"/>
          <w:cols w:space="708"/>
          <w:titlePg/>
          <w:docGrid w:linePitch="360"/>
        </w:sectPr>
      </w:pPr>
      <w:r w:rsidRPr="00375059">
        <w:rPr>
          <w:rFonts w:ascii="Times New Roman" w:hAnsi="Times New Roman"/>
          <w:sz w:val="28"/>
          <w:szCs w:val="28"/>
        </w:rPr>
        <w:t>5) по итогам анализа полученных сообщений, а также иной информации, имеющейся в распоряжении Приднестровского республиканского банка, в правоохранительные органы направлено 13 сообщений с информацией об операциях (сделках) с денежными средствами, в отношении которых имелись достаточные основания полагать, что они связаны с легализацией (отмыванием) доходов, полученных преступным путём, и финансированием терроризма.</w:t>
      </w:r>
    </w:p>
    <w:p w14:paraId="1259BA06" w14:textId="77777777" w:rsidR="00201041" w:rsidRPr="00375059" w:rsidRDefault="00201041" w:rsidP="001463C8">
      <w:pPr>
        <w:pStyle w:val="2"/>
        <w:spacing w:before="0" w:line="240" w:lineRule="auto"/>
        <w:ind w:left="34" w:firstLine="533"/>
        <w:rPr>
          <w:rFonts w:ascii="Times New Roman" w:hAnsi="Times New Roman" w:cs="Times New Roman"/>
          <w:b/>
          <w:color w:val="auto"/>
          <w:sz w:val="28"/>
        </w:rPr>
      </w:pPr>
      <w:bookmarkStart w:id="50" w:name="_Toc82074357"/>
      <w:bookmarkStart w:id="51" w:name="_Toc101441794"/>
      <w:r w:rsidRPr="00375059">
        <w:rPr>
          <w:rFonts w:ascii="Times New Roman" w:hAnsi="Times New Roman" w:cs="Times New Roman"/>
          <w:b/>
          <w:color w:val="auto"/>
          <w:sz w:val="28"/>
        </w:rPr>
        <w:lastRenderedPageBreak/>
        <w:t>Экология</w:t>
      </w:r>
      <w:bookmarkEnd w:id="50"/>
      <w:bookmarkEnd w:id="51"/>
    </w:p>
    <w:p w14:paraId="1742346D" w14:textId="77777777" w:rsidR="00201041" w:rsidRPr="00375059" w:rsidRDefault="00201041" w:rsidP="001463C8">
      <w:pPr>
        <w:widowControl w:val="0"/>
        <w:spacing w:after="0" w:line="240" w:lineRule="auto"/>
        <w:ind w:left="34" w:firstLine="533"/>
        <w:jc w:val="both"/>
        <w:rPr>
          <w:rFonts w:ascii="Times New Roman" w:hAnsi="Times New Roman"/>
          <w:sz w:val="28"/>
          <w:szCs w:val="28"/>
          <w:shd w:val="clear" w:color="auto" w:fill="FFFFFF"/>
        </w:rPr>
      </w:pPr>
      <w:r w:rsidRPr="00375059">
        <w:rPr>
          <w:rFonts w:ascii="Times New Roman" w:hAnsi="Times New Roman"/>
          <w:sz w:val="28"/>
          <w:szCs w:val="28"/>
          <w:shd w:val="clear" w:color="auto" w:fill="FFFFFF"/>
        </w:rPr>
        <w:t>В 2021 году состояние окружающей среды республики характеризовалось увеличением совокупного объема</w:t>
      </w:r>
      <w:r w:rsidRPr="00375059">
        <w:rPr>
          <w:rFonts w:ascii="Times New Roman" w:hAnsi="Times New Roman"/>
          <w:b/>
          <w:i/>
          <w:sz w:val="28"/>
          <w:szCs w:val="28"/>
          <w:shd w:val="clear" w:color="auto" w:fill="FFFFFF"/>
        </w:rPr>
        <w:t xml:space="preserve"> выбросов вредных (загрязняющих) веществ в атмосферный воздух</w:t>
      </w:r>
      <w:r w:rsidRPr="00375059">
        <w:rPr>
          <w:rFonts w:ascii="Times New Roman" w:hAnsi="Times New Roman"/>
          <w:sz w:val="28"/>
          <w:szCs w:val="28"/>
          <w:shd w:val="clear" w:color="auto" w:fill="FFFFFF"/>
        </w:rPr>
        <w:t xml:space="preserve"> до 45,7 тыс. тонн (+20,8% к уровню 2020 года), что произошло из-за увеличения выбросов как от стационарных источников (+29,1% до 16,2 тыс. тонн), так и от передвижных (+16,8% до 29,5 тыс. тонн). Рост отмечался в связи с восстановлением экономической активности, которая обусловила увеличение количества реализуемого топлива через сети АЗС и АГНКС.</w:t>
      </w:r>
    </w:p>
    <w:p w14:paraId="61E1EE92" w14:textId="2E00A2AE" w:rsidR="00201041" w:rsidRPr="00375059" w:rsidRDefault="00201041" w:rsidP="001463C8">
      <w:pPr>
        <w:widowControl w:val="0"/>
        <w:spacing w:after="0" w:line="240" w:lineRule="auto"/>
        <w:ind w:left="34" w:firstLine="533"/>
        <w:jc w:val="both"/>
        <w:rPr>
          <w:rFonts w:ascii="Times New Roman" w:hAnsi="Times New Roman"/>
          <w:sz w:val="28"/>
          <w:szCs w:val="28"/>
          <w:shd w:val="clear" w:color="auto" w:fill="FFFFFF"/>
        </w:rPr>
      </w:pPr>
      <w:r w:rsidRPr="00375059">
        <w:rPr>
          <w:rFonts w:ascii="Times New Roman" w:hAnsi="Times New Roman"/>
          <w:sz w:val="28"/>
          <w:szCs w:val="28"/>
          <w:shd w:val="clear" w:color="auto" w:fill="FFFFFF"/>
        </w:rPr>
        <w:t>При этом повышательная динамика выбросов вредных веществ отмечалась по всем городам и районам республики, в диапазоне от +11,7% до +41,7%, по сравнению с уровнем 2020 года (табл. 1</w:t>
      </w:r>
      <w:r w:rsidR="00E16DD0" w:rsidRPr="00375059">
        <w:rPr>
          <w:rFonts w:ascii="Times New Roman" w:hAnsi="Times New Roman"/>
          <w:sz w:val="28"/>
          <w:szCs w:val="28"/>
          <w:shd w:val="clear" w:color="auto" w:fill="FFFFFF"/>
        </w:rPr>
        <w:t>3</w:t>
      </w:r>
      <w:r w:rsidRPr="00375059">
        <w:rPr>
          <w:rFonts w:ascii="Times New Roman" w:hAnsi="Times New Roman"/>
          <w:sz w:val="28"/>
          <w:szCs w:val="28"/>
          <w:shd w:val="clear" w:color="auto" w:fill="FFFFFF"/>
        </w:rPr>
        <w:t>).</w:t>
      </w:r>
    </w:p>
    <w:p w14:paraId="338A40FD" w14:textId="696DC3C0" w:rsidR="00201041" w:rsidRPr="00375059" w:rsidRDefault="00201041" w:rsidP="00201041">
      <w:pPr>
        <w:widowControl w:val="0"/>
        <w:spacing w:after="0" w:line="240" w:lineRule="auto"/>
        <w:ind w:firstLine="709"/>
        <w:jc w:val="right"/>
        <w:rPr>
          <w:rFonts w:ascii="Times New Roman" w:hAnsi="Times New Roman"/>
          <w:b/>
          <w:bCs/>
          <w:i/>
          <w:sz w:val="28"/>
          <w:szCs w:val="28"/>
          <w:shd w:val="clear" w:color="auto" w:fill="FFFFFF"/>
        </w:rPr>
      </w:pPr>
      <w:r w:rsidRPr="00375059">
        <w:rPr>
          <w:rFonts w:ascii="Times New Roman" w:hAnsi="Times New Roman"/>
          <w:b/>
          <w:bCs/>
          <w:i/>
          <w:sz w:val="28"/>
          <w:szCs w:val="28"/>
          <w:shd w:val="clear" w:color="auto" w:fill="FFFFFF"/>
        </w:rPr>
        <w:t>Таблица 1</w:t>
      </w:r>
      <w:r w:rsidR="00E16DD0" w:rsidRPr="00375059">
        <w:rPr>
          <w:rFonts w:ascii="Times New Roman" w:hAnsi="Times New Roman"/>
          <w:b/>
          <w:bCs/>
          <w:i/>
          <w:sz w:val="28"/>
          <w:szCs w:val="28"/>
          <w:shd w:val="clear" w:color="auto" w:fill="FFFFFF"/>
        </w:rPr>
        <w:t>3</w:t>
      </w:r>
    </w:p>
    <w:p w14:paraId="59EBFD9B" w14:textId="77777777" w:rsidR="00201041" w:rsidRPr="00375059" w:rsidRDefault="00201041" w:rsidP="00CE10DF">
      <w:pPr>
        <w:widowControl w:val="0"/>
        <w:spacing w:after="0" w:line="240" w:lineRule="auto"/>
        <w:jc w:val="center"/>
        <w:rPr>
          <w:rFonts w:ascii="Times New Roman" w:hAnsi="Times New Roman"/>
          <w:b/>
          <w:sz w:val="28"/>
          <w:szCs w:val="28"/>
          <w:shd w:val="clear" w:color="auto" w:fill="FFFFFF"/>
        </w:rPr>
      </w:pPr>
      <w:r w:rsidRPr="00375059">
        <w:rPr>
          <w:rFonts w:ascii="Times New Roman" w:hAnsi="Times New Roman"/>
          <w:b/>
          <w:sz w:val="28"/>
          <w:szCs w:val="28"/>
          <w:shd w:val="clear" w:color="auto" w:fill="FFFFFF"/>
        </w:rPr>
        <w:t>Выбросы вредных веществ в атмосферный воздух</w:t>
      </w:r>
    </w:p>
    <w:p w14:paraId="4D6CF907" w14:textId="77777777" w:rsidR="00201041" w:rsidRPr="00375059" w:rsidRDefault="00201041" w:rsidP="00CE10DF">
      <w:pPr>
        <w:widowControl w:val="0"/>
        <w:spacing w:after="0" w:line="240" w:lineRule="auto"/>
        <w:jc w:val="center"/>
        <w:rPr>
          <w:rFonts w:ascii="Times New Roman" w:hAnsi="Times New Roman"/>
          <w:b/>
          <w:sz w:val="28"/>
          <w:szCs w:val="28"/>
          <w:shd w:val="clear" w:color="auto" w:fill="FFFFFF"/>
        </w:rPr>
      </w:pPr>
      <w:r w:rsidRPr="00375059">
        <w:rPr>
          <w:rFonts w:ascii="Times New Roman" w:hAnsi="Times New Roman"/>
          <w:b/>
          <w:sz w:val="28"/>
          <w:szCs w:val="28"/>
          <w:shd w:val="clear" w:color="auto" w:fill="FFFFFF"/>
        </w:rPr>
        <w:t>в разрезе городов и районов за 2021 год, тонн</w:t>
      </w:r>
    </w:p>
    <w:tbl>
      <w:tblPr>
        <w:tblW w:w="9645" w:type="dxa"/>
        <w:jc w:val="center"/>
        <w:tblLook w:val="04A0" w:firstRow="1" w:lastRow="0" w:firstColumn="1" w:lastColumn="0" w:noHBand="0" w:noVBand="1"/>
      </w:tblPr>
      <w:tblGrid>
        <w:gridCol w:w="3701"/>
        <w:gridCol w:w="990"/>
        <w:gridCol w:w="991"/>
        <w:gridCol w:w="991"/>
        <w:gridCol w:w="990"/>
        <w:gridCol w:w="991"/>
        <w:gridCol w:w="991"/>
      </w:tblGrid>
      <w:tr w:rsidR="00201041" w:rsidRPr="00375059" w14:paraId="3D05D955" w14:textId="77777777" w:rsidTr="00E16DD0">
        <w:trPr>
          <w:trHeight w:val="362"/>
          <w:jc w:val="center"/>
        </w:trPr>
        <w:tc>
          <w:tcPr>
            <w:tcW w:w="370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89A5396" w14:textId="77777777" w:rsidR="00201041" w:rsidRPr="00375059" w:rsidRDefault="00201041" w:rsidP="00201041">
            <w:pPr>
              <w:widowControl w:val="0"/>
              <w:spacing w:after="0" w:line="240" w:lineRule="auto"/>
              <w:jc w:val="center"/>
              <w:rPr>
                <w:rFonts w:ascii="Times New Roman" w:hAnsi="Times New Roman"/>
                <w:b/>
                <w:bCs/>
                <w:color w:val="000000"/>
                <w:sz w:val="24"/>
                <w:szCs w:val="24"/>
              </w:rPr>
            </w:pPr>
            <w:r w:rsidRPr="00375059">
              <w:rPr>
                <w:rFonts w:ascii="Times New Roman" w:hAnsi="Times New Roman"/>
                <w:b/>
                <w:bCs/>
                <w:color w:val="000000"/>
                <w:sz w:val="24"/>
                <w:szCs w:val="24"/>
              </w:rPr>
              <w:t>Наименование</w:t>
            </w:r>
          </w:p>
        </w:tc>
        <w:tc>
          <w:tcPr>
            <w:tcW w:w="19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859DBA" w14:textId="77777777" w:rsidR="00201041" w:rsidRPr="00375059" w:rsidRDefault="00201041" w:rsidP="00201041">
            <w:pPr>
              <w:widowControl w:val="0"/>
              <w:spacing w:after="0" w:line="240" w:lineRule="auto"/>
              <w:jc w:val="center"/>
              <w:rPr>
                <w:rFonts w:ascii="Times New Roman" w:hAnsi="Times New Roman"/>
                <w:b/>
                <w:bCs/>
                <w:color w:val="000000"/>
                <w:sz w:val="24"/>
                <w:szCs w:val="24"/>
              </w:rPr>
            </w:pPr>
            <w:r w:rsidRPr="00375059">
              <w:rPr>
                <w:rFonts w:ascii="Times New Roman" w:hAnsi="Times New Roman"/>
                <w:b/>
                <w:bCs/>
                <w:color w:val="000000"/>
                <w:sz w:val="24"/>
                <w:szCs w:val="24"/>
              </w:rPr>
              <w:t>всего</w:t>
            </w:r>
          </w:p>
        </w:tc>
        <w:tc>
          <w:tcPr>
            <w:tcW w:w="19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00A231" w14:textId="77777777" w:rsidR="00201041" w:rsidRPr="00375059" w:rsidRDefault="00201041" w:rsidP="00201041">
            <w:pPr>
              <w:widowControl w:val="0"/>
              <w:spacing w:after="0" w:line="240" w:lineRule="auto"/>
              <w:ind w:left="-93" w:right="-140"/>
              <w:jc w:val="center"/>
              <w:rPr>
                <w:rFonts w:ascii="Times New Roman" w:hAnsi="Times New Roman"/>
                <w:b/>
                <w:bCs/>
                <w:color w:val="000000"/>
                <w:sz w:val="24"/>
                <w:szCs w:val="24"/>
              </w:rPr>
            </w:pPr>
            <w:r w:rsidRPr="00375059">
              <w:rPr>
                <w:rFonts w:ascii="Times New Roman" w:hAnsi="Times New Roman"/>
                <w:b/>
                <w:bCs/>
                <w:color w:val="000000"/>
                <w:sz w:val="24"/>
                <w:szCs w:val="24"/>
              </w:rPr>
              <w:t>от стационарных источников</w:t>
            </w:r>
          </w:p>
        </w:tc>
        <w:tc>
          <w:tcPr>
            <w:tcW w:w="198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5AFF6E" w14:textId="77777777" w:rsidR="00201041" w:rsidRPr="00375059" w:rsidRDefault="00201041" w:rsidP="00201041">
            <w:pPr>
              <w:widowControl w:val="0"/>
              <w:spacing w:after="0" w:line="240" w:lineRule="auto"/>
              <w:jc w:val="center"/>
              <w:rPr>
                <w:rFonts w:ascii="Times New Roman" w:hAnsi="Times New Roman"/>
                <w:b/>
                <w:bCs/>
                <w:color w:val="000000"/>
                <w:sz w:val="24"/>
                <w:szCs w:val="24"/>
              </w:rPr>
            </w:pPr>
            <w:r w:rsidRPr="00375059">
              <w:rPr>
                <w:rFonts w:ascii="Times New Roman" w:hAnsi="Times New Roman"/>
                <w:b/>
                <w:bCs/>
                <w:color w:val="000000"/>
                <w:sz w:val="24"/>
                <w:szCs w:val="24"/>
              </w:rPr>
              <w:t>от передвижных источников</w:t>
            </w:r>
          </w:p>
        </w:tc>
      </w:tr>
      <w:tr w:rsidR="00201041" w:rsidRPr="00375059" w14:paraId="35E18277" w14:textId="77777777" w:rsidTr="00E16DD0">
        <w:trPr>
          <w:trHeight w:val="358"/>
          <w:jc w:val="center"/>
        </w:trPr>
        <w:tc>
          <w:tcPr>
            <w:tcW w:w="3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46F5877" w14:textId="77777777" w:rsidR="00201041" w:rsidRPr="00375059" w:rsidRDefault="00201041" w:rsidP="00201041">
            <w:pPr>
              <w:widowControl w:val="0"/>
              <w:spacing w:after="0" w:line="240" w:lineRule="auto"/>
              <w:rPr>
                <w:rFonts w:ascii="Times New Roman" w:hAnsi="Times New Roman"/>
                <w:b/>
                <w:bCs/>
                <w:color w:val="000000"/>
                <w:sz w:val="24"/>
                <w:szCs w:val="24"/>
              </w:rPr>
            </w:pPr>
          </w:p>
        </w:tc>
        <w:tc>
          <w:tcPr>
            <w:tcW w:w="990" w:type="dxa"/>
            <w:tcBorders>
              <w:top w:val="nil"/>
              <w:left w:val="nil"/>
              <w:bottom w:val="single" w:sz="4" w:space="0" w:color="auto"/>
              <w:right w:val="single" w:sz="4" w:space="0" w:color="auto"/>
            </w:tcBorders>
            <w:shd w:val="clear" w:color="auto" w:fill="D9D9D9" w:themeFill="background1" w:themeFillShade="D9"/>
            <w:vAlign w:val="center"/>
            <w:hideMark/>
          </w:tcPr>
          <w:p w14:paraId="5EA184C0" w14:textId="5731640C" w:rsidR="00201041" w:rsidRPr="00375059" w:rsidRDefault="00201041" w:rsidP="00201041">
            <w:pPr>
              <w:widowControl w:val="0"/>
              <w:spacing w:after="0" w:line="240" w:lineRule="auto"/>
              <w:jc w:val="center"/>
              <w:rPr>
                <w:rFonts w:ascii="Times New Roman" w:hAnsi="Times New Roman"/>
                <w:b/>
                <w:bCs/>
                <w:color w:val="000000"/>
                <w:sz w:val="24"/>
                <w:szCs w:val="24"/>
              </w:rPr>
            </w:pPr>
            <w:r w:rsidRPr="00375059">
              <w:rPr>
                <w:rFonts w:ascii="Times New Roman" w:hAnsi="Times New Roman"/>
                <w:b/>
                <w:bCs/>
                <w:color w:val="000000"/>
                <w:sz w:val="24"/>
                <w:szCs w:val="24"/>
              </w:rPr>
              <w:t>2021 г</w:t>
            </w:r>
            <w:r w:rsidR="002706DB">
              <w:rPr>
                <w:rFonts w:ascii="Times New Roman" w:hAnsi="Times New Roman"/>
                <w:b/>
                <w:bCs/>
                <w:color w:val="000000"/>
                <w:sz w:val="24"/>
                <w:szCs w:val="24"/>
              </w:rPr>
              <w:t>од</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756EAA70" w14:textId="637AEED4" w:rsidR="00201041" w:rsidRPr="00375059" w:rsidRDefault="002706DB" w:rsidP="00201041">
            <w:pPr>
              <w:widowControl w:val="0"/>
              <w:spacing w:after="0" w:line="240" w:lineRule="auto"/>
              <w:jc w:val="center"/>
              <w:rPr>
                <w:rFonts w:ascii="Times New Roman" w:hAnsi="Times New Roman"/>
                <w:b/>
                <w:bCs/>
                <w:color w:val="000000"/>
                <w:sz w:val="24"/>
                <w:szCs w:val="24"/>
              </w:rPr>
            </w:pPr>
            <w:r w:rsidRPr="00375059">
              <w:rPr>
                <w:rFonts w:ascii="Times New Roman" w:eastAsia="Calibri" w:hAnsi="Times New Roman"/>
                <w:b/>
                <w:sz w:val="24"/>
                <w:szCs w:val="24"/>
              </w:rPr>
              <w:t>темп роста к 2020 году, %</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318D9216" w14:textId="37CC08D6" w:rsidR="00201041" w:rsidRPr="00375059" w:rsidRDefault="00201041" w:rsidP="00201041">
            <w:pPr>
              <w:widowControl w:val="0"/>
              <w:spacing w:after="0" w:line="240" w:lineRule="auto"/>
              <w:jc w:val="center"/>
              <w:rPr>
                <w:rFonts w:ascii="Times New Roman" w:hAnsi="Times New Roman"/>
                <w:b/>
                <w:bCs/>
                <w:color w:val="000000"/>
                <w:sz w:val="24"/>
                <w:szCs w:val="24"/>
              </w:rPr>
            </w:pPr>
            <w:r w:rsidRPr="00375059">
              <w:rPr>
                <w:rFonts w:ascii="Times New Roman" w:hAnsi="Times New Roman"/>
                <w:b/>
                <w:bCs/>
                <w:color w:val="000000"/>
                <w:sz w:val="24"/>
                <w:szCs w:val="24"/>
              </w:rPr>
              <w:t>2021 г</w:t>
            </w:r>
            <w:r w:rsidR="002706DB">
              <w:rPr>
                <w:rFonts w:ascii="Times New Roman" w:hAnsi="Times New Roman"/>
                <w:b/>
                <w:bCs/>
                <w:color w:val="000000"/>
                <w:sz w:val="24"/>
                <w:szCs w:val="24"/>
              </w:rPr>
              <w:t>од</w:t>
            </w:r>
          </w:p>
        </w:tc>
        <w:tc>
          <w:tcPr>
            <w:tcW w:w="990" w:type="dxa"/>
            <w:tcBorders>
              <w:top w:val="nil"/>
              <w:left w:val="nil"/>
              <w:bottom w:val="single" w:sz="4" w:space="0" w:color="auto"/>
              <w:right w:val="single" w:sz="4" w:space="0" w:color="auto"/>
            </w:tcBorders>
            <w:shd w:val="clear" w:color="auto" w:fill="D9D9D9" w:themeFill="background1" w:themeFillShade="D9"/>
            <w:vAlign w:val="center"/>
            <w:hideMark/>
          </w:tcPr>
          <w:p w14:paraId="1F2A1229" w14:textId="73F2B621" w:rsidR="00201041" w:rsidRPr="00375059" w:rsidRDefault="002706DB" w:rsidP="00201041">
            <w:pPr>
              <w:widowControl w:val="0"/>
              <w:spacing w:after="0" w:line="240" w:lineRule="auto"/>
              <w:jc w:val="center"/>
              <w:rPr>
                <w:rFonts w:ascii="Times New Roman" w:hAnsi="Times New Roman"/>
                <w:b/>
                <w:bCs/>
                <w:color w:val="000000"/>
                <w:sz w:val="24"/>
                <w:szCs w:val="24"/>
              </w:rPr>
            </w:pPr>
            <w:r w:rsidRPr="00375059">
              <w:rPr>
                <w:rFonts w:ascii="Times New Roman" w:eastAsia="Calibri" w:hAnsi="Times New Roman"/>
                <w:b/>
                <w:sz w:val="24"/>
                <w:szCs w:val="24"/>
              </w:rPr>
              <w:t>темп роста к 2020 году, %</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2C078344" w14:textId="709C0B0C" w:rsidR="00201041" w:rsidRPr="00375059" w:rsidRDefault="00201041" w:rsidP="00201041">
            <w:pPr>
              <w:widowControl w:val="0"/>
              <w:spacing w:after="0" w:line="240" w:lineRule="auto"/>
              <w:jc w:val="center"/>
              <w:rPr>
                <w:rFonts w:ascii="Times New Roman" w:hAnsi="Times New Roman"/>
                <w:b/>
                <w:bCs/>
                <w:color w:val="000000"/>
                <w:sz w:val="24"/>
                <w:szCs w:val="24"/>
              </w:rPr>
            </w:pPr>
            <w:r w:rsidRPr="00375059">
              <w:rPr>
                <w:rFonts w:ascii="Times New Roman" w:hAnsi="Times New Roman"/>
                <w:b/>
                <w:bCs/>
                <w:color w:val="000000"/>
                <w:sz w:val="24"/>
                <w:szCs w:val="24"/>
              </w:rPr>
              <w:t xml:space="preserve">2021 </w:t>
            </w:r>
            <w:r w:rsidR="002706DB">
              <w:rPr>
                <w:rFonts w:ascii="Times New Roman" w:hAnsi="Times New Roman"/>
                <w:b/>
                <w:bCs/>
                <w:color w:val="000000"/>
                <w:sz w:val="24"/>
                <w:szCs w:val="24"/>
              </w:rPr>
              <w:t>год</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37438F69" w14:textId="1AB6C4B1" w:rsidR="00201041" w:rsidRPr="00375059" w:rsidRDefault="002706DB" w:rsidP="00201041">
            <w:pPr>
              <w:widowControl w:val="0"/>
              <w:spacing w:after="0" w:line="240" w:lineRule="auto"/>
              <w:jc w:val="center"/>
              <w:rPr>
                <w:rFonts w:ascii="Times New Roman" w:hAnsi="Times New Roman"/>
                <w:b/>
                <w:bCs/>
                <w:color w:val="000000"/>
                <w:sz w:val="24"/>
                <w:szCs w:val="24"/>
              </w:rPr>
            </w:pPr>
            <w:r w:rsidRPr="00375059">
              <w:rPr>
                <w:rFonts w:ascii="Times New Roman" w:eastAsia="Calibri" w:hAnsi="Times New Roman"/>
                <w:b/>
                <w:sz w:val="24"/>
                <w:szCs w:val="24"/>
              </w:rPr>
              <w:t>темп роста к 2020 году, %</w:t>
            </w:r>
          </w:p>
        </w:tc>
      </w:tr>
      <w:tr w:rsidR="00201041" w:rsidRPr="00375059" w14:paraId="7880727F" w14:textId="77777777" w:rsidTr="00201041">
        <w:trPr>
          <w:trHeight w:val="141"/>
          <w:jc w:val="center"/>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2756E879" w14:textId="77777777" w:rsidR="00201041" w:rsidRPr="00375059" w:rsidRDefault="00201041" w:rsidP="00201041">
            <w:pPr>
              <w:widowControl w:val="0"/>
              <w:spacing w:after="0" w:line="240" w:lineRule="auto"/>
              <w:ind w:right="-96"/>
              <w:rPr>
                <w:rFonts w:ascii="Times New Roman" w:hAnsi="Times New Roman"/>
                <w:color w:val="000000"/>
                <w:sz w:val="24"/>
                <w:szCs w:val="24"/>
              </w:rPr>
            </w:pPr>
            <w:r w:rsidRPr="00375059">
              <w:rPr>
                <w:rFonts w:ascii="Times New Roman" w:hAnsi="Times New Roman"/>
                <w:color w:val="000000"/>
                <w:sz w:val="24"/>
                <w:szCs w:val="24"/>
              </w:rPr>
              <w:t>г. Тирасполь</w:t>
            </w:r>
          </w:p>
        </w:tc>
        <w:tc>
          <w:tcPr>
            <w:tcW w:w="990" w:type="dxa"/>
            <w:tcBorders>
              <w:top w:val="nil"/>
              <w:left w:val="nil"/>
              <w:bottom w:val="single" w:sz="4" w:space="0" w:color="auto"/>
              <w:right w:val="single" w:sz="4" w:space="0" w:color="auto"/>
            </w:tcBorders>
            <w:shd w:val="clear" w:color="auto" w:fill="auto"/>
            <w:vAlign w:val="bottom"/>
          </w:tcPr>
          <w:p w14:paraId="4C212A3F"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9 804</w:t>
            </w:r>
          </w:p>
        </w:tc>
        <w:tc>
          <w:tcPr>
            <w:tcW w:w="991" w:type="dxa"/>
            <w:tcBorders>
              <w:top w:val="nil"/>
              <w:left w:val="nil"/>
              <w:bottom w:val="single" w:sz="4" w:space="0" w:color="auto"/>
              <w:right w:val="single" w:sz="4" w:space="0" w:color="auto"/>
            </w:tcBorders>
            <w:shd w:val="clear" w:color="auto" w:fill="auto"/>
            <w:vAlign w:val="bottom"/>
          </w:tcPr>
          <w:p w14:paraId="2F5E86E2"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113,6</w:t>
            </w:r>
          </w:p>
        </w:tc>
        <w:tc>
          <w:tcPr>
            <w:tcW w:w="991" w:type="dxa"/>
            <w:tcBorders>
              <w:top w:val="nil"/>
              <w:left w:val="nil"/>
              <w:bottom w:val="single" w:sz="4" w:space="0" w:color="auto"/>
              <w:right w:val="single" w:sz="4" w:space="0" w:color="auto"/>
            </w:tcBorders>
            <w:shd w:val="clear" w:color="auto" w:fill="auto"/>
            <w:vAlign w:val="bottom"/>
          </w:tcPr>
          <w:p w14:paraId="58695754" w14:textId="77777777" w:rsidR="00201041" w:rsidRPr="00375059" w:rsidRDefault="00201041" w:rsidP="00201041">
            <w:pPr>
              <w:widowControl w:val="0"/>
              <w:spacing w:after="0" w:line="240" w:lineRule="auto"/>
              <w:jc w:val="right"/>
              <w:rPr>
                <w:rFonts w:ascii="Times New Roman" w:hAnsi="Times New Roman"/>
                <w:sz w:val="24"/>
                <w:szCs w:val="24"/>
              </w:rPr>
            </w:pPr>
            <w:r w:rsidRPr="00375059">
              <w:rPr>
                <w:rFonts w:ascii="Times New Roman" w:hAnsi="Times New Roman"/>
                <w:sz w:val="24"/>
                <w:szCs w:val="24"/>
              </w:rPr>
              <w:t>1 687</w:t>
            </w:r>
          </w:p>
        </w:tc>
        <w:tc>
          <w:tcPr>
            <w:tcW w:w="990" w:type="dxa"/>
            <w:tcBorders>
              <w:top w:val="nil"/>
              <w:left w:val="nil"/>
              <w:bottom w:val="single" w:sz="4" w:space="0" w:color="auto"/>
              <w:right w:val="single" w:sz="4" w:space="0" w:color="auto"/>
            </w:tcBorders>
            <w:shd w:val="clear" w:color="auto" w:fill="auto"/>
            <w:vAlign w:val="bottom"/>
          </w:tcPr>
          <w:p w14:paraId="5C481971"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108,9</w:t>
            </w:r>
          </w:p>
        </w:tc>
        <w:tc>
          <w:tcPr>
            <w:tcW w:w="991" w:type="dxa"/>
            <w:tcBorders>
              <w:top w:val="nil"/>
              <w:left w:val="nil"/>
              <w:bottom w:val="single" w:sz="4" w:space="0" w:color="auto"/>
              <w:right w:val="single" w:sz="4" w:space="0" w:color="auto"/>
            </w:tcBorders>
            <w:shd w:val="clear" w:color="auto" w:fill="auto"/>
            <w:vAlign w:val="bottom"/>
          </w:tcPr>
          <w:p w14:paraId="5504DB6B"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8 117</w:t>
            </w:r>
          </w:p>
        </w:tc>
        <w:tc>
          <w:tcPr>
            <w:tcW w:w="991" w:type="dxa"/>
            <w:tcBorders>
              <w:top w:val="nil"/>
              <w:left w:val="nil"/>
              <w:bottom w:val="single" w:sz="4" w:space="0" w:color="auto"/>
              <w:right w:val="single" w:sz="4" w:space="0" w:color="auto"/>
            </w:tcBorders>
            <w:shd w:val="clear" w:color="auto" w:fill="auto"/>
            <w:vAlign w:val="bottom"/>
          </w:tcPr>
          <w:p w14:paraId="366269C5"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114,6</w:t>
            </w:r>
          </w:p>
        </w:tc>
      </w:tr>
      <w:tr w:rsidR="00201041" w:rsidRPr="00375059" w14:paraId="39C4AD1A" w14:textId="77777777" w:rsidTr="00201041">
        <w:trPr>
          <w:trHeight w:val="148"/>
          <w:jc w:val="center"/>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72B55A5C" w14:textId="77777777" w:rsidR="00201041" w:rsidRPr="00375059" w:rsidRDefault="00201041" w:rsidP="00201041">
            <w:pPr>
              <w:widowControl w:val="0"/>
              <w:spacing w:after="0" w:line="240" w:lineRule="auto"/>
              <w:ind w:right="-96"/>
              <w:rPr>
                <w:rFonts w:ascii="Times New Roman" w:hAnsi="Times New Roman"/>
                <w:color w:val="000000"/>
                <w:sz w:val="24"/>
                <w:szCs w:val="24"/>
              </w:rPr>
            </w:pPr>
            <w:r w:rsidRPr="00375059">
              <w:rPr>
                <w:rFonts w:ascii="Times New Roman" w:hAnsi="Times New Roman"/>
                <w:color w:val="000000"/>
                <w:sz w:val="24"/>
                <w:szCs w:val="24"/>
              </w:rPr>
              <w:t xml:space="preserve">г. </w:t>
            </w:r>
            <w:proofErr w:type="spellStart"/>
            <w:r w:rsidRPr="00375059">
              <w:rPr>
                <w:rFonts w:ascii="Times New Roman" w:hAnsi="Times New Roman"/>
                <w:color w:val="000000"/>
                <w:sz w:val="24"/>
                <w:szCs w:val="24"/>
              </w:rPr>
              <w:t>Днестровск</w:t>
            </w:r>
            <w:proofErr w:type="spellEnd"/>
            <w:r w:rsidRPr="00375059">
              <w:rPr>
                <w:rFonts w:ascii="Times New Roman" w:hAnsi="Times New Roman"/>
                <w:color w:val="000000"/>
                <w:sz w:val="24"/>
                <w:szCs w:val="24"/>
              </w:rPr>
              <w:t>,</w:t>
            </w:r>
            <w:r w:rsidRPr="00375059">
              <w:rPr>
                <w:rFonts w:ascii="Times New Roman" w:hAnsi="Times New Roman"/>
                <w:i/>
                <w:iCs/>
                <w:color w:val="000000"/>
                <w:sz w:val="24"/>
                <w:szCs w:val="24"/>
              </w:rPr>
              <w:t xml:space="preserve"> в том числе:</w:t>
            </w:r>
          </w:p>
        </w:tc>
        <w:tc>
          <w:tcPr>
            <w:tcW w:w="990" w:type="dxa"/>
            <w:tcBorders>
              <w:top w:val="nil"/>
              <w:left w:val="nil"/>
              <w:bottom w:val="single" w:sz="4" w:space="0" w:color="auto"/>
              <w:right w:val="single" w:sz="4" w:space="0" w:color="auto"/>
            </w:tcBorders>
            <w:shd w:val="clear" w:color="auto" w:fill="auto"/>
            <w:vAlign w:val="bottom"/>
          </w:tcPr>
          <w:p w14:paraId="32586EBD"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9 617</w:t>
            </w:r>
          </w:p>
        </w:tc>
        <w:tc>
          <w:tcPr>
            <w:tcW w:w="991" w:type="dxa"/>
            <w:tcBorders>
              <w:top w:val="nil"/>
              <w:left w:val="nil"/>
              <w:bottom w:val="single" w:sz="4" w:space="0" w:color="auto"/>
              <w:right w:val="single" w:sz="4" w:space="0" w:color="auto"/>
            </w:tcBorders>
            <w:shd w:val="clear" w:color="auto" w:fill="auto"/>
            <w:vAlign w:val="bottom"/>
          </w:tcPr>
          <w:p w14:paraId="059D111F"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141,7</w:t>
            </w:r>
          </w:p>
        </w:tc>
        <w:tc>
          <w:tcPr>
            <w:tcW w:w="991" w:type="dxa"/>
            <w:tcBorders>
              <w:top w:val="nil"/>
              <w:left w:val="nil"/>
              <w:bottom w:val="single" w:sz="4" w:space="0" w:color="auto"/>
              <w:right w:val="single" w:sz="4" w:space="0" w:color="auto"/>
            </w:tcBorders>
            <w:shd w:val="clear" w:color="auto" w:fill="auto"/>
            <w:vAlign w:val="bottom"/>
          </w:tcPr>
          <w:p w14:paraId="75A6782C"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9 529</w:t>
            </w:r>
          </w:p>
        </w:tc>
        <w:tc>
          <w:tcPr>
            <w:tcW w:w="990" w:type="dxa"/>
            <w:tcBorders>
              <w:top w:val="nil"/>
              <w:left w:val="nil"/>
              <w:bottom w:val="single" w:sz="4" w:space="0" w:color="auto"/>
              <w:right w:val="single" w:sz="4" w:space="0" w:color="auto"/>
            </w:tcBorders>
            <w:shd w:val="clear" w:color="auto" w:fill="auto"/>
            <w:vAlign w:val="bottom"/>
          </w:tcPr>
          <w:p w14:paraId="0E5D2CBE"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141,7</w:t>
            </w:r>
          </w:p>
        </w:tc>
        <w:tc>
          <w:tcPr>
            <w:tcW w:w="991" w:type="dxa"/>
            <w:tcBorders>
              <w:top w:val="nil"/>
              <w:left w:val="nil"/>
              <w:bottom w:val="single" w:sz="4" w:space="0" w:color="auto"/>
              <w:right w:val="single" w:sz="4" w:space="0" w:color="auto"/>
            </w:tcBorders>
            <w:shd w:val="clear" w:color="auto" w:fill="auto"/>
            <w:vAlign w:val="bottom"/>
          </w:tcPr>
          <w:p w14:paraId="278A3923"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88</w:t>
            </w:r>
          </w:p>
        </w:tc>
        <w:tc>
          <w:tcPr>
            <w:tcW w:w="991" w:type="dxa"/>
            <w:tcBorders>
              <w:top w:val="nil"/>
              <w:left w:val="nil"/>
              <w:bottom w:val="single" w:sz="4" w:space="0" w:color="auto"/>
              <w:right w:val="single" w:sz="4" w:space="0" w:color="auto"/>
            </w:tcBorders>
            <w:shd w:val="clear" w:color="auto" w:fill="auto"/>
            <w:vAlign w:val="bottom"/>
          </w:tcPr>
          <w:p w14:paraId="7CBEAB75"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139,7</w:t>
            </w:r>
          </w:p>
        </w:tc>
      </w:tr>
      <w:tr w:rsidR="00201041" w:rsidRPr="00375059" w14:paraId="0E5643A0" w14:textId="77777777" w:rsidTr="00201041">
        <w:trPr>
          <w:trHeight w:val="137"/>
          <w:jc w:val="center"/>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49319330" w14:textId="77777777" w:rsidR="00201041" w:rsidRPr="00375059" w:rsidRDefault="00201041" w:rsidP="00201041">
            <w:pPr>
              <w:widowControl w:val="0"/>
              <w:spacing w:after="0" w:line="240" w:lineRule="auto"/>
              <w:ind w:right="-96" w:firstLineChars="100" w:firstLine="240"/>
              <w:rPr>
                <w:rFonts w:ascii="Times New Roman" w:hAnsi="Times New Roman"/>
                <w:color w:val="000000"/>
                <w:sz w:val="24"/>
                <w:szCs w:val="24"/>
              </w:rPr>
            </w:pPr>
            <w:r w:rsidRPr="00375059">
              <w:rPr>
                <w:rFonts w:ascii="Times New Roman" w:hAnsi="Times New Roman"/>
                <w:color w:val="000000"/>
                <w:sz w:val="24"/>
                <w:szCs w:val="24"/>
              </w:rPr>
              <w:t>ЗАО «Молдавская ГРЭС»</w:t>
            </w:r>
          </w:p>
        </w:tc>
        <w:tc>
          <w:tcPr>
            <w:tcW w:w="990" w:type="dxa"/>
            <w:tcBorders>
              <w:top w:val="nil"/>
              <w:left w:val="single" w:sz="4" w:space="0" w:color="auto"/>
              <w:bottom w:val="single" w:sz="4" w:space="0" w:color="auto"/>
              <w:right w:val="single" w:sz="4" w:space="0" w:color="auto"/>
            </w:tcBorders>
            <w:vAlign w:val="bottom"/>
          </w:tcPr>
          <w:p w14:paraId="0DE882FD"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9 611</w:t>
            </w:r>
          </w:p>
        </w:tc>
        <w:tc>
          <w:tcPr>
            <w:tcW w:w="991" w:type="dxa"/>
            <w:tcBorders>
              <w:top w:val="nil"/>
              <w:left w:val="single" w:sz="4" w:space="0" w:color="auto"/>
              <w:bottom w:val="single" w:sz="4" w:space="0" w:color="auto"/>
              <w:right w:val="single" w:sz="4" w:space="0" w:color="auto"/>
            </w:tcBorders>
            <w:vAlign w:val="bottom"/>
          </w:tcPr>
          <w:p w14:paraId="2BF5E2A0"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141,8</w:t>
            </w:r>
          </w:p>
        </w:tc>
        <w:tc>
          <w:tcPr>
            <w:tcW w:w="991" w:type="dxa"/>
            <w:tcBorders>
              <w:top w:val="nil"/>
              <w:left w:val="single" w:sz="4" w:space="0" w:color="auto"/>
              <w:bottom w:val="single" w:sz="4" w:space="0" w:color="auto"/>
              <w:right w:val="single" w:sz="4" w:space="0" w:color="auto"/>
            </w:tcBorders>
            <w:vAlign w:val="bottom"/>
          </w:tcPr>
          <w:p w14:paraId="1303EF3E"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9 523</w:t>
            </w:r>
          </w:p>
        </w:tc>
        <w:tc>
          <w:tcPr>
            <w:tcW w:w="990" w:type="dxa"/>
            <w:tcBorders>
              <w:top w:val="nil"/>
              <w:left w:val="single" w:sz="4" w:space="0" w:color="auto"/>
              <w:bottom w:val="single" w:sz="4" w:space="0" w:color="auto"/>
              <w:right w:val="single" w:sz="4" w:space="0" w:color="auto"/>
            </w:tcBorders>
            <w:vAlign w:val="bottom"/>
          </w:tcPr>
          <w:p w14:paraId="18FDCC35"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141,8</w:t>
            </w:r>
          </w:p>
        </w:tc>
        <w:tc>
          <w:tcPr>
            <w:tcW w:w="991" w:type="dxa"/>
            <w:tcBorders>
              <w:top w:val="nil"/>
              <w:left w:val="single" w:sz="4" w:space="0" w:color="auto"/>
              <w:bottom w:val="single" w:sz="4" w:space="0" w:color="auto"/>
              <w:right w:val="single" w:sz="4" w:space="0" w:color="auto"/>
            </w:tcBorders>
            <w:vAlign w:val="bottom"/>
          </w:tcPr>
          <w:p w14:paraId="5B8FC6F3"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88</w:t>
            </w:r>
          </w:p>
        </w:tc>
        <w:tc>
          <w:tcPr>
            <w:tcW w:w="991" w:type="dxa"/>
            <w:tcBorders>
              <w:top w:val="nil"/>
              <w:left w:val="single" w:sz="4" w:space="0" w:color="auto"/>
              <w:bottom w:val="single" w:sz="4" w:space="0" w:color="auto"/>
              <w:right w:val="single" w:sz="4" w:space="0" w:color="auto"/>
            </w:tcBorders>
            <w:vAlign w:val="bottom"/>
          </w:tcPr>
          <w:p w14:paraId="35D02CDF"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139,7</w:t>
            </w:r>
          </w:p>
        </w:tc>
      </w:tr>
      <w:tr w:rsidR="00201041" w:rsidRPr="00375059" w14:paraId="1E7F1DF0" w14:textId="77777777" w:rsidTr="00201041">
        <w:trPr>
          <w:trHeight w:val="81"/>
          <w:jc w:val="center"/>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1E6D1816" w14:textId="77777777" w:rsidR="00201041" w:rsidRPr="00375059" w:rsidRDefault="00201041" w:rsidP="00201041">
            <w:pPr>
              <w:widowControl w:val="0"/>
              <w:spacing w:after="0" w:line="240" w:lineRule="auto"/>
              <w:ind w:right="-96"/>
              <w:rPr>
                <w:rFonts w:ascii="Times New Roman" w:hAnsi="Times New Roman"/>
                <w:color w:val="000000"/>
                <w:sz w:val="24"/>
                <w:szCs w:val="24"/>
              </w:rPr>
            </w:pPr>
            <w:r w:rsidRPr="00375059">
              <w:rPr>
                <w:rFonts w:ascii="Times New Roman" w:hAnsi="Times New Roman"/>
                <w:color w:val="000000"/>
                <w:sz w:val="24"/>
                <w:szCs w:val="24"/>
              </w:rPr>
              <w:t>г. Бендеры</w:t>
            </w:r>
          </w:p>
        </w:tc>
        <w:tc>
          <w:tcPr>
            <w:tcW w:w="990" w:type="dxa"/>
            <w:tcBorders>
              <w:top w:val="nil"/>
              <w:left w:val="nil"/>
              <w:bottom w:val="single" w:sz="4" w:space="0" w:color="auto"/>
              <w:right w:val="single" w:sz="4" w:space="0" w:color="auto"/>
            </w:tcBorders>
            <w:shd w:val="clear" w:color="auto" w:fill="auto"/>
            <w:vAlign w:val="bottom"/>
          </w:tcPr>
          <w:p w14:paraId="5A41B7FE"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4 401</w:t>
            </w:r>
          </w:p>
        </w:tc>
        <w:tc>
          <w:tcPr>
            <w:tcW w:w="991" w:type="dxa"/>
            <w:tcBorders>
              <w:top w:val="nil"/>
              <w:left w:val="nil"/>
              <w:bottom w:val="single" w:sz="4" w:space="0" w:color="auto"/>
              <w:right w:val="single" w:sz="4" w:space="0" w:color="auto"/>
            </w:tcBorders>
            <w:shd w:val="clear" w:color="auto" w:fill="auto"/>
            <w:vAlign w:val="bottom"/>
          </w:tcPr>
          <w:p w14:paraId="263C675D"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111,7</w:t>
            </w:r>
          </w:p>
        </w:tc>
        <w:tc>
          <w:tcPr>
            <w:tcW w:w="991" w:type="dxa"/>
            <w:tcBorders>
              <w:top w:val="nil"/>
              <w:left w:val="nil"/>
              <w:bottom w:val="single" w:sz="4" w:space="0" w:color="auto"/>
              <w:right w:val="single" w:sz="4" w:space="0" w:color="auto"/>
            </w:tcBorders>
            <w:shd w:val="clear" w:color="auto" w:fill="auto"/>
            <w:vAlign w:val="bottom"/>
          </w:tcPr>
          <w:p w14:paraId="76561753"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516</w:t>
            </w:r>
          </w:p>
        </w:tc>
        <w:tc>
          <w:tcPr>
            <w:tcW w:w="990" w:type="dxa"/>
            <w:tcBorders>
              <w:top w:val="nil"/>
              <w:left w:val="nil"/>
              <w:bottom w:val="single" w:sz="4" w:space="0" w:color="auto"/>
              <w:right w:val="single" w:sz="4" w:space="0" w:color="auto"/>
            </w:tcBorders>
            <w:shd w:val="clear" w:color="auto" w:fill="auto"/>
            <w:vAlign w:val="bottom"/>
          </w:tcPr>
          <w:p w14:paraId="5FC9C25D"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99,4</w:t>
            </w:r>
          </w:p>
        </w:tc>
        <w:tc>
          <w:tcPr>
            <w:tcW w:w="991" w:type="dxa"/>
            <w:tcBorders>
              <w:top w:val="nil"/>
              <w:left w:val="nil"/>
              <w:bottom w:val="single" w:sz="4" w:space="0" w:color="auto"/>
              <w:right w:val="single" w:sz="4" w:space="0" w:color="auto"/>
            </w:tcBorders>
            <w:shd w:val="clear" w:color="auto" w:fill="auto"/>
            <w:vAlign w:val="bottom"/>
          </w:tcPr>
          <w:p w14:paraId="5A324353"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3 885</w:t>
            </w:r>
          </w:p>
        </w:tc>
        <w:tc>
          <w:tcPr>
            <w:tcW w:w="991" w:type="dxa"/>
            <w:tcBorders>
              <w:top w:val="nil"/>
              <w:left w:val="nil"/>
              <w:bottom w:val="single" w:sz="4" w:space="0" w:color="auto"/>
              <w:right w:val="single" w:sz="4" w:space="0" w:color="auto"/>
            </w:tcBorders>
            <w:shd w:val="clear" w:color="auto" w:fill="auto"/>
            <w:vAlign w:val="bottom"/>
          </w:tcPr>
          <w:p w14:paraId="554DA350"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113,5</w:t>
            </w:r>
          </w:p>
        </w:tc>
      </w:tr>
      <w:tr w:rsidR="00201041" w:rsidRPr="00375059" w14:paraId="7BA4836F" w14:textId="77777777" w:rsidTr="00201041">
        <w:trPr>
          <w:trHeight w:val="214"/>
          <w:jc w:val="center"/>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0DAC4CEB" w14:textId="77777777" w:rsidR="00201041" w:rsidRPr="00375059" w:rsidRDefault="00201041" w:rsidP="00201041">
            <w:pPr>
              <w:widowControl w:val="0"/>
              <w:spacing w:after="0" w:line="240" w:lineRule="auto"/>
              <w:ind w:right="-96"/>
              <w:rPr>
                <w:rFonts w:ascii="Times New Roman" w:hAnsi="Times New Roman"/>
                <w:color w:val="000000"/>
                <w:sz w:val="24"/>
                <w:szCs w:val="24"/>
              </w:rPr>
            </w:pPr>
            <w:r w:rsidRPr="00375059">
              <w:rPr>
                <w:rFonts w:ascii="Times New Roman" w:hAnsi="Times New Roman"/>
                <w:color w:val="000000"/>
                <w:sz w:val="24"/>
                <w:szCs w:val="24"/>
              </w:rPr>
              <w:t xml:space="preserve">г. Рыбница и </w:t>
            </w:r>
            <w:proofErr w:type="spellStart"/>
            <w:r w:rsidRPr="00375059">
              <w:rPr>
                <w:rFonts w:ascii="Times New Roman" w:hAnsi="Times New Roman"/>
                <w:color w:val="000000"/>
                <w:sz w:val="24"/>
                <w:szCs w:val="24"/>
              </w:rPr>
              <w:t>Рыбницкий</w:t>
            </w:r>
            <w:proofErr w:type="spellEnd"/>
            <w:r w:rsidRPr="00375059">
              <w:rPr>
                <w:rFonts w:ascii="Times New Roman" w:hAnsi="Times New Roman"/>
                <w:color w:val="000000"/>
                <w:sz w:val="24"/>
                <w:szCs w:val="24"/>
              </w:rPr>
              <w:t xml:space="preserve"> р-н</w:t>
            </w:r>
          </w:p>
        </w:tc>
        <w:tc>
          <w:tcPr>
            <w:tcW w:w="990" w:type="dxa"/>
            <w:tcBorders>
              <w:top w:val="nil"/>
              <w:left w:val="nil"/>
              <w:bottom w:val="single" w:sz="4" w:space="0" w:color="auto"/>
              <w:right w:val="single" w:sz="4" w:space="0" w:color="auto"/>
            </w:tcBorders>
            <w:shd w:val="clear" w:color="auto" w:fill="auto"/>
            <w:vAlign w:val="bottom"/>
          </w:tcPr>
          <w:p w14:paraId="260F86D9"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9 185</w:t>
            </w:r>
          </w:p>
        </w:tc>
        <w:tc>
          <w:tcPr>
            <w:tcW w:w="991" w:type="dxa"/>
            <w:tcBorders>
              <w:top w:val="nil"/>
              <w:left w:val="nil"/>
              <w:bottom w:val="single" w:sz="4" w:space="0" w:color="auto"/>
              <w:right w:val="single" w:sz="4" w:space="0" w:color="auto"/>
            </w:tcBorders>
            <w:shd w:val="clear" w:color="auto" w:fill="auto"/>
            <w:vAlign w:val="bottom"/>
          </w:tcPr>
          <w:p w14:paraId="3CB50481"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118,8</w:t>
            </w:r>
          </w:p>
        </w:tc>
        <w:tc>
          <w:tcPr>
            <w:tcW w:w="991" w:type="dxa"/>
            <w:tcBorders>
              <w:top w:val="nil"/>
              <w:left w:val="nil"/>
              <w:bottom w:val="single" w:sz="4" w:space="0" w:color="auto"/>
              <w:right w:val="single" w:sz="4" w:space="0" w:color="auto"/>
            </w:tcBorders>
            <w:shd w:val="clear" w:color="auto" w:fill="auto"/>
            <w:vAlign w:val="bottom"/>
          </w:tcPr>
          <w:p w14:paraId="077AA242"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4 007</w:t>
            </w:r>
          </w:p>
        </w:tc>
        <w:tc>
          <w:tcPr>
            <w:tcW w:w="990" w:type="dxa"/>
            <w:tcBorders>
              <w:top w:val="nil"/>
              <w:left w:val="nil"/>
              <w:bottom w:val="single" w:sz="4" w:space="0" w:color="auto"/>
              <w:right w:val="single" w:sz="4" w:space="0" w:color="auto"/>
            </w:tcBorders>
            <w:shd w:val="clear" w:color="auto" w:fill="auto"/>
            <w:vAlign w:val="bottom"/>
          </w:tcPr>
          <w:p w14:paraId="06AF65D8"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120,5</w:t>
            </w:r>
          </w:p>
        </w:tc>
        <w:tc>
          <w:tcPr>
            <w:tcW w:w="991" w:type="dxa"/>
            <w:tcBorders>
              <w:top w:val="nil"/>
              <w:left w:val="nil"/>
              <w:bottom w:val="single" w:sz="4" w:space="0" w:color="auto"/>
              <w:right w:val="single" w:sz="4" w:space="0" w:color="auto"/>
            </w:tcBorders>
            <w:shd w:val="clear" w:color="auto" w:fill="auto"/>
            <w:vAlign w:val="bottom"/>
          </w:tcPr>
          <w:p w14:paraId="11E2B4DC" w14:textId="77777777" w:rsidR="00201041" w:rsidRPr="00375059" w:rsidRDefault="00201041" w:rsidP="00201041">
            <w:pPr>
              <w:widowControl w:val="0"/>
              <w:spacing w:after="0" w:line="240" w:lineRule="auto"/>
              <w:jc w:val="right"/>
              <w:rPr>
                <w:rFonts w:ascii="Times New Roman" w:hAnsi="Times New Roman"/>
                <w:sz w:val="24"/>
                <w:szCs w:val="24"/>
              </w:rPr>
            </w:pPr>
            <w:r w:rsidRPr="00375059">
              <w:rPr>
                <w:rFonts w:ascii="Times New Roman" w:hAnsi="Times New Roman"/>
                <w:sz w:val="24"/>
                <w:szCs w:val="24"/>
              </w:rPr>
              <w:t>5 178</w:t>
            </w:r>
          </w:p>
        </w:tc>
        <w:tc>
          <w:tcPr>
            <w:tcW w:w="991" w:type="dxa"/>
            <w:tcBorders>
              <w:top w:val="nil"/>
              <w:left w:val="nil"/>
              <w:bottom w:val="single" w:sz="4" w:space="0" w:color="auto"/>
              <w:right w:val="single" w:sz="4" w:space="0" w:color="auto"/>
            </w:tcBorders>
            <w:shd w:val="clear" w:color="auto" w:fill="auto"/>
            <w:vAlign w:val="bottom"/>
          </w:tcPr>
          <w:p w14:paraId="414127E6" w14:textId="77777777" w:rsidR="00201041" w:rsidRPr="00375059" w:rsidRDefault="00201041" w:rsidP="00201041">
            <w:pPr>
              <w:widowControl w:val="0"/>
              <w:spacing w:after="0" w:line="240" w:lineRule="auto"/>
              <w:jc w:val="right"/>
              <w:rPr>
                <w:rFonts w:ascii="Times New Roman" w:hAnsi="Times New Roman"/>
                <w:iCs/>
                <w:sz w:val="24"/>
                <w:szCs w:val="24"/>
              </w:rPr>
            </w:pPr>
            <w:r w:rsidRPr="00375059">
              <w:rPr>
                <w:rFonts w:ascii="Times New Roman" w:hAnsi="Times New Roman"/>
                <w:iCs/>
                <w:sz w:val="24"/>
                <w:szCs w:val="24"/>
              </w:rPr>
              <w:t>117,5</w:t>
            </w:r>
          </w:p>
        </w:tc>
      </w:tr>
      <w:tr w:rsidR="00201041" w:rsidRPr="00375059" w14:paraId="2E11DBD9" w14:textId="77777777" w:rsidTr="00201041">
        <w:trPr>
          <w:trHeight w:val="193"/>
          <w:jc w:val="center"/>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71533434" w14:textId="77777777" w:rsidR="00201041" w:rsidRPr="00375059" w:rsidRDefault="00201041" w:rsidP="00201041">
            <w:pPr>
              <w:widowControl w:val="0"/>
              <w:spacing w:after="0" w:line="240" w:lineRule="auto"/>
              <w:ind w:right="-96"/>
              <w:rPr>
                <w:rFonts w:ascii="Times New Roman" w:hAnsi="Times New Roman"/>
                <w:color w:val="000000"/>
                <w:sz w:val="24"/>
                <w:szCs w:val="24"/>
              </w:rPr>
            </w:pPr>
            <w:r w:rsidRPr="00375059">
              <w:rPr>
                <w:rFonts w:ascii="Times New Roman" w:hAnsi="Times New Roman"/>
                <w:color w:val="000000"/>
                <w:sz w:val="24"/>
                <w:szCs w:val="24"/>
              </w:rPr>
              <w:t xml:space="preserve">г. Дубоссары и </w:t>
            </w:r>
            <w:proofErr w:type="spellStart"/>
            <w:r w:rsidRPr="00375059">
              <w:rPr>
                <w:rFonts w:ascii="Times New Roman" w:hAnsi="Times New Roman"/>
                <w:color w:val="000000"/>
                <w:sz w:val="24"/>
                <w:szCs w:val="24"/>
              </w:rPr>
              <w:t>Дубоссарский</w:t>
            </w:r>
            <w:proofErr w:type="spellEnd"/>
            <w:r w:rsidRPr="00375059">
              <w:rPr>
                <w:rFonts w:ascii="Times New Roman" w:hAnsi="Times New Roman"/>
                <w:color w:val="000000"/>
                <w:sz w:val="24"/>
                <w:szCs w:val="24"/>
              </w:rPr>
              <w:t xml:space="preserve"> р-н</w:t>
            </w:r>
          </w:p>
        </w:tc>
        <w:tc>
          <w:tcPr>
            <w:tcW w:w="990" w:type="dxa"/>
            <w:tcBorders>
              <w:top w:val="nil"/>
              <w:left w:val="nil"/>
              <w:bottom w:val="single" w:sz="4" w:space="0" w:color="auto"/>
              <w:right w:val="single" w:sz="4" w:space="0" w:color="auto"/>
            </w:tcBorders>
            <w:shd w:val="clear" w:color="auto" w:fill="auto"/>
            <w:vAlign w:val="bottom"/>
          </w:tcPr>
          <w:p w14:paraId="2006AAE6"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2 876</w:t>
            </w:r>
          </w:p>
        </w:tc>
        <w:tc>
          <w:tcPr>
            <w:tcW w:w="991" w:type="dxa"/>
            <w:tcBorders>
              <w:top w:val="nil"/>
              <w:left w:val="nil"/>
              <w:bottom w:val="single" w:sz="4" w:space="0" w:color="auto"/>
              <w:right w:val="single" w:sz="4" w:space="0" w:color="auto"/>
            </w:tcBorders>
            <w:shd w:val="clear" w:color="auto" w:fill="auto"/>
            <w:vAlign w:val="bottom"/>
          </w:tcPr>
          <w:p w14:paraId="3AD704B5"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123,0</w:t>
            </w:r>
          </w:p>
        </w:tc>
        <w:tc>
          <w:tcPr>
            <w:tcW w:w="991" w:type="dxa"/>
            <w:tcBorders>
              <w:top w:val="nil"/>
              <w:left w:val="nil"/>
              <w:bottom w:val="single" w:sz="4" w:space="0" w:color="auto"/>
              <w:right w:val="single" w:sz="4" w:space="0" w:color="auto"/>
            </w:tcBorders>
            <w:shd w:val="clear" w:color="auto" w:fill="auto"/>
            <w:vAlign w:val="bottom"/>
          </w:tcPr>
          <w:p w14:paraId="65DC74B6"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142</w:t>
            </w:r>
          </w:p>
        </w:tc>
        <w:tc>
          <w:tcPr>
            <w:tcW w:w="990" w:type="dxa"/>
            <w:tcBorders>
              <w:top w:val="nil"/>
              <w:left w:val="nil"/>
              <w:bottom w:val="single" w:sz="4" w:space="0" w:color="auto"/>
              <w:right w:val="single" w:sz="4" w:space="0" w:color="auto"/>
            </w:tcBorders>
            <w:shd w:val="clear" w:color="auto" w:fill="auto"/>
            <w:vAlign w:val="bottom"/>
          </w:tcPr>
          <w:p w14:paraId="5576459B"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121,4</w:t>
            </w:r>
          </w:p>
        </w:tc>
        <w:tc>
          <w:tcPr>
            <w:tcW w:w="991" w:type="dxa"/>
            <w:tcBorders>
              <w:top w:val="nil"/>
              <w:left w:val="nil"/>
              <w:bottom w:val="single" w:sz="4" w:space="0" w:color="auto"/>
              <w:right w:val="single" w:sz="4" w:space="0" w:color="auto"/>
            </w:tcBorders>
            <w:shd w:val="clear" w:color="auto" w:fill="auto"/>
            <w:vAlign w:val="bottom"/>
          </w:tcPr>
          <w:p w14:paraId="35591CD5"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2 734</w:t>
            </w:r>
          </w:p>
        </w:tc>
        <w:tc>
          <w:tcPr>
            <w:tcW w:w="991" w:type="dxa"/>
            <w:tcBorders>
              <w:top w:val="nil"/>
              <w:left w:val="nil"/>
              <w:bottom w:val="single" w:sz="4" w:space="0" w:color="auto"/>
              <w:right w:val="single" w:sz="4" w:space="0" w:color="auto"/>
            </w:tcBorders>
            <w:shd w:val="clear" w:color="auto" w:fill="auto"/>
            <w:vAlign w:val="bottom"/>
          </w:tcPr>
          <w:p w14:paraId="36B3E2D5"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123,0</w:t>
            </w:r>
          </w:p>
        </w:tc>
      </w:tr>
      <w:tr w:rsidR="00201041" w:rsidRPr="00375059" w14:paraId="1C63D91D" w14:textId="77777777" w:rsidTr="00201041">
        <w:trPr>
          <w:trHeight w:val="229"/>
          <w:jc w:val="center"/>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7E2BDED5" w14:textId="77777777" w:rsidR="00201041" w:rsidRPr="00375059" w:rsidRDefault="00201041" w:rsidP="00201041">
            <w:pPr>
              <w:widowControl w:val="0"/>
              <w:spacing w:after="0" w:line="240" w:lineRule="auto"/>
              <w:ind w:right="-96"/>
              <w:rPr>
                <w:rFonts w:ascii="Times New Roman" w:hAnsi="Times New Roman"/>
                <w:color w:val="000000"/>
                <w:sz w:val="24"/>
                <w:szCs w:val="24"/>
              </w:rPr>
            </w:pPr>
            <w:r w:rsidRPr="00375059">
              <w:rPr>
                <w:rFonts w:ascii="Times New Roman" w:hAnsi="Times New Roman"/>
                <w:color w:val="000000"/>
                <w:sz w:val="24"/>
                <w:szCs w:val="24"/>
              </w:rPr>
              <w:t xml:space="preserve">г. Григориополь и </w:t>
            </w:r>
            <w:proofErr w:type="spellStart"/>
            <w:r w:rsidRPr="00375059">
              <w:rPr>
                <w:rFonts w:ascii="Times New Roman" w:hAnsi="Times New Roman"/>
                <w:color w:val="000000"/>
                <w:sz w:val="24"/>
                <w:szCs w:val="24"/>
              </w:rPr>
              <w:t>Григориопольский</w:t>
            </w:r>
            <w:proofErr w:type="spellEnd"/>
            <w:r w:rsidRPr="00375059">
              <w:rPr>
                <w:rFonts w:ascii="Times New Roman" w:hAnsi="Times New Roman"/>
                <w:color w:val="000000"/>
                <w:sz w:val="24"/>
                <w:szCs w:val="24"/>
              </w:rPr>
              <w:t xml:space="preserve"> р-н </w:t>
            </w:r>
          </w:p>
        </w:tc>
        <w:tc>
          <w:tcPr>
            <w:tcW w:w="990" w:type="dxa"/>
            <w:tcBorders>
              <w:top w:val="nil"/>
              <w:left w:val="nil"/>
              <w:bottom w:val="single" w:sz="4" w:space="0" w:color="auto"/>
              <w:right w:val="single" w:sz="4" w:space="0" w:color="auto"/>
            </w:tcBorders>
            <w:shd w:val="clear" w:color="auto" w:fill="auto"/>
            <w:vAlign w:val="center"/>
          </w:tcPr>
          <w:p w14:paraId="74108AC3"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1 880</w:t>
            </w:r>
          </w:p>
        </w:tc>
        <w:tc>
          <w:tcPr>
            <w:tcW w:w="991" w:type="dxa"/>
            <w:tcBorders>
              <w:top w:val="nil"/>
              <w:left w:val="nil"/>
              <w:bottom w:val="single" w:sz="4" w:space="0" w:color="auto"/>
              <w:right w:val="single" w:sz="4" w:space="0" w:color="auto"/>
            </w:tcBorders>
            <w:shd w:val="clear" w:color="auto" w:fill="auto"/>
            <w:vAlign w:val="center"/>
          </w:tcPr>
          <w:p w14:paraId="39A83E92"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119,4</w:t>
            </w:r>
          </w:p>
        </w:tc>
        <w:tc>
          <w:tcPr>
            <w:tcW w:w="991" w:type="dxa"/>
            <w:tcBorders>
              <w:top w:val="nil"/>
              <w:left w:val="nil"/>
              <w:bottom w:val="single" w:sz="4" w:space="0" w:color="auto"/>
              <w:right w:val="single" w:sz="4" w:space="0" w:color="auto"/>
            </w:tcBorders>
            <w:shd w:val="clear" w:color="auto" w:fill="auto"/>
            <w:vAlign w:val="center"/>
          </w:tcPr>
          <w:p w14:paraId="067537E4"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132</w:t>
            </w:r>
          </w:p>
        </w:tc>
        <w:tc>
          <w:tcPr>
            <w:tcW w:w="990" w:type="dxa"/>
            <w:tcBorders>
              <w:top w:val="nil"/>
              <w:left w:val="nil"/>
              <w:bottom w:val="single" w:sz="4" w:space="0" w:color="auto"/>
              <w:right w:val="single" w:sz="4" w:space="0" w:color="auto"/>
            </w:tcBorders>
            <w:shd w:val="clear" w:color="auto" w:fill="auto"/>
            <w:vAlign w:val="center"/>
          </w:tcPr>
          <w:p w14:paraId="59EDD8EE"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124,5</w:t>
            </w:r>
          </w:p>
        </w:tc>
        <w:tc>
          <w:tcPr>
            <w:tcW w:w="991" w:type="dxa"/>
            <w:tcBorders>
              <w:top w:val="nil"/>
              <w:left w:val="nil"/>
              <w:bottom w:val="single" w:sz="4" w:space="0" w:color="auto"/>
              <w:right w:val="single" w:sz="4" w:space="0" w:color="auto"/>
            </w:tcBorders>
            <w:shd w:val="clear" w:color="auto" w:fill="auto"/>
            <w:vAlign w:val="center"/>
          </w:tcPr>
          <w:p w14:paraId="14A7F7A8"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1 748</w:t>
            </w:r>
          </w:p>
        </w:tc>
        <w:tc>
          <w:tcPr>
            <w:tcW w:w="991" w:type="dxa"/>
            <w:tcBorders>
              <w:top w:val="nil"/>
              <w:left w:val="nil"/>
              <w:bottom w:val="single" w:sz="4" w:space="0" w:color="auto"/>
              <w:right w:val="single" w:sz="4" w:space="0" w:color="auto"/>
            </w:tcBorders>
            <w:shd w:val="clear" w:color="auto" w:fill="auto"/>
            <w:vAlign w:val="center"/>
          </w:tcPr>
          <w:p w14:paraId="0AD4AFAB"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119,0</w:t>
            </w:r>
          </w:p>
        </w:tc>
      </w:tr>
      <w:tr w:rsidR="00201041" w:rsidRPr="00375059" w14:paraId="244F4F0A" w14:textId="77777777" w:rsidTr="00201041">
        <w:trPr>
          <w:trHeight w:val="57"/>
          <w:jc w:val="center"/>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3D8CE488" w14:textId="77777777" w:rsidR="00201041" w:rsidRPr="00375059" w:rsidRDefault="00201041" w:rsidP="00201041">
            <w:pPr>
              <w:widowControl w:val="0"/>
              <w:spacing w:after="0" w:line="240" w:lineRule="auto"/>
              <w:ind w:right="-96"/>
              <w:rPr>
                <w:rFonts w:ascii="Times New Roman" w:hAnsi="Times New Roman"/>
                <w:color w:val="000000"/>
                <w:sz w:val="24"/>
                <w:szCs w:val="24"/>
              </w:rPr>
            </w:pPr>
            <w:r w:rsidRPr="00375059">
              <w:rPr>
                <w:rFonts w:ascii="Times New Roman" w:hAnsi="Times New Roman"/>
                <w:color w:val="000000"/>
                <w:sz w:val="24"/>
                <w:szCs w:val="24"/>
              </w:rPr>
              <w:t xml:space="preserve">г. </w:t>
            </w:r>
            <w:proofErr w:type="spellStart"/>
            <w:r w:rsidRPr="00375059">
              <w:rPr>
                <w:rFonts w:ascii="Times New Roman" w:hAnsi="Times New Roman"/>
                <w:color w:val="000000"/>
                <w:sz w:val="24"/>
                <w:szCs w:val="24"/>
              </w:rPr>
              <w:t>Слободзея</w:t>
            </w:r>
            <w:proofErr w:type="spellEnd"/>
            <w:r w:rsidRPr="00375059">
              <w:rPr>
                <w:rFonts w:ascii="Times New Roman" w:hAnsi="Times New Roman"/>
                <w:color w:val="000000"/>
                <w:sz w:val="24"/>
                <w:szCs w:val="24"/>
              </w:rPr>
              <w:t xml:space="preserve"> и </w:t>
            </w:r>
            <w:proofErr w:type="spellStart"/>
            <w:r w:rsidRPr="00375059">
              <w:rPr>
                <w:rFonts w:ascii="Times New Roman" w:hAnsi="Times New Roman"/>
                <w:color w:val="000000"/>
                <w:sz w:val="24"/>
                <w:szCs w:val="24"/>
              </w:rPr>
              <w:t>Слободзейский</w:t>
            </w:r>
            <w:proofErr w:type="spellEnd"/>
            <w:r w:rsidRPr="00375059">
              <w:rPr>
                <w:rFonts w:ascii="Times New Roman" w:hAnsi="Times New Roman"/>
                <w:color w:val="000000"/>
                <w:sz w:val="24"/>
                <w:szCs w:val="24"/>
              </w:rPr>
              <w:t xml:space="preserve"> р-н</w:t>
            </w:r>
          </w:p>
        </w:tc>
        <w:tc>
          <w:tcPr>
            <w:tcW w:w="990" w:type="dxa"/>
            <w:tcBorders>
              <w:top w:val="nil"/>
              <w:left w:val="nil"/>
              <w:bottom w:val="single" w:sz="4" w:space="0" w:color="auto"/>
              <w:right w:val="single" w:sz="4" w:space="0" w:color="auto"/>
            </w:tcBorders>
            <w:shd w:val="clear" w:color="auto" w:fill="auto"/>
            <w:vAlign w:val="bottom"/>
          </w:tcPr>
          <w:p w14:paraId="61281BAF"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6 988</w:t>
            </w:r>
          </w:p>
        </w:tc>
        <w:tc>
          <w:tcPr>
            <w:tcW w:w="991" w:type="dxa"/>
            <w:tcBorders>
              <w:top w:val="nil"/>
              <w:left w:val="nil"/>
              <w:bottom w:val="single" w:sz="4" w:space="0" w:color="auto"/>
              <w:right w:val="single" w:sz="4" w:space="0" w:color="auto"/>
            </w:tcBorders>
            <w:shd w:val="clear" w:color="auto" w:fill="auto"/>
            <w:vAlign w:val="bottom"/>
          </w:tcPr>
          <w:p w14:paraId="5ABAE017"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114,1</w:t>
            </w:r>
          </w:p>
        </w:tc>
        <w:tc>
          <w:tcPr>
            <w:tcW w:w="991" w:type="dxa"/>
            <w:tcBorders>
              <w:top w:val="nil"/>
              <w:left w:val="nil"/>
              <w:bottom w:val="single" w:sz="4" w:space="0" w:color="auto"/>
              <w:right w:val="single" w:sz="4" w:space="0" w:color="auto"/>
            </w:tcBorders>
            <w:shd w:val="clear" w:color="auto" w:fill="auto"/>
            <w:vAlign w:val="bottom"/>
          </w:tcPr>
          <w:p w14:paraId="4E33B230"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163</w:t>
            </w:r>
          </w:p>
        </w:tc>
        <w:tc>
          <w:tcPr>
            <w:tcW w:w="990" w:type="dxa"/>
            <w:tcBorders>
              <w:top w:val="nil"/>
              <w:left w:val="nil"/>
              <w:bottom w:val="single" w:sz="4" w:space="0" w:color="auto"/>
              <w:right w:val="single" w:sz="4" w:space="0" w:color="auto"/>
            </w:tcBorders>
            <w:shd w:val="clear" w:color="auto" w:fill="auto"/>
            <w:vAlign w:val="bottom"/>
          </w:tcPr>
          <w:p w14:paraId="3047C17E"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90,6</w:t>
            </w:r>
          </w:p>
        </w:tc>
        <w:tc>
          <w:tcPr>
            <w:tcW w:w="991" w:type="dxa"/>
            <w:tcBorders>
              <w:top w:val="nil"/>
              <w:left w:val="nil"/>
              <w:bottom w:val="single" w:sz="4" w:space="0" w:color="auto"/>
              <w:right w:val="single" w:sz="4" w:space="0" w:color="auto"/>
            </w:tcBorders>
            <w:shd w:val="clear" w:color="auto" w:fill="auto"/>
            <w:vAlign w:val="bottom"/>
          </w:tcPr>
          <w:p w14:paraId="4BD6C162"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6 825</w:t>
            </w:r>
          </w:p>
        </w:tc>
        <w:tc>
          <w:tcPr>
            <w:tcW w:w="991" w:type="dxa"/>
            <w:tcBorders>
              <w:top w:val="nil"/>
              <w:left w:val="nil"/>
              <w:bottom w:val="single" w:sz="4" w:space="0" w:color="auto"/>
              <w:right w:val="single" w:sz="4" w:space="0" w:color="auto"/>
            </w:tcBorders>
            <w:shd w:val="clear" w:color="auto" w:fill="auto"/>
            <w:vAlign w:val="bottom"/>
          </w:tcPr>
          <w:p w14:paraId="08C5B8CD"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114,8</w:t>
            </w:r>
          </w:p>
        </w:tc>
      </w:tr>
      <w:tr w:rsidR="00201041" w:rsidRPr="00375059" w14:paraId="476C4233" w14:textId="77777777" w:rsidTr="00201041">
        <w:trPr>
          <w:trHeight w:val="65"/>
          <w:jc w:val="center"/>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1197FFD0" w14:textId="77777777" w:rsidR="00201041" w:rsidRPr="00375059" w:rsidRDefault="00201041" w:rsidP="00201041">
            <w:pPr>
              <w:widowControl w:val="0"/>
              <w:spacing w:after="0" w:line="240" w:lineRule="auto"/>
              <w:ind w:right="-96"/>
              <w:rPr>
                <w:rFonts w:ascii="Times New Roman" w:hAnsi="Times New Roman"/>
                <w:color w:val="000000"/>
                <w:sz w:val="24"/>
                <w:szCs w:val="24"/>
              </w:rPr>
            </w:pPr>
            <w:r w:rsidRPr="00375059">
              <w:rPr>
                <w:rFonts w:ascii="Times New Roman" w:hAnsi="Times New Roman"/>
                <w:color w:val="000000"/>
                <w:sz w:val="24"/>
                <w:szCs w:val="24"/>
              </w:rPr>
              <w:t>г. Каменка и Каменский р-н</w:t>
            </w:r>
          </w:p>
        </w:tc>
        <w:tc>
          <w:tcPr>
            <w:tcW w:w="990" w:type="dxa"/>
            <w:tcBorders>
              <w:top w:val="nil"/>
              <w:left w:val="nil"/>
              <w:bottom w:val="single" w:sz="4" w:space="0" w:color="auto"/>
              <w:right w:val="single" w:sz="4" w:space="0" w:color="auto"/>
            </w:tcBorders>
            <w:shd w:val="clear" w:color="auto" w:fill="auto"/>
            <w:vAlign w:val="bottom"/>
          </w:tcPr>
          <w:p w14:paraId="0F3D857D"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992</w:t>
            </w:r>
          </w:p>
        </w:tc>
        <w:tc>
          <w:tcPr>
            <w:tcW w:w="991" w:type="dxa"/>
            <w:tcBorders>
              <w:top w:val="nil"/>
              <w:left w:val="nil"/>
              <w:bottom w:val="single" w:sz="4" w:space="0" w:color="auto"/>
              <w:right w:val="single" w:sz="4" w:space="0" w:color="auto"/>
            </w:tcBorders>
            <w:shd w:val="clear" w:color="auto" w:fill="auto"/>
            <w:vAlign w:val="bottom"/>
          </w:tcPr>
          <w:p w14:paraId="4636C55B"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137,8</w:t>
            </w:r>
          </w:p>
        </w:tc>
        <w:tc>
          <w:tcPr>
            <w:tcW w:w="991" w:type="dxa"/>
            <w:tcBorders>
              <w:top w:val="nil"/>
              <w:left w:val="nil"/>
              <w:bottom w:val="single" w:sz="4" w:space="0" w:color="auto"/>
              <w:right w:val="single" w:sz="4" w:space="0" w:color="auto"/>
            </w:tcBorders>
            <w:shd w:val="clear" w:color="auto" w:fill="auto"/>
            <w:vAlign w:val="bottom"/>
          </w:tcPr>
          <w:p w14:paraId="3E3E0FB2"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29</w:t>
            </w:r>
          </w:p>
        </w:tc>
        <w:tc>
          <w:tcPr>
            <w:tcW w:w="990" w:type="dxa"/>
            <w:tcBorders>
              <w:top w:val="nil"/>
              <w:left w:val="nil"/>
              <w:bottom w:val="single" w:sz="4" w:space="0" w:color="auto"/>
              <w:right w:val="single" w:sz="4" w:space="0" w:color="auto"/>
            </w:tcBorders>
            <w:shd w:val="clear" w:color="auto" w:fill="auto"/>
            <w:vAlign w:val="bottom"/>
          </w:tcPr>
          <w:p w14:paraId="6DECFF1F"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93,5</w:t>
            </w:r>
          </w:p>
        </w:tc>
        <w:tc>
          <w:tcPr>
            <w:tcW w:w="991" w:type="dxa"/>
            <w:tcBorders>
              <w:top w:val="nil"/>
              <w:left w:val="nil"/>
              <w:bottom w:val="single" w:sz="4" w:space="0" w:color="auto"/>
              <w:right w:val="single" w:sz="4" w:space="0" w:color="auto"/>
            </w:tcBorders>
            <w:shd w:val="clear" w:color="auto" w:fill="auto"/>
            <w:vAlign w:val="bottom"/>
          </w:tcPr>
          <w:p w14:paraId="380431D6"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963</w:t>
            </w:r>
          </w:p>
        </w:tc>
        <w:tc>
          <w:tcPr>
            <w:tcW w:w="991" w:type="dxa"/>
            <w:tcBorders>
              <w:top w:val="nil"/>
              <w:left w:val="nil"/>
              <w:bottom w:val="single" w:sz="4" w:space="0" w:color="auto"/>
              <w:right w:val="single" w:sz="4" w:space="0" w:color="auto"/>
            </w:tcBorders>
            <w:shd w:val="clear" w:color="auto" w:fill="auto"/>
            <w:vAlign w:val="bottom"/>
          </w:tcPr>
          <w:p w14:paraId="13F8B609" w14:textId="77777777" w:rsidR="00201041" w:rsidRPr="00375059" w:rsidRDefault="00201041" w:rsidP="00201041">
            <w:pPr>
              <w:widowControl w:val="0"/>
              <w:spacing w:after="0" w:line="240" w:lineRule="auto"/>
              <w:jc w:val="right"/>
              <w:rPr>
                <w:rFonts w:ascii="Times New Roman" w:hAnsi="Times New Roman"/>
                <w:iCs/>
                <w:color w:val="000000"/>
                <w:sz w:val="24"/>
                <w:szCs w:val="24"/>
              </w:rPr>
            </w:pPr>
            <w:r w:rsidRPr="00375059">
              <w:rPr>
                <w:rFonts w:ascii="Times New Roman" w:hAnsi="Times New Roman"/>
                <w:iCs/>
                <w:color w:val="000000"/>
                <w:sz w:val="24"/>
                <w:szCs w:val="24"/>
              </w:rPr>
              <w:t>139,8</w:t>
            </w:r>
          </w:p>
        </w:tc>
      </w:tr>
      <w:tr w:rsidR="00201041" w:rsidRPr="00375059" w14:paraId="64248515" w14:textId="77777777" w:rsidTr="00201041">
        <w:trPr>
          <w:trHeight w:val="80"/>
          <w:jc w:val="center"/>
        </w:trPr>
        <w:tc>
          <w:tcPr>
            <w:tcW w:w="3701" w:type="dxa"/>
            <w:tcBorders>
              <w:top w:val="nil"/>
              <w:left w:val="single" w:sz="4" w:space="0" w:color="auto"/>
              <w:bottom w:val="single" w:sz="4" w:space="0" w:color="auto"/>
              <w:right w:val="single" w:sz="4" w:space="0" w:color="auto"/>
            </w:tcBorders>
            <w:shd w:val="clear" w:color="auto" w:fill="auto"/>
            <w:hideMark/>
          </w:tcPr>
          <w:p w14:paraId="1F346A95" w14:textId="77777777" w:rsidR="00201041" w:rsidRPr="00375059" w:rsidRDefault="00201041" w:rsidP="00201041">
            <w:pPr>
              <w:widowControl w:val="0"/>
              <w:spacing w:after="0" w:line="240" w:lineRule="auto"/>
              <w:ind w:right="-96"/>
              <w:rPr>
                <w:rFonts w:ascii="Times New Roman" w:hAnsi="Times New Roman"/>
                <w:b/>
                <w:bCs/>
                <w:color w:val="000000"/>
                <w:sz w:val="24"/>
                <w:szCs w:val="24"/>
              </w:rPr>
            </w:pPr>
            <w:r w:rsidRPr="00375059">
              <w:rPr>
                <w:rFonts w:ascii="Times New Roman" w:hAnsi="Times New Roman"/>
                <w:b/>
                <w:bCs/>
                <w:color w:val="000000"/>
                <w:sz w:val="24"/>
                <w:szCs w:val="24"/>
              </w:rPr>
              <w:t>Всего</w:t>
            </w:r>
          </w:p>
        </w:tc>
        <w:tc>
          <w:tcPr>
            <w:tcW w:w="990" w:type="dxa"/>
            <w:tcBorders>
              <w:top w:val="nil"/>
              <w:left w:val="nil"/>
              <w:bottom w:val="single" w:sz="4" w:space="0" w:color="auto"/>
              <w:right w:val="single" w:sz="4" w:space="0" w:color="auto"/>
            </w:tcBorders>
            <w:shd w:val="clear" w:color="auto" w:fill="auto"/>
            <w:vAlign w:val="bottom"/>
          </w:tcPr>
          <w:p w14:paraId="38E9979E" w14:textId="77777777" w:rsidR="00201041" w:rsidRPr="00375059" w:rsidRDefault="00201041" w:rsidP="00201041">
            <w:pPr>
              <w:widowControl w:val="0"/>
              <w:spacing w:after="0" w:line="240" w:lineRule="auto"/>
              <w:jc w:val="right"/>
              <w:rPr>
                <w:rFonts w:ascii="Times New Roman" w:hAnsi="Times New Roman"/>
                <w:b/>
                <w:bCs/>
                <w:color w:val="000000"/>
                <w:sz w:val="24"/>
                <w:szCs w:val="24"/>
              </w:rPr>
            </w:pPr>
            <w:r w:rsidRPr="00375059">
              <w:rPr>
                <w:rFonts w:ascii="Times New Roman" w:hAnsi="Times New Roman"/>
                <w:b/>
                <w:bCs/>
                <w:color w:val="000000"/>
                <w:sz w:val="24"/>
                <w:szCs w:val="24"/>
              </w:rPr>
              <w:t>45 743</w:t>
            </w:r>
          </w:p>
        </w:tc>
        <w:tc>
          <w:tcPr>
            <w:tcW w:w="991" w:type="dxa"/>
            <w:tcBorders>
              <w:top w:val="nil"/>
              <w:left w:val="nil"/>
              <w:bottom w:val="single" w:sz="4" w:space="0" w:color="auto"/>
              <w:right w:val="single" w:sz="4" w:space="0" w:color="auto"/>
            </w:tcBorders>
            <w:shd w:val="clear" w:color="auto" w:fill="auto"/>
            <w:vAlign w:val="bottom"/>
          </w:tcPr>
          <w:p w14:paraId="746A58CB" w14:textId="77777777" w:rsidR="00201041" w:rsidRPr="00375059" w:rsidRDefault="00201041" w:rsidP="00201041">
            <w:pPr>
              <w:widowControl w:val="0"/>
              <w:spacing w:after="0" w:line="240" w:lineRule="auto"/>
              <w:jc w:val="right"/>
              <w:rPr>
                <w:rFonts w:ascii="Times New Roman" w:hAnsi="Times New Roman"/>
                <w:b/>
                <w:iCs/>
                <w:color w:val="000000"/>
                <w:sz w:val="24"/>
                <w:szCs w:val="24"/>
              </w:rPr>
            </w:pPr>
            <w:r w:rsidRPr="00375059">
              <w:rPr>
                <w:rFonts w:ascii="Times New Roman" w:hAnsi="Times New Roman"/>
                <w:b/>
                <w:iCs/>
                <w:color w:val="000000"/>
                <w:sz w:val="24"/>
                <w:szCs w:val="24"/>
              </w:rPr>
              <w:t>120,8</w:t>
            </w:r>
          </w:p>
        </w:tc>
        <w:tc>
          <w:tcPr>
            <w:tcW w:w="991" w:type="dxa"/>
            <w:tcBorders>
              <w:top w:val="nil"/>
              <w:left w:val="nil"/>
              <w:bottom w:val="single" w:sz="4" w:space="0" w:color="auto"/>
              <w:right w:val="single" w:sz="4" w:space="0" w:color="auto"/>
            </w:tcBorders>
            <w:shd w:val="clear" w:color="auto" w:fill="auto"/>
            <w:vAlign w:val="bottom"/>
          </w:tcPr>
          <w:p w14:paraId="2EDD6021" w14:textId="77777777" w:rsidR="00201041" w:rsidRPr="00375059" w:rsidRDefault="00201041" w:rsidP="00201041">
            <w:pPr>
              <w:widowControl w:val="0"/>
              <w:spacing w:after="0" w:line="240" w:lineRule="auto"/>
              <w:jc w:val="right"/>
              <w:rPr>
                <w:rFonts w:ascii="Times New Roman" w:hAnsi="Times New Roman"/>
                <w:b/>
                <w:bCs/>
                <w:color w:val="000000"/>
                <w:sz w:val="24"/>
                <w:szCs w:val="24"/>
              </w:rPr>
            </w:pPr>
            <w:r w:rsidRPr="00375059">
              <w:rPr>
                <w:rFonts w:ascii="Times New Roman" w:hAnsi="Times New Roman"/>
                <w:b/>
                <w:bCs/>
                <w:color w:val="000000"/>
                <w:sz w:val="24"/>
                <w:szCs w:val="24"/>
              </w:rPr>
              <w:t>16 205</w:t>
            </w:r>
          </w:p>
        </w:tc>
        <w:tc>
          <w:tcPr>
            <w:tcW w:w="990" w:type="dxa"/>
            <w:tcBorders>
              <w:top w:val="nil"/>
              <w:left w:val="nil"/>
              <w:bottom w:val="single" w:sz="4" w:space="0" w:color="auto"/>
              <w:right w:val="single" w:sz="4" w:space="0" w:color="auto"/>
            </w:tcBorders>
            <w:shd w:val="clear" w:color="auto" w:fill="auto"/>
            <w:vAlign w:val="bottom"/>
          </w:tcPr>
          <w:p w14:paraId="7DBD998B" w14:textId="77777777" w:rsidR="00201041" w:rsidRPr="00375059" w:rsidRDefault="00201041" w:rsidP="00201041">
            <w:pPr>
              <w:widowControl w:val="0"/>
              <w:spacing w:after="0" w:line="240" w:lineRule="auto"/>
              <w:jc w:val="right"/>
              <w:rPr>
                <w:rFonts w:ascii="Times New Roman" w:hAnsi="Times New Roman"/>
                <w:b/>
                <w:iCs/>
                <w:color w:val="000000"/>
                <w:sz w:val="24"/>
                <w:szCs w:val="24"/>
              </w:rPr>
            </w:pPr>
            <w:r w:rsidRPr="00375059">
              <w:rPr>
                <w:rFonts w:ascii="Times New Roman" w:hAnsi="Times New Roman"/>
                <w:b/>
                <w:iCs/>
                <w:color w:val="000000"/>
                <w:sz w:val="24"/>
                <w:szCs w:val="24"/>
              </w:rPr>
              <w:t>129,1</w:t>
            </w:r>
          </w:p>
        </w:tc>
        <w:tc>
          <w:tcPr>
            <w:tcW w:w="991" w:type="dxa"/>
            <w:tcBorders>
              <w:top w:val="nil"/>
              <w:left w:val="nil"/>
              <w:bottom w:val="single" w:sz="4" w:space="0" w:color="auto"/>
              <w:right w:val="single" w:sz="4" w:space="0" w:color="auto"/>
            </w:tcBorders>
            <w:shd w:val="clear" w:color="auto" w:fill="auto"/>
            <w:vAlign w:val="bottom"/>
          </w:tcPr>
          <w:p w14:paraId="6DB8553E" w14:textId="77777777" w:rsidR="00201041" w:rsidRPr="00375059" w:rsidRDefault="00201041" w:rsidP="00201041">
            <w:pPr>
              <w:widowControl w:val="0"/>
              <w:spacing w:after="0" w:line="240" w:lineRule="auto"/>
              <w:jc w:val="right"/>
              <w:rPr>
                <w:rFonts w:ascii="Times New Roman" w:hAnsi="Times New Roman"/>
                <w:b/>
                <w:bCs/>
                <w:color w:val="000000"/>
                <w:sz w:val="24"/>
                <w:szCs w:val="24"/>
              </w:rPr>
            </w:pPr>
            <w:r w:rsidRPr="00375059">
              <w:rPr>
                <w:rFonts w:ascii="Times New Roman" w:hAnsi="Times New Roman"/>
                <w:b/>
                <w:bCs/>
                <w:color w:val="000000"/>
                <w:sz w:val="24"/>
                <w:szCs w:val="24"/>
              </w:rPr>
              <w:t>29 538</w:t>
            </w:r>
          </w:p>
        </w:tc>
        <w:tc>
          <w:tcPr>
            <w:tcW w:w="991" w:type="dxa"/>
            <w:tcBorders>
              <w:top w:val="nil"/>
              <w:left w:val="nil"/>
              <w:bottom w:val="single" w:sz="4" w:space="0" w:color="auto"/>
              <w:right w:val="single" w:sz="4" w:space="0" w:color="auto"/>
            </w:tcBorders>
            <w:shd w:val="clear" w:color="auto" w:fill="auto"/>
            <w:vAlign w:val="bottom"/>
          </w:tcPr>
          <w:p w14:paraId="53AB0D27" w14:textId="77777777" w:rsidR="00201041" w:rsidRPr="00375059" w:rsidRDefault="00201041" w:rsidP="00201041">
            <w:pPr>
              <w:widowControl w:val="0"/>
              <w:spacing w:after="0" w:line="240" w:lineRule="auto"/>
              <w:jc w:val="right"/>
              <w:rPr>
                <w:rFonts w:ascii="Times New Roman" w:hAnsi="Times New Roman"/>
                <w:b/>
                <w:iCs/>
                <w:color w:val="000000"/>
                <w:sz w:val="24"/>
                <w:szCs w:val="24"/>
              </w:rPr>
            </w:pPr>
            <w:r w:rsidRPr="00375059">
              <w:rPr>
                <w:rFonts w:ascii="Times New Roman" w:hAnsi="Times New Roman"/>
                <w:b/>
                <w:iCs/>
                <w:color w:val="000000"/>
                <w:sz w:val="24"/>
                <w:szCs w:val="24"/>
              </w:rPr>
              <w:t>116,8</w:t>
            </w:r>
          </w:p>
        </w:tc>
      </w:tr>
    </w:tbl>
    <w:p w14:paraId="21A2FD66" w14:textId="107CCA8D"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По результатам мониторинга окружающей природной среды за 2021 год на постах наблюдений было зафиксировано 286 случаев превышений максимально-разовых предельно допустимых концентраций, установленных для ингредиентов: фенол – 273 случая ( в 2020 г. – 193), диоксид азота – </w:t>
      </w:r>
      <w:r w:rsidR="008A0869">
        <w:rPr>
          <w:rFonts w:ascii="Times New Roman" w:hAnsi="Times New Roman"/>
          <w:sz w:val="28"/>
          <w:szCs w:val="28"/>
        </w:rPr>
        <w:br/>
      </w:r>
      <w:r w:rsidRPr="00375059">
        <w:rPr>
          <w:rFonts w:ascii="Times New Roman" w:hAnsi="Times New Roman"/>
          <w:sz w:val="28"/>
          <w:szCs w:val="28"/>
        </w:rPr>
        <w:t>11 (в   2020  г.  –  24), оксид углерода – 2 (в 2020 г. – 0).</w:t>
      </w:r>
    </w:p>
    <w:p w14:paraId="3720ECCC" w14:textId="5AE2C846" w:rsidR="002E5521" w:rsidRDefault="00201041" w:rsidP="001463C8">
      <w:pPr>
        <w:widowControl w:val="0"/>
        <w:spacing w:after="0" w:line="240" w:lineRule="auto"/>
        <w:ind w:firstLine="567"/>
        <w:jc w:val="both"/>
        <w:rPr>
          <w:rFonts w:ascii="Times New Roman" w:hAnsi="Times New Roman"/>
          <w:b/>
          <w:i/>
          <w:sz w:val="28"/>
          <w:szCs w:val="28"/>
        </w:rPr>
      </w:pPr>
      <w:r w:rsidRPr="00375059">
        <w:rPr>
          <w:rFonts w:ascii="Times New Roman" w:hAnsi="Times New Roman"/>
          <w:sz w:val="28"/>
          <w:szCs w:val="28"/>
        </w:rPr>
        <w:t xml:space="preserve">Доля выбросов загрязняющих веществ от передвижных источников в 2021 году составила 64,6% против 66,8% за соответствующий период 2020 года (-2,2 </w:t>
      </w:r>
      <w:proofErr w:type="spellStart"/>
      <w:r w:rsidRPr="00375059">
        <w:rPr>
          <w:rFonts w:ascii="Times New Roman" w:hAnsi="Times New Roman"/>
          <w:sz w:val="28"/>
          <w:szCs w:val="28"/>
        </w:rPr>
        <w:t>п.п</w:t>
      </w:r>
      <w:proofErr w:type="spellEnd"/>
      <w:r w:rsidRPr="00375059">
        <w:rPr>
          <w:rFonts w:ascii="Times New Roman" w:hAnsi="Times New Roman"/>
          <w:sz w:val="28"/>
          <w:szCs w:val="28"/>
        </w:rPr>
        <w:t>.) (рис. </w:t>
      </w:r>
      <w:r w:rsidR="00CE4F65">
        <w:rPr>
          <w:rFonts w:ascii="Times New Roman" w:hAnsi="Times New Roman"/>
          <w:sz w:val="28"/>
          <w:szCs w:val="28"/>
        </w:rPr>
        <w:t>5</w:t>
      </w:r>
      <w:r w:rsidR="00540656">
        <w:rPr>
          <w:rFonts w:ascii="Times New Roman" w:hAnsi="Times New Roman"/>
          <w:sz w:val="28"/>
          <w:szCs w:val="28"/>
        </w:rPr>
        <w:t>3</w:t>
      </w:r>
      <w:r w:rsidR="00934431">
        <w:rPr>
          <w:rFonts w:ascii="Times New Roman" w:hAnsi="Times New Roman"/>
          <w:sz w:val="28"/>
          <w:szCs w:val="28"/>
        </w:rPr>
        <w:t>)</w:t>
      </w:r>
      <w:r w:rsidR="00CE4F65">
        <w:rPr>
          <w:rFonts w:ascii="Times New Roman" w:hAnsi="Times New Roman"/>
          <w:sz w:val="28"/>
          <w:szCs w:val="28"/>
        </w:rPr>
        <w:t>.</w:t>
      </w:r>
    </w:p>
    <w:p w14:paraId="5CB69726" w14:textId="77777777" w:rsidR="00CC680C" w:rsidRDefault="00CC680C">
      <w:pPr>
        <w:spacing w:after="160" w:line="259" w:lineRule="auto"/>
        <w:rPr>
          <w:rFonts w:ascii="Times New Roman" w:hAnsi="Times New Roman"/>
          <w:b/>
          <w:i/>
          <w:sz w:val="28"/>
          <w:szCs w:val="28"/>
        </w:rPr>
      </w:pPr>
      <w:r>
        <w:rPr>
          <w:rFonts w:ascii="Times New Roman" w:hAnsi="Times New Roman"/>
          <w:b/>
          <w:i/>
          <w:sz w:val="28"/>
          <w:szCs w:val="28"/>
        </w:rPr>
        <w:br w:type="page"/>
      </w:r>
    </w:p>
    <w:p w14:paraId="33390233" w14:textId="34E2FBCC" w:rsidR="00201041" w:rsidRPr="00375059" w:rsidRDefault="00201041" w:rsidP="00CC680C">
      <w:pPr>
        <w:widowControl w:val="0"/>
        <w:spacing w:after="0" w:line="240" w:lineRule="auto"/>
        <w:jc w:val="right"/>
        <w:rPr>
          <w:rFonts w:ascii="Times New Roman" w:hAnsi="Times New Roman"/>
          <w:b/>
          <w:i/>
          <w:sz w:val="28"/>
          <w:szCs w:val="28"/>
        </w:rPr>
      </w:pPr>
      <w:r w:rsidRPr="00375059">
        <w:rPr>
          <w:rFonts w:ascii="Times New Roman" w:hAnsi="Times New Roman"/>
          <w:b/>
          <w:i/>
          <w:sz w:val="28"/>
          <w:szCs w:val="28"/>
        </w:rPr>
        <w:lastRenderedPageBreak/>
        <w:t xml:space="preserve">Рисунок </w:t>
      </w:r>
      <w:r w:rsidR="00E16DD0" w:rsidRPr="00375059">
        <w:rPr>
          <w:rFonts w:ascii="Times New Roman" w:hAnsi="Times New Roman"/>
          <w:b/>
          <w:i/>
          <w:sz w:val="28"/>
          <w:szCs w:val="28"/>
        </w:rPr>
        <w:t>5</w:t>
      </w:r>
      <w:r w:rsidR="00540656">
        <w:rPr>
          <w:rFonts w:ascii="Times New Roman" w:hAnsi="Times New Roman"/>
          <w:b/>
          <w:i/>
          <w:sz w:val="28"/>
          <w:szCs w:val="28"/>
        </w:rPr>
        <w:t>3</w:t>
      </w:r>
    </w:p>
    <w:p w14:paraId="2D1623FD" w14:textId="77777777" w:rsidR="00201041" w:rsidRPr="00375059" w:rsidRDefault="00201041" w:rsidP="00CC680C">
      <w:pPr>
        <w:spacing w:after="0" w:line="240" w:lineRule="auto"/>
        <w:jc w:val="center"/>
        <w:rPr>
          <w:rFonts w:ascii="Times New Roman" w:hAnsi="Times New Roman"/>
          <w:b/>
          <w:sz w:val="28"/>
          <w:szCs w:val="28"/>
        </w:rPr>
      </w:pPr>
      <w:r w:rsidRPr="00375059">
        <w:rPr>
          <w:rFonts w:ascii="Times New Roman" w:hAnsi="Times New Roman"/>
          <w:b/>
          <w:sz w:val="28"/>
          <w:szCs w:val="28"/>
        </w:rPr>
        <w:t>Структура выбросов вредных веществ в атмосферный воздух</w:t>
      </w:r>
    </w:p>
    <w:p w14:paraId="456F62FF" w14:textId="77777777" w:rsidR="00201041" w:rsidRPr="00375059" w:rsidRDefault="00201041" w:rsidP="00CC680C">
      <w:pPr>
        <w:widowControl w:val="0"/>
        <w:spacing w:after="0" w:line="240" w:lineRule="auto"/>
        <w:jc w:val="both"/>
        <w:rPr>
          <w:rFonts w:ascii="Times New Roman" w:hAnsi="Times New Roman"/>
          <w:sz w:val="28"/>
          <w:szCs w:val="28"/>
        </w:rPr>
      </w:pPr>
      <w:r w:rsidRPr="00375059">
        <w:rPr>
          <w:rFonts w:ascii="Times New Roman" w:hAnsi="Times New Roman"/>
          <w:noProof/>
        </w:rPr>
        <w:drawing>
          <wp:inline distT="0" distB="0" distL="0" distR="0" wp14:anchorId="7B7D849C" wp14:editId="40125033">
            <wp:extent cx="6012180" cy="2324100"/>
            <wp:effectExtent l="0" t="0" r="762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D35B26B" w14:textId="77777777"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Увеличение совокупного объема веществ, попавших в атмосферу от стационарных источников, связано преимущественно с наращиванием объема производства ЗАО «Молдавская ГРЭС» на 6,2%, выбросы от деятельности которого возросли на 41,8% до 9,5 тыс. тонн. По ОАО «Молдавский металлургический завод» и ЗАО «</w:t>
      </w:r>
      <w:proofErr w:type="spellStart"/>
      <w:r w:rsidRPr="00375059">
        <w:rPr>
          <w:rFonts w:ascii="Times New Roman" w:hAnsi="Times New Roman"/>
          <w:sz w:val="28"/>
          <w:szCs w:val="28"/>
        </w:rPr>
        <w:t>Рыбницкий</w:t>
      </w:r>
      <w:proofErr w:type="spellEnd"/>
      <w:r w:rsidRPr="00375059">
        <w:rPr>
          <w:rFonts w:ascii="Times New Roman" w:hAnsi="Times New Roman"/>
          <w:sz w:val="28"/>
          <w:szCs w:val="28"/>
        </w:rPr>
        <w:t xml:space="preserve"> цементный комбинат» также фиксировалось увеличение объемов выбросов загрязняющих веществ на 27,6% до 2,7 тыс. тонн и 5,1% до 0,8 тыс. тонн соответственно.</w:t>
      </w:r>
    </w:p>
    <w:p w14:paraId="700A8E48" w14:textId="77777777"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Сокращение загрязнений от стационарных источников в отчетном периоде зафиксировано по г. </w:t>
      </w:r>
      <w:proofErr w:type="spellStart"/>
      <w:r w:rsidRPr="00375059">
        <w:rPr>
          <w:rFonts w:ascii="Times New Roman" w:hAnsi="Times New Roman"/>
          <w:sz w:val="28"/>
          <w:szCs w:val="28"/>
        </w:rPr>
        <w:t>Слободзея</w:t>
      </w:r>
      <w:proofErr w:type="spellEnd"/>
      <w:r w:rsidRPr="00375059">
        <w:rPr>
          <w:rFonts w:ascii="Times New Roman" w:hAnsi="Times New Roman"/>
          <w:sz w:val="28"/>
          <w:szCs w:val="28"/>
        </w:rPr>
        <w:t xml:space="preserve"> и </w:t>
      </w:r>
      <w:proofErr w:type="spellStart"/>
      <w:r w:rsidRPr="00375059">
        <w:rPr>
          <w:rFonts w:ascii="Times New Roman" w:hAnsi="Times New Roman"/>
          <w:sz w:val="28"/>
          <w:szCs w:val="28"/>
        </w:rPr>
        <w:t>Слободзейскому</w:t>
      </w:r>
      <w:proofErr w:type="spellEnd"/>
      <w:r w:rsidRPr="00375059">
        <w:rPr>
          <w:rFonts w:ascii="Times New Roman" w:hAnsi="Times New Roman"/>
          <w:sz w:val="28"/>
          <w:szCs w:val="28"/>
        </w:rPr>
        <w:t xml:space="preserve"> району (-9,4%), с связи тем, что компрессорные станции (КС-1 и КС-2) ООО «</w:t>
      </w:r>
      <w:proofErr w:type="spellStart"/>
      <w:r w:rsidRPr="00375059">
        <w:rPr>
          <w:rFonts w:ascii="Times New Roman" w:hAnsi="Times New Roman"/>
          <w:sz w:val="28"/>
          <w:szCs w:val="28"/>
        </w:rPr>
        <w:t>Тираспольтрансгаз</w:t>
      </w:r>
      <w:proofErr w:type="spellEnd"/>
      <w:r w:rsidRPr="00375059">
        <w:rPr>
          <w:rFonts w:ascii="Times New Roman" w:hAnsi="Times New Roman"/>
          <w:sz w:val="28"/>
          <w:szCs w:val="28"/>
        </w:rPr>
        <w:t xml:space="preserve">-Приднестровье» не работали в виду отсутствия транзита природного газа через территорию Республики в необходимых объемах для запуска в работу газоперекачивающих агрегатов. </w:t>
      </w:r>
    </w:p>
    <w:p w14:paraId="60015112" w14:textId="77777777" w:rsidR="00201041" w:rsidRPr="00375059" w:rsidRDefault="00201041" w:rsidP="001463C8">
      <w:pPr>
        <w:widowControl w:val="0"/>
        <w:spacing w:after="0" w:line="240" w:lineRule="auto"/>
        <w:ind w:firstLine="567"/>
        <w:jc w:val="both"/>
        <w:rPr>
          <w:rFonts w:ascii="Times New Roman" w:hAnsi="Times New Roman"/>
          <w:sz w:val="28"/>
          <w:szCs w:val="28"/>
          <w:lang w:val="ru-MD"/>
        </w:rPr>
      </w:pPr>
      <w:r w:rsidRPr="00375059">
        <w:rPr>
          <w:rFonts w:ascii="Times New Roman" w:hAnsi="Times New Roman"/>
          <w:sz w:val="28"/>
          <w:szCs w:val="28"/>
        </w:rPr>
        <w:t>В отчетном году загрязнение атмосферного воздуха передвижными источниками при использовании дизельного топлива составило 48,7%, бензина – 27,7%, сжиженного и сжатого газа – 23,6%.</w:t>
      </w:r>
    </w:p>
    <w:p w14:paraId="2D90158D" w14:textId="77777777" w:rsidR="00201041" w:rsidRPr="00375059" w:rsidRDefault="00201041" w:rsidP="001463C8">
      <w:pPr>
        <w:widowControl w:val="0"/>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рамках реализации государственной политики в области </w:t>
      </w:r>
      <w:r w:rsidRPr="00375059">
        <w:rPr>
          <w:rFonts w:ascii="Times New Roman" w:hAnsi="Times New Roman"/>
          <w:b/>
          <w:sz w:val="28"/>
          <w:szCs w:val="28"/>
        </w:rPr>
        <w:t xml:space="preserve">охраны и пользования водными ресурсами, а также рыболовства и сохранения водных биологических ресурсов </w:t>
      </w:r>
      <w:r w:rsidRPr="00375059">
        <w:rPr>
          <w:rFonts w:ascii="Times New Roman" w:hAnsi="Times New Roman"/>
          <w:sz w:val="28"/>
          <w:szCs w:val="28"/>
        </w:rPr>
        <w:t>в 2021 году Министерством сельского хозяйства и природных ресурсов ПМР проведена следующая работа:</w:t>
      </w:r>
    </w:p>
    <w:p w14:paraId="0B979F4A" w14:textId="77777777" w:rsidR="00201041" w:rsidRPr="00375059" w:rsidRDefault="00201041" w:rsidP="001463C8">
      <w:pPr>
        <w:autoSpaceDE w:val="0"/>
        <w:autoSpaceDN w:val="0"/>
        <w:adjustRightInd w:val="0"/>
        <w:spacing w:after="0" w:line="240" w:lineRule="auto"/>
        <w:ind w:firstLine="567"/>
        <w:jc w:val="both"/>
        <w:rPr>
          <w:rFonts w:ascii="Times New Roman" w:hAnsi="Times New Roman"/>
          <w:sz w:val="28"/>
          <w:szCs w:val="28"/>
        </w:rPr>
      </w:pPr>
      <w:r w:rsidRPr="00375059">
        <w:rPr>
          <w:rFonts w:ascii="Times New Roman" w:hAnsi="Times New Roman"/>
          <w:sz w:val="28"/>
          <w:szCs w:val="28"/>
        </w:rPr>
        <w:t>а) установлено 256 лимитов водопользования (259 ед. в 2020 году);</w:t>
      </w:r>
    </w:p>
    <w:p w14:paraId="52C67DEC" w14:textId="77777777" w:rsidR="00201041" w:rsidRPr="00375059" w:rsidRDefault="00201041" w:rsidP="001463C8">
      <w:pPr>
        <w:autoSpaceDE w:val="0"/>
        <w:autoSpaceDN w:val="0"/>
        <w:adjustRightInd w:val="0"/>
        <w:spacing w:after="0" w:line="240" w:lineRule="auto"/>
        <w:ind w:firstLine="567"/>
        <w:jc w:val="both"/>
        <w:rPr>
          <w:rFonts w:ascii="Times New Roman" w:hAnsi="Times New Roman"/>
          <w:sz w:val="28"/>
          <w:szCs w:val="28"/>
        </w:rPr>
      </w:pPr>
      <w:r w:rsidRPr="00375059">
        <w:rPr>
          <w:rFonts w:ascii="Times New Roman" w:hAnsi="Times New Roman"/>
          <w:sz w:val="28"/>
          <w:szCs w:val="28"/>
        </w:rPr>
        <w:t>б) выданы разрешения на специальное водопользование по 102 объектам (98 ед. в 2020 году);</w:t>
      </w:r>
    </w:p>
    <w:p w14:paraId="23D9AEBD" w14:textId="77777777" w:rsidR="00201041" w:rsidRPr="00375059" w:rsidRDefault="00201041" w:rsidP="001463C8">
      <w:pPr>
        <w:tabs>
          <w:tab w:val="left" w:pos="0"/>
        </w:tabs>
        <w:spacing w:after="0" w:line="240" w:lineRule="auto"/>
        <w:ind w:firstLine="567"/>
        <w:jc w:val="both"/>
        <w:rPr>
          <w:rFonts w:ascii="Times New Roman" w:hAnsi="Times New Roman"/>
          <w:color w:val="000000"/>
          <w:sz w:val="28"/>
          <w:szCs w:val="28"/>
        </w:rPr>
      </w:pPr>
      <w:r w:rsidRPr="00375059">
        <w:rPr>
          <w:rFonts w:ascii="Times New Roman" w:hAnsi="Times New Roman"/>
          <w:color w:val="000000"/>
          <w:sz w:val="28"/>
          <w:szCs w:val="28"/>
        </w:rPr>
        <w:t xml:space="preserve">в) проведена государственная экспертиза предпроектной и проектной документации на строительство и реконструкцию 37 хозяйственных и других объектов, влияющих на состояние водных </w:t>
      </w:r>
      <w:r w:rsidRPr="00375059">
        <w:rPr>
          <w:rFonts w:ascii="Times New Roman" w:hAnsi="Times New Roman"/>
          <w:sz w:val="28"/>
          <w:szCs w:val="28"/>
        </w:rPr>
        <w:t>объектов (33 ед. в прошлом году);</w:t>
      </w:r>
    </w:p>
    <w:p w14:paraId="711140A1" w14:textId="77777777" w:rsidR="00201041" w:rsidRPr="00375059" w:rsidRDefault="00201041" w:rsidP="001463C8">
      <w:pPr>
        <w:tabs>
          <w:tab w:val="left" w:pos="993"/>
          <w:tab w:val="left" w:pos="1276"/>
        </w:tabs>
        <w:spacing w:after="0" w:line="240" w:lineRule="auto"/>
        <w:ind w:firstLine="567"/>
        <w:jc w:val="both"/>
        <w:rPr>
          <w:rFonts w:ascii="Times New Roman" w:hAnsi="Times New Roman"/>
          <w:color w:val="000000"/>
          <w:sz w:val="28"/>
          <w:szCs w:val="28"/>
        </w:rPr>
      </w:pPr>
      <w:r w:rsidRPr="00375059">
        <w:rPr>
          <w:rFonts w:ascii="Times New Roman" w:hAnsi="Times New Roman"/>
          <w:sz w:val="28"/>
          <w:szCs w:val="28"/>
        </w:rPr>
        <w:t>г) опломбированы первичные приборы учета забираемой воды водопользователей 111 объектов (- 2 ед.)</w:t>
      </w:r>
      <w:r w:rsidRPr="00375059">
        <w:rPr>
          <w:rFonts w:ascii="Times New Roman" w:hAnsi="Times New Roman"/>
          <w:color w:val="000000"/>
          <w:sz w:val="28"/>
          <w:szCs w:val="28"/>
        </w:rPr>
        <w:t xml:space="preserve">;  </w:t>
      </w:r>
    </w:p>
    <w:p w14:paraId="3DE954A1"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д) в рамках выполнения мероприятий, направленных на сохранение и увеличение рыбных запасов, за 2021 год проведены работы по зарыблению рыбохозяйственных водоемов республики (река Днестр, проток </w:t>
      </w:r>
      <w:proofErr w:type="spellStart"/>
      <w:r w:rsidRPr="00375059">
        <w:rPr>
          <w:rFonts w:ascii="Times New Roman" w:hAnsi="Times New Roman"/>
          <w:sz w:val="28"/>
          <w:szCs w:val="28"/>
        </w:rPr>
        <w:t>Турунчук</w:t>
      </w:r>
      <w:proofErr w:type="spellEnd"/>
      <w:r w:rsidRPr="00375059">
        <w:rPr>
          <w:rFonts w:ascii="Times New Roman" w:hAnsi="Times New Roman"/>
          <w:sz w:val="28"/>
          <w:szCs w:val="28"/>
        </w:rPr>
        <w:t xml:space="preserve">, </w:t>
      </w:r>
      <w:proofErr w:type="spellStart"/>
      <w:r w:rsidRPr="00375059">
        <w:rPr>
          <w:rFonts w:ascii="Times New Roman" w:hAnsi="Times New Roman"/>
          <w:sz w:val="28"/>
          <w:szCs w:val="28"/>
        </w:rPr>
        <w:lastRenderedPageBreak/>
        <w:t>Дубоссарское</w:t>
      </w:r>
      <w:proofErr w:type="spellEnd"/>
      <w:r w:rsidRPr="00375059">
        <w:rPr>
          <w:rFonts w:ascii="Times New Roman" w:hAnsi="Times New Roman"/>
          <w:sz w:val="28"/>
          <w:szCs w:val="28"/>
        </w:rPr>
        <w:t xml:space="preserve"> и </w:t>
      </w:r>
      <w:proofErr w:type="spellStart"/>
      <w:r w:rsidRPr="00375059">
        <w:rPr>
          <w:rFonts w:ascii="Times New Roman" w:hAnsi="Times New Roman"/>
          <w:sz w:val="28"/>
          <w:szCs w:val="28"/>
        </w:rPr>
        <w:t>Кучурганское</w:t>
      </w:r>
      <w:proofErr w:type="spellEnd"/>
      <w:r w:rsidRPr="00375059">
        <w:rPr>
          <w:rFonts w:ascii="Times New Roman" w:hAnsi="Times New Roman"/>
          <w:sz w:val="28"/>
          <w:szCs w:val="28"/>
        </w:rPr>
        <w:t xml:space="preserve"> водохранилища) разновозрастными группами промысловых видов рыб (белый и пестрый толстолобик, белый амур, карп, карась, судак, лещ, линь, тарань, плотва) общим весом 40 805,2 кг </w:t>
      </w:r>
      <w:r w:rsidRPr="00375059">
        <w:rPr>
          <w:rFonts w:ascii="Times New Roman" w:hAnsi="Times New Roman"/>
          <w:sz w:val="28"/>
          <w:szCs w:val="28"/>
        </w:rPr>
        <w:br/>
        <w:t xml:space="preserve">(-5 669,8 кг). </w:t>
      </w:r>
    </w:p>
    <w:p w14:paraId="3B606CF2"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отчетном периоде за выдачу разрешений для осуществления промыслового, любительского и спортивного рыболовства с плавсредств и подводной охоты перечислено в республиканский бюджет 119,7 тыс. руб., что на 9,9 тыс. руб. больше, чем годом ранее. </w:t>
      </w:r>
    </w:p>
    <w:p w14:paraId="7D404C30"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области </w:t>
      </w:r>
      <w:r w:rsidRPr="00375059">
        <w:rPr>
          <w:rFonts w:ascii="Times New Roman" w:hAnsi="Times New Roman"/>
          <w:b/>
          <w:sz w:val="28"/>
          <w:szCs w:val="28"/>
        </w:rPr>
        <w:t xml:space="preserve">использования и охраны лесных ресурсов </w:t>
      </w:r>
      <w:r w:rsidRPr="00375059">
        <w:rPr>
          <w:rFonts w:ascii="Times New Roman" w:hAnsi="Times New Roman"/>
          <w:sz w:val="28"/>
          <w:szCs w:val="28"/>
        </w:rPr>
        <w:t>в 2021 году продолжилась реализация мероприятий, направленных на повышение экологической безопасности региона, увеличение лесистости территории, выращивание высокопродуктивных, экологически устойчивых лесов, их охрана и защита. В частности:</w:t>
      </w:r>
    </w:p>
    <w:p w14:paraId="26B7CA32" w14:textId="77777777" w:rsidR="00201041" w:rsidRPr="00375059" w:rsidRDefault="00201041" w:rsidP="001463C8">
      <w:pPr>
        <w:numPr>
          <w:ilvl w:val="0"/>
          <w:numId w:val="9"/>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проведены рубки ухода за лесом и выборочные санитарные рубки на площади 265,5 га с общим объемом выбираемой древесины 4 101,3 м</w:t>
      </w:r>
      <w:r w:rsidRPr="00375059">
        <w:rPr>
          <w:rFonts w:ascii="Times New Roman" w:hAnsi="Times New Roman"/>
          <w:sz w:val="28"/>
          <w:szCs w:val="28"/>
          <w:vertAlign w:val="superscript"/>
        </w:rPr>
        <w:t>3</w:t>
      </w:r>
      <w:r w:rsidRPr="00375059">
        <w:rPr>
          <w:rFonts w:ascii="Times New Roman" w:hAnsi="Times New Roman"/>
          <w:sz w:val="28"/>
          <w:szCs w:val="28"/>
        </w:rPr>
        <w:t xml:space="preserve"> (против 387,6 га с объемом древесины 6 707,1 м</w:t>
      </w:r>
      <w:r w:rsidRPr="00375059">
        <w:rPr>
          <w:rFonts w:ascii="Times New Roman" w:hAnsi="Times New Roman"/>
          <w:sz w:val="28"/>
          <w:szCs w:val="28"/>
          <w:vertAlign w:val="superscript"/>
        </w:rPr>
        <w:t>3</w:t>
      </w:r>
      <w:r w:rsidRPr="00375059">
        <w:rPr>
          <w:rFonts w:ascii="Times New Roman" w:hAnsi="Times New Roman"/>
          <w:sz w:val="28"/>
          <w:szCs w:val="28"/>
        </w:rPr>
        <w:t xml:space="preserve"> за 2020 год);</w:t>
      </w:r>
    </w:p>
    <w:p w14:paraId="73D4A445" w14:textId="77777777" w:rsidR="00201041" w:rsidRPr="00375059" w:rsidRDefault="00201041" w:rsidP="001463C8">
      <w:pPr>
        <w:numPr>
          <w:ilvl w:val="0"/>
          <w:numId w:val="9"/>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 xml:space="preserve">осуществлены сплошные санитарные рубки на площади 8,4 га, что в 1,5 раза меньше, чем за 2020 год;  </w:t>
      </w:r>
    </w:p>
    <w:p w14:paraId="3FAEEF8A" w14:textId="77777777" w:rsidR="00201041" w:rsidRPr="00375059" w:rsidRDefault="00201041" w:rsidP="001463C8">
      <w:pPr>
        <w:numPr>
          <w:ilvl w:val="0"/>
          <w:numId w:val="9"/>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произведены посев и посадка леса на площади 130 га;</w:t>
      </w:r>
    </w:p>
    <w:p w14:paraId="3528605E" w14:textId="77777777" w:rsidR="00201041" w:rsidRPr="00375059" w:rsidRDefault="00201041" w:rsidP="001463C8">
      <w:pPr>
        <w:numPr>
          <w:ilvl w:val="0"/>
          <w:numId w:val="9"/>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проведено дополнение лесных культур прошлых лет на площади 62,4 га, (93,6 га – в 2020 году);</w:t>
      </w:r>
    </w:p>
    <w:p w14:paraId="6905CAD1" w14:textId="77777777" w:rsidR="00201041" w:rsidRPr="00375059" w:rsidRDefault="00201041" w:rsidP="001463C8">
      <w:pPr>
        <w:numPr>
          <w:ilvl w:val="0"/>
          <w:numId w:val="9"/>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осуществлена подготовка почвы под посадку на площади 110,9 га (140,6 га в 2020 году);</w:t>
      </w:r>
    </w:p>
    <w:p w14:paraId="1E429782" w14:textId="77777777" w:rsidR="00201041" w:rsidRPr="00375059" w:rsidRDefault="00201041" w:rsidP="001463C8">
      <w:pPr>
        <w:numPr>
          <w:ilvl w:val="0"/>
          <w:numId w:val="9"/>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выполнена заготовка лесных семян в объеме 1 856,1 кг (-576,9 кг);</w:t>
      </w:r>
    </w:p>
    <w:p w14:paraId="7BBB190F" w14:textId="77777777" w:rsidR="00201041" w:rsidRPr="00375059" w:rsidRDefault="00201041" w:rsidP="001463C8">
      <w:pPr>
        <w:numPr>
          <w:ilvl w:val="0"/>
          <w:numId w:val="9"/>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лесопатологическое обследование проведено на площади 17,5 тыс. га (против 15,8 тыс. га в 2020 году);</w:t>
      </w:r>
    </w:p>
    <w:p w14:paraId="53BD558D" w14:textId="77777777" w:rsidR="00201041" w:rsidRPr="00375059" w:rsidRDefault="00201041" w:rsidP="001463C8">
      <w:pPr>
        <w:numPr>
          <w:ilvl w:val="0"/>
          <w:numId w:val="9"/>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для организации пожарной безопасности осуществлен ремонт 6,95 км дорог (-4,65 км);</w:t>
      </w:r>
    </w:p>
    <w:p w14:paraId="2187DADD" w14:textId="77777777" w:rsidR="00201041" w:rsidRPr="00375059" w:rsidRDefault="00201041" w:rsidP="001463C8">
      <w:pPr>
        <w:numPr>
          <w:ilvl w:val="0"/>
          <w:numId w:val="9"/>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выполнен уход за 308 км минерализованных полос, что на 2,5% меньше, чем в 2020 году;</w:t>
      </w:r>
    </w:p>
    <w:p w14:paraId="73E4258D" w14:textId="77777777" w:rsidR="00201041" w:rsidRPr="00375059" w:rsidRDefault="00201041" w:rsidP="001463C8">
      <w:pPr>
        <w:numPr>
          <w:ilvl w:val="0"/>
          <w:numId w:val="9"/>
        </w:numPr>
        <w:spacing w:after="0" w:line="240" w:lineRule="auto"/>
        <w:ind w:left="0" w:firstLine="567"/>
        <w:jc w:val="both"/>
        <w:rPr>
          <w:rFonts w:ascii="Times New Roman" w:hAnsi="Times New Roman"/>
          <w:sz w:val="28"/>
          <w:szCs w:val="28"/>
        </w:rPr>
      </w:pPr>
      <w:r w:rsidRPr="00375059">
        <w:rPr>
          <w:rFonts w:ascii="Times New Roman" w:hAnsi="Times New Roman"/>
          <w:sz w:val="28"/>
          <w:szCs w:val="28"/>
        </w:rPr>
        <w:t xml:space="preserve">в целях увеличения численности </w:t>
      </w:r>
      <w:proofErr w:type="spellStart"/>
      <w:r w:rsidRPr="00375059">
        <w:rPr>
          <w:rFonts w:ascii="Times New Roman" w:hAnsi="Times New Roman"/>
          <w:sz w:val="28"/>
          <w:szCs w:val="28"/>
        </w:rPr>
        <w:t>охотфауны</w:t>
      </w:r>
      <w:proofErr w:type="spellEnd"/>
      <w:r w:rsidRPr="00375059">
        <w:rPr>
          <w:rFonts w:ascii="Times New Roman" w:hAnsi="Times New Roman"/>
          <w:sz w:val="28"/>
          <w:szCs w:val="28"/>
        </w:rPr>
        <w:t xml:space="preserve"> произведены заготовка и выкладка сена в объеме – 3,4 и 3,3 тонны соответственно (против 3,6 тонны и 2,2 тонны годом ранее).</w:t>
      </w:r>
    </w:p>
    <w:p w14:paraId="12818730" w14:textId="77777777"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сфере </w:t>
      </w:r>
      <w:r w:rsidRPr="00375059">
        <w:rPr>
          <w:rFonts w:ascii="Times New Roman" w:hAnsi="Times New Roman"/>
          <w:b/>
          <w:sz w:val="28"/>
          <w:szCs w:val="28"/>
        </w:rPr>
        <w:t xml:space="preserve">геологического изучения недр и их использования, </w:t>
      </w:r>
      <w:r w:rsidRPr="00375059">
        <w:rPr>
          <w:rFonts w:ascii="Times New Roman" w:hAnsi="Times New Roman"/>
          <w:sz w:val="28"/>
          <w:szCs w:val="28"/>
        </w:rPr>
        <w:t xml:space="preserve">по данным сводного отчетного баланса запасов полезных ископаемых, зарегистрировано 91 месторождение, из них: 11 – пильного известняка; 6 – известняка на бут и щебень; 1 – известняка для сахарного сырья и производства извести; 6 – цементного сырья; 6 – </w:t>
      </w:r>
      <w:r w:rsidRPr="00375059">
        <w:rPr>
          <w:rFonts w:ascii="Times New Roman" w:hAnsi="Times New Roman"/>
          <w:bCs/>
          <w:sz w:val="28"/>
          <w:szCs w:val="28"/>
        </w:rPr>
        <w:t xml:space="preserve">кремнеземистых пород; </w:t>
      </w:r>
      <w:r w:rsidRPr="00375059">
        <w:rPr>
          <w:rFonts w:ascii="Times New Roman" w:hAnsi="Times New Roman"/>
          <w:sz w:val="28"/>
          <w:szCs w:val="28"/>
        </w:rPr>
        <w:t xml:space="preserve">45 – песчано-гравийных пород; 14 – кирпично-черепичного сырья; </w:t>
      </w:r>
      <w:r w:rsidRPr="00375059">
        <w:rPr>
          <w:rFonts w:ascii="Times New Roman" w:hAnsi="Times New Roman"/>
          <w:bCs/>
          <w:sz w:val="28"/>
          <w:szCs w:val="28"/>
        </w:rPr>
        <w:t>1</w:t>
      </w:r>
      <w:r w:rsidRPr="00375059">
        <w:rPr>
          <w:rFonts w:ascii="Times New Roman" w:hAnsi="Times New Roman"/>
          <w:sz w:val="28"/>
          <w:szCs w:val="28"/>
        </w:rPr>
        <w:t xml:space="preserve"> – </w:t>
      </w:r>
      <w:r w:rsidRPr="00375059">
        <w:rPr>
          <w:rFonts w:ascii="Times New Roman" w:hAnsi="Times New Roman"/>
          <w:bCs/>
          <w:sz w:val="28"/>
          <w:szCs w:val="28"/>
        </w:rPr>
        <w:t>стекольных песков; 1 – песков-</w:t>
      </w:r>
      <w:proofErr w:type="spellStart"/>
      <w:r w:rsidRPr="00375059">
        <w:rPr>
          <w:rFonts w:ascii="Times New Roman" w:hAnsi="Times New Roman"/>
          <w:bCs/>
          <w:sz w:val="28"/>
          <w:szCs w:val="28"/>
        </w:rPr>
        <w:t>отощителей</w:t>
      </w:r>
      <w:proofErr w:type="spellEnd"/>
      <w:r w:rsidRPr="00375059">
        <w:rPr>
          <w:rFonts w:ascii="Times New Roman" w:hAnsi="Times New Roman"/>
          <w:bCs/>
          <w:sz w:val="28"/>
          <w:szCs w:val="28"/>
        </w:rPr>
        <w:t xml:space="preserve">. </w:t>
      </w:r>
      <w:r w:rsidRPr="00375059">
        <w:rPr>
          <w:rFonts w:ascii="Times New Roman" w:hAnsi="Times New Roman"/>
          <w:sz w:val="28"/>
          <w:szCs w:val="28"/>
        </w:rPr>
        <w:t>По итогам отчетного периода в разработку вовлечено 29 месторождений.</w:t>
      </w:r>
    </w:p>
    <w:p w14:paraId="0E2C04BF" w14:textId="3C6D4828"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 xml:space="preserve">В анализируемом периоде возросли объемы добычи глины (в 2,2 раза), известняка (+7,5%) и строительного известняка (+5,3%), при этом отмечается </w:t>
      </w:r>
      <w:r w:rsidRPr="00375059">
        <w:rPr>
          <w:rFonts w:ascii="Times New Roman" w:hAnsi="Times New Roman"/>
          <w:sz w:val="28"/>
          <w:szCs w:val="28"/>
        </w:rPr>
        <w:lastRenderedPageBreak/>
        <w:t xml:space="preserve">значительное снижение объемов добычи </w:t>
      </w:r>
      <w:proofErr w:type="spellStart"/>
      <w:r w:rsidRPr="00375059">
        <w:rPr>
          <w:rFonts w:ascii="Times New Roman" w:hAnsi="Times New Roman"/>
          <w:sz w:val="28"/>
          <w:szCs w:val="28"/>
        </w:rPr>
        <w:t>рифогенного</w:t>
      </w:r>
      <w:proofErr w:type="spellEnd"/>
      <w:r w:rsidRPr="00375059">
        <w:rPr>
          <w:rFonts w:ascii="Times New Roman" w:hAnsi="Times New Roman"/>
          <w:sz w:val="28"/>
          <w:szCs w:val="28"/>
        </w:rPr>
        <w:t xml:space="preserve"> известняка в 12,1 раза, пильного известняка (в 1,9 раза) (табл. </w:t>
      </w:r>
      <w:r w:rsidR="00E16DD0" w:rsidRPr="00375059">
        <w:rPr>
          <w:rFonts w:ascii="Times New Roman" w:hAnsi="Times New Roman"/>
          <w:sz w:val="28"/>
          <w:szCs w:val="28"/>
        </w:rPr>
        <w:t>14</w:t>
      </w:r>
      <w:r w:rsidRPr="00375059">
        <w:rPr>
          <w:rFonts w:ascii="Times New Roman" w:hAnsi="Times New Roman"/>
          <w:sz w:val="28"/>
          <w:szCs w:val="28"/>
        </w:rPr>
        <w:t>).</w:t>
      </w:r>
    </w:p>
    <w:p w14:paraId="3880AB35" w14:textId="72956C7E" w:rsidR="00201041" w:rsidRPr="00375059" w:rsidRDefault="00201041" w:rsidP="00E16DD0">
      <w:pPr>
        <w:spacing w:after="0" w:line="240" w:lineRule="auto"/>
        <w:ind w:firstLine="567"/>
        <w:jc w:val="right"/>
        <w:rPr>
          <w:rFonts w:ascii="Times New Roman" w:hAnsi="Times New Roman"/>
          <w:b/>
          <w:bCs/>
          <w:i/>
          <w:sz w:val="28"/>
          <w:szCs w:val="28"/>
        </w:rPr>
      </w:pPr>
      <w:r w:rsidRPr="00375059">
        <w:rPr>
          <w:rFonts w:ascii="Times New Roman" w:hAnsi="Times New Roman"/>
          <w:b/>
          <w:bCs/>
          <w:i/>
          <w:sz w:val="28"/>
          <w:szCs w:val="28"/>
        </w:rPr>
        <w:t xml:space="preserve">Таблица </w:t>
      </w:r>
      <w:r w:rsidR="00E16DD0" w:rsidRPr="00375059">
        <w:rPr>
          <w:rFonts w:ascii="Times New Roman" w:hAnsi="Times New Roman"/>
          <w:b/>
          <w:bCs/>
          <w:i/>
          <w:sz w:val="28"/>
          <w:szCs w:val="28"/>
        </w:rPr>
        <w:t>14</w:t>
      </w:r>
    </w:p>
    <w:p w14:paraId="3B34D38A" w14:textId="77777777" w:rsidR="00201041" w:rsidRPr="00375059" w:rsidRDefault="00201041" w:rsidP="00E16DD0">
      <w:pPr>
        <w:spacing w:after="0" w:line="240" w:lineRule="auto"/>
        <w:jc w:val="center"/>
        <w:rPr>
          <w:rFonts w:ascii="Times New Roman" w:hAnsi="Times New Roman"/>
          <w:b/>
          <w:sz w:val="28"/>
          <w:szCs w:val="28"/>
        </w:rPr>
      </w:pPr>
      <w:r w:rsidRPr="00375059">
        <w:rPr>
          <w:rFonts w:ascii="Times New Roman" w:hAnsi="Times New Roman"/>
          <w:b/>
          <w:sz w:val="28"/>
          <w:szCs w:val="28"/>
        </w:rPr>
        <w:t>Динамика добычи полезных ископаемых</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923"/>
        <w:gridCol w:w="1818"/>
        <w:gridCol w:w="1843"/>
        <w:gridCol w:w="1621"/>
      </w:tblGrid>
      <w:tr w:rsidR="00201041" w:rsidRPr="00375059" w14:paraId="79437618" w14:textId="77777777" w:rsidTr="009775B3">
        <w:trPr>
          <w:jc w:val="center"/>
        </w:trPr>
        <w:tc>
          <w:tcPr>
            <w:tcW w:w="3402" w:type="dxa"/>
            <w:shd w:val="clear" w:color="auto" w:fill="D9D9D9"/>
            <w:vAlign w:val="center"/>
          </w:tcPr>
          <w:p w14:paraId="74A43351" w14:textId="77777777" w:rsidR="00201041" w:rsidRPr="00375059" w:rsidRDefault="00201041" w:rsidP="00201041">
            <w:pPr>
              <w:widowControl w:val="0"/>
              <w:spacing w:after="0" w:line="240" w:lineRule="auto"/>
              <w:ind w:left="-108"/>
              <w:jc w:val="center"/>
              <w:rPr>
                <w:rFonts w:ascii="Times New Roman" w:hAnsi="Times New Roman"/>
                <w:b/>
                <w:sz w:val="24"/>
                <w:szCs w:val="24"/>
              </w:rPr>
            </w:pPr>
            <w:r w:rsidRPr="00375059">
              <w:rPr>
                <w:rFonts w:ascii="Times New Roman" w:hAnsi="Times New Roman"/>
                <w:b/>
                <w:sz w:val="24"/>
                <w:szCs w:val="24"/>
              </w:rPr>
              <w:t>Полезные ископаемые</w:t>
            </w:r>
          </w:p>
        </w:tc>
        <w:tc>
          <w:tcPr>
            <w:tcW w:w="923" w:type="dxa"/>
            <w:shd w:val="clear" w:color="auto" w:fill="D9D9D9"/>
            <w:vAlign w:val="center"/>
          </w:tcPr>
          <w:p w14:paraId="5A5190A0" w14:textId="77777777" w:rsidR="00201041" w:rsidRPr="00375059" w:rsidRDefault="00201041" w:rsidP="00201041">
            <w:pPr>
              <w:widowControl w:val="0"/>
              <w:spacing w:after="0" w:line="240" w:lineRule="auto"/>
              <w:ind w:left="-250" w:right="-177"/>
              <w:jc w:val="center"/>
              <w:rPr>
                <w:rFonts w:ascii="Times New Roman" w:hAnsi="Times New Roman"/>
                <w:b/>
                <w:sz w:val="24"/>
                <w:szCs w:val="24"/>
              </w:rPr>
            </w:pPr>
            <w:r w:rsidRPr="00375059">
              <w:rPr>
                <w:rFonts w:ascii="Times New Roman" w:hAnsi="Times New Roman"/>
                <w:b/>
                <w:sz w:val="24"/>
                <w:szCs w:val="24"/>
              </w:rPr>
              <w:t>ед. изм.</w:t>
            </w:r>
          </w:p>
        </w:tc>
        <w:tc>
          <w:tcPr>
            <w:tcW w:w="1818" w:type="dxa"/>
            <w:shd w:val="clear" w:color="auto" w:fill="D9D9D9"/>
            <w:vAlign w:val="center"/>
          </w:tcPr>
          <w:p w14:paraId="0626410A" w14:textId="77777777" w:rsidR="00201041" w:rsidRPr="00375059" w:rsidRDefault="00201041" w:rsidP="00201041">
            <w:pPr>
              <w:widowControl w:val="0"/>
              <w:spacing w:after="0" w:line="240" w:lineRule="auto"/>
              <w:ind w:firstLine="5"/>
              <w:jc w:val="center"/>
              <w:rPr>
                <w:rFonts w:ascii="Times New Roman" w:hAnsi="Times New Roman"/>
                <w:b/>
                <w:sz w:val="24"/>
                <w:szCs w:val="24"/>
              </w:rPr>
            </w:pPr>
            <w:r w:rsidRPr="00375059">
              <w:rPr>
                <w:rFonts w:ascii="Times New Roman" w:hAnsi="Times New Roman"/>
                <w:b/>
                <w:sz w:val="24"/>
                <w:szCs w:val="24"/>
              </w:rPr>
              <w:t>2020 год</w:t>
            </w:r>
          </w:p>
        </w:tc>
        <w:tc>
          <w:tcPr>
            <w:tcW w:w="1843" w:type="dxa"/>
            <w:shd w:val="clear" w:color="auto" w:fill="D9D9D9"/>
            <w:vAlign w:val="center"/>
          </w:tcPr>
          <w:p w14:paraId="0499DA3A" w14:textId="77777777" w:rsidR="00201041" w:rsidRPr="00375059" w:rsidRDefault="00201041" w:rsidP="00201041">
            <w:pPr>
              <w:widowControl w:val="0"/>
              <w:spacing w:after="0" w:line="240" w:lineRule="auto"/>
              <w:ind w:firstLine="5"/>
              <w:jc w:val="center"/>
              <w:rPr>
                <w:rFonts w:ascii="Times New Roman" w:hAnsi="Times New Roman"/>
                <w:b/>
                <w:sz w:val="24"/>
                <w:szCs w:val="24"/>
              </w:rPr>
            </w:pPr>
            <w:r w:rsidRPr="00375059">
              <w:rPr>
                <w:rFonts w:ascii="Times New Roman" w:hAnsi="Times New Roman"/>
                <w:b/>
                <w:sz w:val="24"/>
                <w:szCs w:val="24"/>
              </w:rPr>
              <w:t>2021 год</w:t>
            </w:r>
          </w:p>
        </w:tc>
        <w:tc>
          <w:tcPr>
            <w:tcW w:w="1621" w:type="dxa"/>
            <w:shd w:val="clear" w:color="auto" w:fill="D9D9D9"/>
            <w:vAlign w:val="center"/>
          </w:tcPr>
          <w:p w14:paraId="1D55A263" w14:textId="6FC954D1" w:rsidR="00201041" w:rsidRPr="00375059" w:rsidRDefault="002706DB" w:rsidP="00201041">
            <w:pPr>
              <w:widowControl w:val="0"/>
              <w:spacing w:after="0" w:line="240" w:lineRule="auto"/>
              <w:ind w:left="-156" w:right="-140"/>
              <w:jc w:val="center"/>
              <w:rPr>
                <w:rFonts w:ascii="Times New Roman" w:hAnsi="Times New Roman"/>
                <w:b/>
                <w:sz w:val="24"/>
                <w:szCs w:val="24"/>
              </w:rPr>
            </w:pPr>
            <w:r w:rsidRPr="00375059">
              <w:rPr>
                <w:rFonts w:ascii="Times New Roman" w:eastAsia="Calibri" w:hAnsi="Times New Roman"/>
                <w:b/>
                <w:sz w:val="24"/>
                <w:szCs w:val="24"/>
              </w:rPr>
              <w:t>темп роста к 2020 году, %</w:t>
            </w:r>
          </w:p>
        </w:tc>
      </w:tr>
      <w:tr w:rsidR="00201041" w:rsidRPr="00375059" w14:paraId="14451FE5" w14:textId="77777777" w:rsidTr="009775B3">
        <w:trPr>
          <w:trHeight w:val="223"/>
          <w:jc w:val="center"/>
        </w:trPr>
        <w:tc>
          <w:tcPr>
            <w:tcW w:w="3402" w:type="dxa"/>
            <w:vAlign w:val="center"/>
          </w:tcPr>
          <w:p w14:paraId="2C167786" w14:textId="77777777" w:rsidR="00201041" w:rsidRPr="00375059" w:rsidRDefault="00201041" w:rsidP="00201041">
            <w:pPr>
              <w:widowControl w:val="0"/>
              <w:spacing w:after="0" w:line="240" w:lineRule="auto"/>
              <w:ind w:right="-108"/>
              <w:rPr>
                <w:rFonts w:ascii="Times New Roman" w:hAnsi="Times New Roman"/>
                <w:sz w:val="24"/>
                <w:szCs w:val="24"/>
              </w:rPr>
            </w:pPr>
            <w:r w:rsidRPr="00375059">
              <w:rPr>
                <w:rFonts w:ascii="Times New Roman" w:hAnsi="Times New Roman"/>
                <w:sz w:val="24"/>
                <w:szCs w:val="24"/>
              </w:rPr>
              <w:t>Песчано-гравийная смесь</w:t>
            </w:r>
          </w:p>
        </w:tc>
        <w:tc>
          <w:tcPr>
            <w:tcW w:w="923" w:type="dxa"/>
            <w:vAlign w:val="center"/>
          </w:tcPr>
          <w:p w14:paraId="74F40C72" w14:textId="77777777" w:rsidR="00201041" w:rsidRPr="00375059" w:rsidRDefault="00201041" w:rsidP="00201041">
            <w:pPr>
              <w:widowControl w:val="0"/>
              <w:spacing w:after="0" w:line="240" w:lineRule="auto"/>
              <w:ind w:left="-85" w:right="-108"/>
              <w:jc w:val="center"/>
              <w:rPr>
                <w:rFonts w:ascii="Times New Roman" w:hAnsi="Times New Roman"/>
                <w:sz w:val="24"/>
                <w:szCs w:val="24"/>
              </w:rPr>
            </w:pPr>
            <w:r w:rsidRPr="00375059">
              <w:rPr>
                <w:rFonts w:ascii="Times New Roman" w:hAnsi="Times New Roman"/>
                <w:sz w:val="24"/>
                <w:szCs w:val="24"/>
              </w:rPr>
              <w:t>м</w:t>
            </w:r>
            <w:r w:rsidRPr="00375059">
              <w:rPr>
                <w:rFonts w:ascii="Times New Roman" w:hAnsi="Times New Roman"/>
                <w:sz w:val="24"/>
                <w:szCs w:val="24"/>
                <w:vertAlign w:val="superscript"/>
              </w:rPr>
              <w:t>3</w:t>
            </w:r>
          </w:p>
        </w:tc>
        <w:tc>
          <w:tcPr>
            <w:tcW w:w="1818" w:type="dxa"/>
            <w:vAlign w:val="center"/>
          </w:tcPr>
          <w:p w14:paraId="518E572A"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1 083 192,1</w:t>
            </w:r>
          </w:p>
        </w:tc>
        <w:tc>
          <w:tcPr>
            <w:tcW w:w="1843" w:type="dxa"/>
            <w:vAlign w:val="center"/>
          </w:tcPr>
          <w:p w14:paraId="5CB2D9DF"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1 107 306,0</w:t>
            </w:r>
          </w:p>
        </w:tc>
        <w:tc>
          <w:tcPr>
            <w:tcW w:w="1621" w:type="dxa"/>
          </w:tcPr>
          <w:p w14:paraId="545D2444" w14:textId="77777777" w:rsidR="00201041" w:rsidRPr="00375059" w:rsidRDefault="00201041" w:rsidP="00201041">
            <w:pPr>
              <w:widowControl w:val="0"/>
              <w:spacing w:after="0" w:line="240" w:lineRule="auto"/>
              <w:ind w:right="224"/>
              <w:jc w:val="right"/>
              <w:rPr>
                <w:rFonts w:ascii="Times New Roman" w:hAnsi="Times New Roman"/>
                <w:sz w:val="24"/>
                <w:szCs w:val="24"/>
              </w:rPr>
            </w:pPr>
            <w:r w:rsidRPr="00375059">
              <w:rPr>
                <w:rFonts w:ascii="Times New Roman" w:hAnsi="Times New Roman"/>
                <w:sz w:val="24"/>
                <w:szCs w:val="24"/>
              </w:rPr>
              <w:t>102,2</w:t>
            </w:r>
          </w:p>
        </w:tc>
      </w:tr>
      <w:tr w:rsidR="00201041" w:rsidRPr="00375059" w14:paraId="1910769A" w14:textId="77777777" w:rsidTr="009775B3">
        <w:trPr>
          <w:trHeight w:val="223"/>
          <w:jc w:val="center"/>
        </w:trPr>
        <w:tc>
          <w:tcPr>
            <w:tcW w:w="3402" w:type="dxa"/>
            <w:vAlign w:val="center"/>
          </w:tcPr>
          <w:p w14:paraId="3AE549D7" w14:textId="77777777" w:rsidR="00201041" w:rsidRPr="00375059" w:rsidRDefault="00201041" w:rsidP="00201041">
            <w:pPr>
              <w:widowControl w:val="0"/>
              <w:spacing w:after="0" w:line="240" w:lineRule="auto"/>
              <w:ind w:right="-108"/>
              <w:rPr>
                <w:rFonts w:ascii="Times New Roman" w:hAnsi="Times New Roman"/>
                <w:sz w:val="24"/>
                <w:szCs w:val="24"/>
              </w:rPr>
            </w:pPr>
            <w:r w:rsidRPr="00375059">
              <w:rPr>
                <w:rFonts w:ascii="Times New Roman" w:hAnsi="Times New Roman"/>
                <w:sz w:val="24"/>
                <w:szCs w:val="24"/>
              </w:rPr>
              <w:t>Глина</w:t>
            </w:r>
          </w:p>
        </w:tc>
        <w:tc>
          <w:tcPr>
            <w:tcW w:w="923" w:type="dxa"/>
            <w:vAlign w:val="center"/>
          </w:tcPr>
          <w:p w14:paraId="094E990C" w14:textId="77777777" w:rsidR="00201041" w:rsidRPr="00375059" w:rsidRDefault="00201041" w:rsidP="00201041">
            <w:pPr>
              <w:widowControl w:val="0"/>
              <w:spacing w:after="0" w:line="240" w:lineRule="auto"/>
              <w:ind w:left="-85" w:right="-108"/>
              <w:jc w:val="center"/>
              <w:rPr>
                <w:rFonts w:ascii="Times New Roman" w:hAnsi="Times New Roman"/>
                <w:sz w:val="24"/>
                <w:szCs w:val="24"/>
              </w:rPr>
            </w:pPr>
            <w:r w:rsidRPr="00375059">
              <w:rPr>
                <w:rFonts w:ascii="Times New Roman" w:hAnsi="Times New Roman"/>
                <w:sz w:val="24"/>
                <w:szCs w:val="24"/>
              </w:rPr>
              <w:t>м</w:t>
            </w:r>
            <w:r w:rsidRPr="00375059">
              <w:rPr>
                <w:rFonts w:ascii="Times New Roman" w:hAnsi="Times New Roman"/>
                <w:sz w:val="24"/>
                <w:szCs w:val="24"/>
                <w:vertAlign w:val="superscript"/>
              </w:rPr>
              <w:t>3</w:t>
            </w:r>
          </w:p>
        </w:tc>
        <w:tc>
          <w:tcPr>
            <w:tcW w:w="1818" w:type="dxa"/>
            <w:vAlign w:val="center"/>
          </w:tcPr>
          <w:p w14:paraId="27520FF7"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color w:val="000000"/>
                <w:sz w:val="24"/>
                <w:szCs w:val="24"/>
              </w:rPr>
              <w:t>480,0</w:t>
            </w:r>
          </w:p>
        </w:tc>
        <w:tc>
          <w:tcPr>
            <w:tcW w:w="1843" w:type="dxa"/>
            <w:vAlign w:val="center"/>
          </w:tcPr>
          <w:p w14:paraId="123B4FD3"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color w:val="000000"/>
                <w:sz w:val="24"/>
                <w:szCs w:val="24"/>
              </w:rPr>
              <w:t>1 053,0</w:t>
            </w:r>
          </w:p>
        </w:tc>
        <w:tc>
          <w:tcPr>
            <w:tcW w:w="1621" w:type="dxa"/>
          </w:tcPr>
          <w:p w14:paraId="08720402" w14:textId="77777777" w:rsidR="00201041" w:rsidRPr="00375059" w:rsidRDefault="00201041" w:rsidP="00201041">
            <w:pPr>
              <w:widowControl w:val="0"/>
              <w:spacing w:after="0" w:line="240" w:lineRule="auto"/>
              <w:ind w:right="224"/>
              <w:jc w:val="right"/>
              <w:rPr>
                <w:rFonts w:ascii="Times New Roman" w:hAnsi="Times New Roman"/>
                <w:sz w:val="24"/>
                <w:szCs w:val="24"/>
              </w:rPr>
            </w:pPr>
            <w:r w:rsidRPr="00375059">
              <w:rPr>
                <w:rFonts w:ascii="Times New Roman" w:hAnsi="Times New Roman"/>
                <w:color w:val="000000"/>
                <w:sz w:val="24"/>
                <w:szCs w:val="24"/>
              </w:rPr>
              <w:t>в 2,2 р.</w:t>
            </w:r>
          </w:p>
        </w:tc>
      </w:tr>
      <w:tr w:rsidR="00201041" w:rsidRPr="00375059" w14:paraId="2E74A645" w14:textId="77777777" w:rsidTr="009775B3">
        <w:trPr>
          <w:jc w:val="center"/>
        </w:trPr>
        <w:tc>
          <w:tcPr>
            <w:tcW w:w="3402" w:type="dxa"/>
            <w:vAlign w:val="center"/>
          </w:tcPr>
          <w:p w14:paraId="27A2BC6D" w14:textId="77777777" w:rsidR="00201041" w:rsidRPr="00375059" w:rsidRDefault="00201041" w:rsidP="00201041">
            <w:pPr>
              <w:widowControl w:val="0"/>
              <w:spacing w:after="0" w:line="240" w:lineRule="auto"/>
              <w:ind w:right="-108"/>
              <w:rPr>
                <w:rFonts w:ascii="Times New Roman" w:hAnsi="Times New Roman"/>
                <w:sz w:val="24"/>
                <w:szCs w:val="24"/>
              </w:rPr>
            </w:pPr>
            <w:r w:rsidRPr="00375059">
              <w:rPr>
                <w:rFonts w:ascii="Times New Roman" w:hAnsi="Times New Roman"/>
                <w:sz w:val="24"/>
                <w:szCs w:val="24"/>
              </w:rPr>
              <w:t>Пильный известняк</w:t>
            </w:r>
          </w:p>
        </w:tc>
        <w:tc>
          <w:tcPr>
            <w:tcW w:w="923" w:type="dxa"/>
            <w:vAlign w:val="center"/>
          </w:tcPr>
          <w:p w14:paraId="29236A34" w14:textId="77777777" w:rsidR="00201041" w:rsidRPr="00375059" w:rsidRDefault="00201041" w:rsidP="00201041">
            <w:pPr>
              <w:widowControl w:val="0"/>
              <w:spacing w:after="0" w:line="240" w:lineRule="auto"/>
              <w:ind w:left="-85" w:right="-108"/>
              <w:jc w:val="center"/>
              <w:rPr>
                <w:rFonts w:ascii="Times New Roman" w:hAnsi="Times New Roman"/>
                <w:sz w:val="24"/>
                <w:szCs w:val="24"/>
              </w:rPr>
            </w:pPr>
            <w:r w:rsidRPr="00375059">
              <w:rPr>
                <w:rFonts w:ascii="Times New Roman" w:hAnsi="Times New Roman"/>
                <w:sz w:val="24"/>
                <w:szCs w:val="24"/>
              </w:rPr>
              <w:t>м</w:t>
            </w:r>
            <w:r w:rsidRPr="00375059">
              <w:rPr>
                <w:rFonts w:ascii="Times New Roman" w:hAnsi="Times New Roman"/>
                <w:sz w:val="24"/>
                <w:szCs w:val="24"/>
                <w:vertAlign w:val="superscript"/>
              </w:rPr>
              <w:t>3</w:t>
            </w:r>
          </w:p>
        </w:tc>
        <w:tc>
          <w:tcPr>
            <w:tcW w:w="1818" w:type="dxa"/>
            <w:vAlign w:val="center"/>
          </w:tcPr>
          <w:p w14:paraId="4EAE271B"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color w:val="000000"/>
                <w:sz w:val="24"/>
                <w:szCs w:val="24"/>
              </w:rPr>
              <w:t>8 312,0</w:t>
            </w:r>
          </w:p>
        </w:tc>
        <w:tc>
          <w:tcPr>
            <w:tcW w:w="1843" w:type="dxa"/>
            <w:vAlign w:val="center"/>
          </w:tcPr>
          <w:p w14:paraId="0A1F04F6"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color w:val="000000"/>
                <w:sz w:val="24"/>
                <w:szCs w:val="24"/>
              </w:rPr>
              <w:t>4 436,0</w:t>
            </w:r>
          </w:p>
        </w:tc>
        <w:tc>
          <w:tcPr>
            <w:tcW w:w="1621" w:type="dxa"/>
          </w:tcPr>
          <w:p w14:paraId="630E1626" w14:textId="77777777" w:rsidR="00201041" w:rsidRPr="00375059" w:rsidRDefault="00201041" w:rsidP="00201041">
            <w:pPr>
              <w:widowControl w:val="0"/>
              <w:spacing w:after="0" w:line="240" w:lineRule="auto"/>
              <w:ind w:right="224"/>
              <w:jc w:val="right"/>
              <w:rPr>
                <w:rFonts w:ascii="Times New Roman" w:hAnsi="Times New Roman"/>
                <w:sz w:val="24"/>
                <w:szCs w:val="24"/>
              </w:rPr>
            </w:pPr>
            <w:r w:rsidRPr="00375059">
              <w:rPr>
                <w:rFonts w:ascii="Times New Roman" w:hAnsi="Times New Roman"/>
                <w:sz w:val="24"/>
                <w:szCs w:val="24"/>
              </w:rPr>
              <w:t>53,4</w:t>
            </w:r>
          </w:p>
        </w:tc>
      </w:tr>
      <w:tr w:rsidR="00201041" w:rsidRPr="00375059" w14:paraId="0CBA445D" w14:textId="77777777" w:rsidTr="009775B3">
        <w:trPr>
          <w:jc w:val="center"/>
        </w:trPr>
        <w:tc>
          <w:tcPr>
            <w:tcW w:w="3402" w:type="dxa"/>
            <w:vAlign w:val="center"/>
          </w:tcPr>
          <w:p w14:paraId="4C1B5F36" w14:textId="77777777" w:rsidR="00201041" w:rsidRPr="00375059" w:rsidRDefault="00201041" w:rsidP="00201041">
            <w:pPr>
              <w:widowControl w:val="0"/>
              <w:spacing w:after="0" w:line="240" w:lineRule="auto"/>
              <w:ind w:right="-108"/>
              <w:rPr>
                <w:rFonts w:ascii="Times New Roman" w:hAnsi="Times New Roman"/>
                <w:sz w:val="24"/>
                <w:szCs w:val="24"/>
              </w:rPr>
            </w:pPr>
            <w:proofErr w:type="spellStart"/>
            <w:r w:rsidRPr="00375059">
              <w:rPr>
                <w:rFonts w:ascii="Times New Roman" w:hAnsi="Times New Roman"/>
                <w:sz w:val="24"/>
                <w:szCs w:val="24"/>
              </w:rPr>
              <w:t>Рифогенный</w:t>
            </w:r>
            <w:proofErr w:type="spellEnd"/>
            <w:r w:rsidRPr="00375059">
              <w:rPr>
                <w:rFonts w:ascii="Times New Roman" w:hAnsi="Times New Roman"/>
                <w:sz w:val="24"/>
                <w:szCs w:val="24"/>
              </w:rPr>
              <w:t xml:space="preserve"> известняк</w:t>
            </w:r>
          </w:p>
        </w:tc>
        <w:tc>
          <w:tcPr>
            <w:tcW w:w="923" w:type="dxa"/>
            <w:vAlign w:val="center"/>
          </w:tcPr>
          <w:p w14:paraId="512072A8" w14:textId="77777777" w:rsidR="00201041" w:rsidRPr="00375059" w:rsidRDefault="00201041" w:rsidP="00201041">
            <w:pPr>
              <w:widowControl w:val="0"/>
              <w:spacing w:after="0" w:line="240" w:lineRule="auto"/>
              <w:ind w:left="-85" w:right="-108"/>
              <w:jc w:val="center"/>
              <w:rPr>
                <w:rFonts w:ascii="Times New Roman" w:hAnsi="Times New Roman"/>
                <w:sz w:val="24"/>
                <w:szCs w:val="24"/>
              </w:rPr>
            </w:pPr>
            <w:r w:rsidRPr="00375059">
              <w:rPr>
                <w:rFonts w:ascii="Times New Roman" w:hAnsi="Times New Roman"/>
                <w:sz w:val="24"/>
                <w:szCs w:val="24"/>
              </w:rPr>
              <w:t>м</w:t>
            </w:r>
            <w:r w:rsidRPr="00375059">
              <w:rPr>
                <w:rFonts w:ascii="Times New Roman" w:hAnsi="Times New Roman"/>
                <w:sz w:val="24"/>
                <w:szCs w:val="24"/>
                <w:vertAlign w:val="superscript"/>
              </w:rPr>
              <w:t>3</w:t>
            </w:r>
          </w:p>
        </w:tc>
        <w:tc>
          <w:tcPr>
            <w:tcW w:w="1818" w:type="dxa"/>
            <w:vAlign w:val="center"/>
          </w:tcPr>
          <w:p w14:paraId="64DB8147"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5 210,0</w:t>
            </w:r>
          </w:p>
        </w:tc>
        <w:tc>
          <w:tcPr>
            <w:tcW w:w="1843" w:type="dxa"/>
            <w:vAlign w:val="center"/>
          </w:tcPr>
          <w:p w14:paraId="53FB705C"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color w:val="000000"/>
                <w:sz w:val="24"/>
                <w:szCs w:val="24"/>
              </w:rPr>
              <w:t>432,0</w:t>
            </w:r>
          </w:p>
        </w:tc>
        <w:tc>
          <w:tcPr>
            <w:tcW w:w="1621" w:type="dxa"/>
          </w:tcPr>
          <w:p w14:paraId="70126504" w14:textId="77777777" w:rsidR="00201041" w:rsidRPr="00375059" w:rsidRDefault="00201041" w:rsidP="00201041">
            <w:pPr>
              <w:widowControl w:val="0"/>
              <w:spacing w:after="0" w:line="240" w:lineRule="auto"/>
              <w:ind w:right="224"/>
              <w:jc w:val="right"/>
              <w:rPr>
                <w:rFonts w:ascii="Times New Roman" w:hAnsi="Times New Roman"/>
                <w:sz w:val="24"/>
                <w:szCs w:val="24"/>
              </w:rPr>
            </w:pPr>
            <w:r w:rsidRPr="00375059">
              <w:rPr>
                <w:rFonts w:ascii="Times New Roman" w:hAnsi="Times New Roman"/>
                <w:sz w:val="24"/>
                <w:szCs w:val="24"/>
              </w:rPr>
              <w:t>8,3</w:t>
            </w:r>
          </w:p>
        </w:tc>
      </w:tr>
      <w:tr w:rsidR="00201041" w:rsidRPr="00375059" w14:paraId="297753D6" w14:textId="77777777" w:rsidTr="009775B3">
        <w:trPr>
          <w:jc w:val="center"/>
        </w:trPr>
        <w:tc>
          <w:tcPr>
            <w:tcW w:w="9607" w:type="dxa"/>
            <w:gridSpan w:val="5"/>
            <w:vAlign w:val="center"/>
          </w:tcPr>
          <w:p w14:paraId="60DD6BA4" w14:textId="77777777" w:rsidR="00201041" w:rsidRPr="00375059" w:rsidRDefault="00201041" w:rsidP="00201041">
            <w:pPr>
              <w:widowControl w:val="0"/>
              <w:spacing w:after="0" w:line="240" w:lineRule="auto"/>
              <w:ind w:right="224"/>
              <w:rPr>
                <w:rFonts w:ascii="Times New Roman" w:hAnsi="Times New Roman"/>
                <w:color w:val="000000"/>
                <w:sz w:val="24"/>
                <w:szCs w:val="24"/>
              </w:rPr>
            </w:pPr>
            <w:r w:rsidRPr="00375059">
              <w:rPr>
                <w:rFonts w:ascii="Times New Roman" w:hAnsi="Times New Roman"/>
                <w:sz w:val="24"/>
                <w:szCs w:val="24"/>
              </w:rPr>
              <w:t>Цементное сырье:</w:t>
            </w:r>
          </w:p>
        </w:tc>
      </w:tr>
      <w:tr w:rsidR="00201041" w:rsidRPr="00375059" w14:paraId="372DBDFD" w14:textId="77777777" w:rsidTr="009775B3">
        <w:trPr>
          <w:trHeight w:val="208"/>
          <w:jc w:val="center"/>
        </w:trPr>
        <w:tc>
          <w:tcPr>
            <w:tcW w:w="3402" w:type="dxa"/>
            <w:vAlign w:val="center"/>
          </w:tcPr>
          <w:p w14:paraId="61D809BD" w14:textId="77777777" w:rsidR="00201041" w:rsidRPr="00375059" w:rsidRDefault="00201041" w:rsidP="00201041">
            <w:pPr>
              <w:widowControl w:val="0"/>
              <w:spacing w:after="0" w:line="240" w:lineRule="auto"/>
              <w:ind w:right="-108"/>
              <w:rPr>
                <w:rFonts w:ascii="Times New Roman" w:hAnsi="Times New Roman"/>
                <w:sz w:val="24"/>
                <w:szCs w:val="24"/>
              </w:rPr>
            </w:pPr>
            <w:r w:rsidRPr="00375059">
              <w:rPr>
                <w:rFonts w:ascii="Times New Roman" w:hAnsi="Times New Roman"/>
                <w:sz w:val="24"/>
                <w:szCs w:val="24"/>
              </w:rPr>
              <w:t xml:space="preserve">- глина </w:t>
            </w:r>
          </w:p>
        </w:tc>
        <w:tc>
          <w:tcPr>
            <w:tcW w:w="923" w:type="dxa"/>
            <w:vAlign w:val="center"/>
          </w:tcPr>
          <w:p w14:paraId="37FA7F10" w14:textId="77777777" w:rsidR="00201041" w:rsidRPr="00375059" w:rsidRDefault="00201041" w:rsidP="00201041">
            <w:pPr>
              <w:widowControl w:val="0"/>
              <w:spacing w:after="0" w:line="240" w:lineRule="auto"/>
              <w:ind w:left="-85" w:right="-108"/>
              <w:jc w:val="center"/>
              <w:rPr>
                <w:rFonts w:ascii="Times New Roman" w:hAnsi="Times New Roman"/>
                <w:sz w:val="24"/>
                <w:szCs w:val="24"/>
              </w:rPr>
            </w:pPr>
            <w:r w:rsidRPr="00375059">
              <w:rPr>
                <w:rFonts w:ascii="Times New Roman" w:hAnsi="Times New Roman"/>
                <w:sz w:val="24"/>
                <w:szCs w:val="24"/>
              </w:rPr>
              <w:t>т</w:t>
            </w:r>
          </w:p>
        </w:tc>
        <w:tc>
          <w:tcPr>
            <w:tcW w:w="1818" w:type="dxa"/>
            <w:vAlign w:val="center"/>
          </w:tcPr>
          <w:p w14:paraId="1FE955C4"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125 932,0</w:t>
            </w:r>
          </w:p>
        </w:tc>
        <w:tc>
          <w:tcPr>
            <w:tcW w:w="1843" w:type="dxa"/>
            <w:vAlign w:val="center"/>
          </w:tcPr>
          <w:p w14:paraId="558C0895"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143 013,0</w:t>
            </w:r>
          </w:p>
        </w:tc>
        <w:tc>
          <w:tcPr>
            <w:tcW w:w="1621" w:type="dxa"/>
          </w:tcPr>
          <w:p w14:paraId="783227CC" w14:textId="77777777" w:rsidR="00201041" w:rsidRPr="00375059" w:rsidRDefault="00201041" w:rsidP="00201041">
            <w:pPr>
              <w:widowControl w:val="0"/>
              <w:tabs>
                <w:tab w:val="center" w:pos="590"/>
                <w:tab w:val="right" w:pos="1181"/>
              </w:tabs>
              <w:spacing w:after="0" w:line="240" w:lineRule="auto"/>
              <w:ind w:right="224"/>
              <w:jc w:val="right"/>
              <w:rPr>
                <w:rFonts w:ascii="Times New Roman" w:hAnsi="Times New Roman"/>
                <w:sz w:val="24"/>
                <w:szCs w:val="24"/>
              </w:rPr>
            </w:pPr>
            <w:r w:rsidRPr="00375059">
              <w:rPr>
                <w:rFonts w:ascii="Times New Roman" w:hAnsi="Times New Roman"/>
                <w:sz w:val="24"/>
                <w:szCs w:val="24"/>
              </w:rPr>
              <w:t>113,6</w:t>
            </w:r>
          </w:p>
        </w:tc>
      </w:tr>
      <w:tr w:rsidR="00201041" w:rsidRPr="00375059" w14:paraId="2DFEE6DB" w14:textId="77777777" w:rsidTr="009775B3">
        <w:trPr>
          <w:trHeight w:val="240"/>
          <w:jc w:val="center"/>
        </w:trPr>
        <w:tc>
          <w:tcPr>
            <w:tcW w:w="3402" w:type="dxa"/>
            <w:vAlign w:val="center"/>
          </w:tcPr>
          <w:p w14:paraId="70DE5691" w14:textId="77777777" w:rsidR="00201041" w:rsidRPr="00375059" w:rsidRDefault="00201041" w:rsidP="00201041">
            <w:pPr>
              <w:widowControl w:val="0"/>
              <w:spacing w:after="0" w:line="240" w:lineRule="auto"/>
              <w:ind w:right="-108"/>
              <w:rPr>
                <w:rFonts w:ascii="Times New Roman" w:hAnsi="Times New Roman"/>
                <w:sz w:val="24"/>
                <w:szCs w:val="24"/>
              </w:rPr>
            </w:pPr>
            <w:r w:rsidRPr="00375059">
              <w:rPr>
                <w:rFonts w:ascii="Times New Roman" w:hAnsi="Times New Roman"/>
                <w:sz w:val="24"/>
                <w:szCs w:val="24"/>
              </w:rPr>
              <w:t>- цементное сырье (известняк)</w:t>
            </w:r>
          </w:p>
        </w:tc>
        <w:tc>
          <w:tcPr>
            <w:tcW w:w="923" w:type="dxa"/>
            <w:vAlign w:val="center"/>
          </w:tcPr>
          <w:p w14:paraId="1CABF9B4" w14:textId="77777777" w:rsidR="00201041" w:rsidRPr="00375059" w:rsidRDefault="00201041" w:rsidP="00201041">
            <w:pPr>
              <w:widowControl w:val="0"/>
              <w:spacing w:after="0" w:line="240" w:lineRule="auto"/>
              <w:ind w:left="-85" w:right="-108"/>
              <w:jc w:val="center"/>
              <w:rPr>
                <w:rFonts w:ascii="Times New Roman" w:hAnsi="Times New Roman"/>
                <w:sz w:val="24"/>
                <w:szCs w:val="24"/>
              </w:rPr>
            </w:pPr>
            <w:r w:rsidRPr="00375059">
              <w:rPr>
                <w:rFonts w:ascii="Times New Roman" w:hAnsi="Times New Roman"/>
                <w:sz w:val="24"/>
                <w:szCs w:val="24"/>
              </w:rPr>
              <w:t>т</w:t>
            </w:r>
          </w:p>
        </w:tc>
        <w:tc>
          <w:tcPr>
            <w:tcW w:w="1818" w:type="dxa"/>
            <w:vAlign w:val="center"/>
          </w:tcPr>
          <w:p w14:paraId="0C974024"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579 988,0</w:t>
            </w:r>
          </w:p>
        </w:tc>
        <w:tc>
          <w:tcPr>
            <w:tcW w:w="1843" w:type="dxa"/>
            <w:vAlign w:val="center"/>
          </w:tcPr>
          <w:p w14:paraId="21845F13"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623 463,0</w:t>
            </w:r>
          </w:p>
        </w:tc>
        <w:tc>
          <w:tcPr>
            <w:tcW w:w="1621" w:type="dxa"/>
          </w:tcPr>
          <w:p w14:paraId="6E402601" w14:textId="77777777" w:rsidR="00201041" w:rsidRPr="00375059" w:rsidRDefault="00201041" w:rsidP="00201041">
            <w:pPr>
              <w:widowControl w:val="0"/>
              <w:spacing w:after="0" w:line="240" w:lineRule="auto"/>
              <w:ind w:right="224"/>
              <w:jc w:val="right"/>
              <w:rPr>
                <w:rFonts w:ascii="Times New Roman" w:hAnsi="Times New Roman"/>
                <w:sz w:val="24"/>
                <w:szCs w:val="24"/>
              </w:rPr>
            </w:pPr>
            <w:r w:rsidRPr="00375059">
              <w:rPr>
                <w:rFonts w:ascii="Times New Roman" w:hAnsi="Times New Roman"/>
                <w:sz w:val="24"/>
                <w:szCs w:val="24"/>
              </w:rPr>
              <w:t>107,5</w:t>
            </w:r>
          </w:p>
        </w:tc>
      </w:tr>
      <w:tr w:rsidR="00201041" w:rsidRPr="00375059" w14:paraId="6FEE5E36" w14:textId="77777777" w:rsidTr="009775B3">
        <w:trPr>
          <w:jc w:val="center"/>
        </w:trPr>
        <w:tc>
          <w:tcPr>
            <w:tcW w:w="3402" w:type="dxa"/>
            <w:vAlign w:val="center"/>
          </w:tcPr>
          <w:p w14:paraId="26EB2804" w14:textId="77777777" w:rsidR="00201041" w:rsidRPr="00375059" w:rsidRDefault="00201041" w:rsidP="00201041">
            <w:pPr>
              <w:widowControl w:val="0"/>
              <w:spacing w:after="0" w:line="240" w:lineRule="auto"/>
              <w:ind w:right="-108"/>
              <w:rPr>
                <w:rFonts w:ascii="Times New Roman" w:hAnsi="Times New Roman"/>
                <w:sz w:val="24"/>
                <w:szCs w:val="24"/>
              </w:rPr>
            </w:pPr>
            <w:r w:rsidRPr="00375059">
              <w:rPr>
                <w:rFonts w:ascii="Times New Roman" w:hAnsi="Times New Roman"/>
                <w:sz w:val="24"/>
                <w:szCs w:val="24"/>
              </w:rPr>
              <w:t xml:space="preserve">- известняк для извести </w:t>
            </w:r>
          </w:p>
        </w:tc>
        <w:tc>
          <w:tcPr>
            <w:tcW w:w="923" w:type="dxa"/>
            <w:vAlign w:val="center"/>
          </w:tcPr>
          <w:p w14:paraId="266AEDBB" w14:textId="77777777" w:rsidR="00201041" w:rsidRPr="00375059" w:rsidRDefault="00201041" w:rsidP="00201041">
            <w:pPr>
              <w:widowControl w:val="0"/>
              <w:spacing w:after="0" w:line="240" w:lineRule="auto"/>
              <w:ind w:left="-85" w:right="-108"/>
              <w:jc w:val="center"/>
              <w:rPr>
                <w:rFonts w:ascii="Times New Roman" w:hAnsi="Times New Roman"/>
                <w:sz w:val="24"/>
                <w:szCs w:val="24"/>
              </w:rPr>
            </w:pPr>
            <w:r w:rsidRPr="00375059">
              <w:rPr>
                <w:rFonts w:ascii="Times New Roman" w:hAnsi="Times New Roman"/>
                <w:sz w:val="24"/>
                <w:szCs w:val="24"/>
              </w:rPr>
              <w:t>м</w:t>
            </w:r>
            <w:r w:rsidRPr="00375059">
              <w:rPr>
                <w:rFonts w:ascii="Times New Roman" w:hAnsi="Times New Roman"/>
                <w:sz w:val="24"/>
                <w:szCs w:val="24"/>
                <w:vertAlign w:val="superscript"/>
              </w:rPr>
              <w:t>3</w:t>
            </w:r>
          </w:p>
        </w:tc>
        <w:tc>
          <w:tcPr>
            <w:tcW w:w="1818" w:type="dxa"/>
            <w:vAlign w:val="center"/>
          </w:tcPr>
          <w:p w14:paraId="6F2EF553"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36 748,9</w:t>
            </w:r>
          </w:p>
        </w:tc>
        <w:tc>
          <w:tcPr>
            <w:tcW w:w="1843" w:type="dxa"/>
            <w:vAlign w:val="center"/>
          </w:tcPr>
          <w:p w14:paraId="77865B8C"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33 379,3</w:t>
            </w:r>
          </w:p>
        </w:tc>
        <w:tc>
          <w:tcPr>
            <w:tcW w:w="1621" w:type="dxa"/>
          </w:tcPr>
          <w:p w14:paraId="7873075C" w14:textId="77777777" w:rsidR="00201041" w:rsidRPr="00375059" w:rsidRDefault="00201041" w:rsidP="00201041">
            <w:pPr>
              <w:widowControl w:val="0"/>
              <w:spacing w:after="0" w:line="240" w:lineRule="auto"/>
              <w:ind w:right="224"/>
              <w:jc w:val="right"/>
              <w:rPr>
                <w:rFonts w:ascii="Times New Roman" w:hAnsi="Times New Roman"/>
                <w:sz w:val="24"/>
                <w:szCs w:val="24"/>
              </w:rPr>
            </w:pPr>
            <w:r w:rsidRPr="00375059">
              <w:rPr>
                <w:rFonts w:ascii="Times New Roman" w:hAnsi="Times New Roman"/>
                <w:sz w:val="24"/>
                <w:szCs w:val="24"/>
              </w:rPr>
              <w:t>90,8</w:t>
            </w:r>
          </w:p>
        </w:tc>
      </w:tr>
      <w:tr w:rsidR="00201041" w:rsidRPr="00375059" w14:paraId="0F6279EB" w14:textId="77777777" w:rsidTr="009775B3">
        <w:trPr>
          <w:jc w:val="center"/>
        </w:trPr>
        <w:tc>
          <w:tcPr>
            <w:tcW w:w="3402" w:type="dxa"/>
            <w:vAlign w:val="center"/>
          </w:tcPr>
          <w:p w14:paraId="26A13F52" w14:textId="77777777" w:rsidR="00201041" w:rsidRPr="00375059" w:rsidRDefault="00201041" w:rsidP="00201041">
            <w:pPr>
              <w:widowControl w:val="0"/>
              <w:spacing w:after="0" w:line="240" w:lineRule="auto"/>
              <w:ind w:right="-108"/>
              <w:rPr>
                <w:rFonts w:ascii="Times New Roman" w:hAnsi="Times New Roman"/>
                <w:sz w:val="24"/>
                <w:szCs w:val="24"/>
              </w:rPr>
            </w:pPr>
            <w:r w:rsidRPr="00375059">
              <w:rPr>
                <w:rFonts w:ascii="Times New Roman" w:hAnsi="Times New Roman"/>
                <w:sz w:val="24"/>
                <w:szCs w:val="24"/>
              </w:rPr>
              <w:t>- строительный известняк</w:t>
            </w:r>
          </w:p>
        </w:tc>
        <w:tc>
          <w:tcPr>
            <w:tcW w:w="923" w:type="dxa"/>
            <w:vAlign w:val="center"/>
          </w:tcPr>
          <w:p w14:paraId="1306F074" w14:textId="77777777" w:rsidR="00201041" w:rsidRPr="00375059" w:rsidRDefault="00201041" w:rsidP="00201041">
            <w:pPr>
              <w:widowControl w:val="0"/>
              <w:spacing w:after="0" w:line="240" w:lineRule="auto"/>
              <w:ind w:left="-85" w:right="-108"/>
              <w:jc w:val="center"/>
              <w:rPr>
                <w:rFonts w:ascii="Times New Roman" w:hAnsi="Times New Roman"/>
                <w:sz w:val="24"/>
                <w:szCs w:val="24"/>
              </w:rPr>
            </w:pPr>
            <w:r w:rsidRPr="00375059">
              <w:rPr>
                <w:rFonts w:ascii="Times New Roman" w:hAnsi="Times New Roman"/>
                <w:sz w:val="24"/>
                <w:szCs w:val="24"/>
              </w:rPr>
              <w:t>м</w:t>
            </w:r>
            <w:r w:rsidRPr="00375059">
              <w:rPr>
                <w:rFonts w:ascii="Times New Roman" w:hAnsi="Times New Roman"/>
                <w:sz w:val="24"/>
                <w:szCs w:val="24"/>
                <w:vertAlign w:val="superscript"/>
              </w:rPr>
              <w:t>3</w:t>
            </w:r>
          </w:p>
        </w:tc>
        <w:tc>
          <w:tcPr>
            <w:tcW w:w="1818" w:type="dxa"/>
            <w:vAlign w:val="center"/>
          </w:tcPr>
          <w:p w14:paraId="0C434672"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3 474,9</w:t>
            </w:r>
          </w:p>
        </w:tc>
        <w:tc>
          <w:tcPr>
            <w:tcW w:w="1843" w:type="dxa"/>
            <w:vAlign w:val="center"/>
          </w:tcPr>
          <w:p w14:paraId="0BF22EA7"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3 658,3</w:t>
            </w:r>
          </w:p>
        </w:tc>
        <w:tc>
          <w:tcPr>
            <w:tcW w:w="1621" w:type="dxa"/>
          </w:tcPr>
          <w:p w14:paraId="64F468B9" w14:textId="77777777" w:rsidR="00201041" w:rsidRPr="00375059" w:rsidRDefault="00201041" w:rsidP="00201041">
            <w:pPr>
              <w:widowControl w:val="0"/>
              <w:spacing w:after="0" w:line="240" w:lineRule="auto"/>
              <w:ind w:right="224"/>
              <w:jc w:val="right"/>
              <w:rPr>
                <w:rFonts w:ascii="Times New Roman" w:hAnsi="Times New Roman"/>
                <w:sz w:val="24"/>
                <w:szCs w:val="24"/>
              </w:rPr>
            </w:pPr>
            <w:r w:rsidRPr="00375059">
              <w:rPr>
                <w:rFonts w:ascii="Times New Roman" w:hAnsi="Times New Roman"/>
                <w:sz w:val="24"/>
                <w:szCs w:val="24"/>
              </w:rPr>
              <w:t>105,3</w:t>
            </w:r>
          </w:p>
        </w:tc>
      </w:tr>
      <w:tr w:rsidR="00201041" w:rsidRPr="00375059" w14:paraId="0908EC35" w14:textId="77777777" w:rsidTr="009775B3">
        <w:trPr>
          <w:jc w:val="center"/>
        </w:trPr>
        <w:tc>
          <w:tcPr>
            <w:tcW w:w="3402" w:type="dxa"/>
            <w:vAlign w:val="center"/>
          </w:tcPr>
          <w:p w14:paraId="4FEBF7C0" w14:textId="77777777" w:rsidR="00201041" w:rsidRPr="00375059" w:rsidRDefault="00201041" w:rsidP="00201041">
            <w:pPr>
              <w:widowControl w:val="0"/>
              <w:spacing w:after="0" w:line="240" w:lineRule="auto"/>
              <w:ind w:right="-108"/>
              <w:rPr>
                <w:rFonts w:ascii="Times New Roman" w:hAnsi="Times New Roman"/>
                <w:sz w:val="24"/>
                <w:szCs w:val="24"/>
              </w:rPr>
            </w:pPr>
            <w:r w:rsidRPr="00375059">
              <w:rPr>
                <w:rFonts w:ascii="Times New Roman" w:hAnsi="Times New Roman"/>
                <w:sz w:val="24"/>
                <w:szCs w:val="24"/>
              </w:rPr>
              <w:t xml:space="preserve">Минеральная вода </w:t>
            </w:r>
          </w:p>
        </w:tc>
        <w:tc>
          <w:tcPr>
            <w:tcW w:w="923" w:type="dxa"/>
            <w:vAlign w:val="center"/>
          </w:tcPr>
          <w:p w14:paraId="2A8C5040" w14:textId="77777777" w:rsidR="00201041" w:rsidRPr="00375059" w:rsidRDefault="00201041" w:rsidP="00201041">
            <w:pPr>
              <w:widowControl w:val="0"/>
              <w:spacing w:after="0" w:line="240" w:lineRule="auto"/>
              <w:ind w:left="-85" w:right="-108"/>
              <w:jc w:val="center"/>
              <w:rPr>
                <w:rFonts w:ascii="Times New Roman" w:hAnsi="Times New Roman"/>
                <w:sz w:val="24"/>
                <w:szCs w:val="24"/>
              </w:rPr>
            </w:pPr>
            <w:r w:rsidRPr="00375059">
              <w:rPr>
                <w:rFonts w:ascii="Times New Roman" w:hAnsi="Times New Roman"/>
                <w:sz w:val="24"/>
                <w:szCs w:val="24"/>
              </w:rPr>
              <w:t>м</w:t>
            </w:r>
            <w:r w:rsidRPr="00375059">
              <w:rPr>
                <w:rFonts w:ascii="Times New Roman" w:hAnsi="Times New Roman"/>
                <w:sz w:val="24"/>
                <w:szCs w:val="24"/>
                <w:vertAlign w:val="superscript"/>
              </w:rPr>
              <w:t>3</w:t>
            </w:r>
          </w:p>
        </w:tc>
        <w:tc>
          <w:tcPr>
            <w:tcW w:w="1818" w:type="dxa"/>
            <w:vAlign w:val="center"/>
          </w:tcPr>
          <w:p w14:paraId="63EF765F"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4 498,0</w:t>
            </w:r>
          </w:p>
        </w:tc>
        <w:tc>
          <w:tcPr>
            <w:tcW w:w="1843" w:type="dxa"/>
            <w:vAlign w:val="center"/>
          </w:tcPr>
          <w:p w14:paraId="749D1385" w14:textId="77777777" w:rsidR="00201041" w:rsidRPr="00375059" w:rsidRDefault="00201041" w:rsidP="00201041">
            <w:pPr>
              <w:widowControl w:val="0"/>
              <w:spacing w:after="0" w:line="240" w:lineRule="auto"/>
              <w:ind w:right="224"/>
              <w:jc w:val="right"/>
              <w:rPr>
                <w:rFonts w:ascii="Times New Roman" w:hAnsi="Times New Roman"/>
                <w:color w:val="000000"/>
                <w:sz w:val="24"/>
                <w:szCs w:val="24"/>
              </w:rPr>
            </w:pPr>
            <w:r w:rsidRPr="00375059">
              <w:rPr>
                <w:rFonts w:ascii="Times New Roman" w:hAnsi="Times New Roman"/>
                <w:sz w:val="24"/>
                <w:szCs w:val="24"/>
              </w:rPr>
              <w:t>2 695,4</w:t>
            </w:r>
          </w:p>
        </w:tc>
        <w:tc>
          <w:tcPr>
            <w:tcW w:w="1621" w:type="dxa"/>
          </w:tcPr>
          <w:p w14:paraId="4902BC91" w14:textId="77777777" w:rsidR="00201041" w:rsidRPr="00375059" w:rsidRDefault="00201041" w:rsidP="00201041">
            <w:pPr>
              <w:widowControl w:val="0"/>
              <w:spacing w:after="0" w:line="240" w:lineRule="auto"/>
              <w:ind w:right="224"/>
              <w:jc w:val="right"/>
              <w:rPr>
                <w:rFonts w:ascii="Times New Roman" w:hAnsi="Times New Roman"/>
                <w:sz w:val="24"/>
                <w:szCs w:val="24"/>
              </w:rPr>
            </w:pPr>
            <w:r w:rsidRPr="00375059">
              <w:rPr>
                <w:rFonts w:ascii="Times New Roman" w:hAnsi="Times New Roman"/>
                <w:sz w:val="24"/>
                <w:szCs w:val="24"/>
              </w:rPr>
              <w:t>59,9</w:t>
            </w:r>
          </w:p>
        </w:tc>
      </w:tr>
    </w:tbl>
    <w:p w14:paraId="44F2CF75" w14:textId="3AB39D6A" w:rsidR="00201041" w:rsidRPr="00375059" w:rsidRDefault="00201041" w:rsidP="001463C8">
      <w:pPr>
        <w:spacing w:after="0" w:line="240" w:lineRule="auto"/>
        <w:ind w:firstLine="567"/>
        <w:jc w:val="both"/>
        <w:rPr>
          <w:rFonts w:ascii="Times New Roman" w:hAnsi="Times New Roman"/>
          <w:sz w:val="28"/>
          <w:szCs w:val="28"/>
        </w:rPr>
      </w:pPr>
      <w:r w:rsidRPr="00375059">
        <w:rPr>
          <w:rFonts w:ascii="Times New Roman" w:hAnsi="Times New Roman"/>
          <w:sz w:val="28"/>
          <w:szCs w:val="28"/>
        </w:rPr>
        <w:t>В результате преобладающей повышательной динамики добычи полезных ископаемых платежи за пользовани</w:t>
      </w:r>
      <w:bookmarkStart w:id="52" w:name="_GoBack"/>
      <w:bookmarkEnd w:id="52"/>
      <w:r w:rsidRPr="00375059">
        <w:rPr>
          <w:rFonts w:ascii="Times New Roman" w:hAnsi="Times New Roman"/>
          <w:sz w:val="28"/>
          <w:szCs w:val="28"/>
        </w:rPr>
        <w:t>е недрами и отчисления на воспроизводство минерально-сырьевой базы за 2021 год составили 24 017,9 тыс. руб., что выше отметки 2020 года на 1,2%</w:t>
      </w:r>
    </w:p>
    <w:p w14:paraId="00D0F0E4" w14:textId="77777777" w:rsidR="00CC680C" w:rsidRDefault="00CC680C">
      <w:pPr>
        <w:spacing w:after="160" w:line="259" w:lineRule="auto"/>
        <w:rPr>
          <w:rFonts w:ascii="Times New Roman" w:hAnsi="Times New Roman"/>
          <w:b/>
          <w:sz w:val="28"/>
          <w:szCs w:val="28"/>
        </w:rPr>
        <w:sectPr w:rsidR="00CC680C" w:rsidSect="00963998">
          <w:headerReference w:type="even" r:id="rId75"/>
          <w:headerReference w:type="default" r:id="rId76"/>
          <w:headerReference w:type="first" r:id="rId77"/>
          <w:pgSz w:w="11906" w:h="16838"/>
          <w:pgMar w:top="1134" w:right="850" w:bottom="1134" w:left="1701" w:header="454" w:footer="340" w:gutter="0"/>
          <w:cols w:space="708"/>
          <w:titlePg/>
          <w:docGrid w:linePitch="360"/>
        </w:sectPr>
      </w:pPr>
    </w:p>
    <w:p w14:paraId="7BF288F2" w14:textId="2F96BE8A" w:rsidR="00201041" w:rsidRPr="00375059" w:rsidRDefault="00201041" w:rsidP="00201041">
      <w:pPr>
        <w:pStyle w:val="2"/>
        <w:spacing w:before="0" w:line="240" w:lineRule="auto"/>
        <w:ind w:firstLine="567"/>
        <w:jc w:val="right"/>
        <w:rPr>
          <w:rFonts w:ascii="Times New Roman" w:hAnsi="Times New Roman" w:cs="Times New Roman"/>
          <w:b/>
          <w:color w:val="auto"/>
          <w:sz w:val="28"/>
        </w:rPr>
      </w:pPr>
      <w:bookmarkStart w:id="53" w:name="_Toc82074358"/>
      <w:bookmarkStart w:id="54" w:name="_Toc101441795"/>
      <w:r w:rsidRPr="00375059">
        <w:rPr>
          <w:rFonts w:ascii="Times New Roman" w:hAnsi="Times New Roman" w:cs="Times New Roman"/>
          <w:b/>
          <w:color w:val="auto"/>
          <w:sz w:val="28"/>
        </w:rPr>
        <w:lastRenderedPageBreak/>
        <w:t>Приложение 1</w:t>
      </w:r>
      <w:bookmarkEnd w:id="53"/>
      <w:bookmarkEnd w:id="54"/>
    </w:p>
    <w:p w14:paraId="227CB1AA" w14:textId="77777777" w:rsidR="00201041" w:rsidRPr="00375059" w:rsidRDefault="00201041" w:rsidP="004E7A46">
      <w:pPr>
        <w:spacing w:after="0" w:line="240" w:lineRule="auto"/>
        <w:jc w:val="center"/>
        <w:rPr>
          <w:rFonts w:ascii="Times New Roman" w:hAnsi="Times New Roman"/>
          <w:b/>
          <w:sz w:val="28"/>
        </w:rPr>
      </w:pPr>
      <w:bookmarkStart w:id="55" w:name="_Toc82074359"/>
      <w:r w:rsidRPr="00375059">
        <w:rPr>
          <w:rFonts w:ascii="Times New Roman" w:hAnsi="Times New Roman"/>
          <w:b/>
          <w:sz w:val="28"/>
        </w:rPr>
        <w:t>Основные макроэкономические показатели</w:t>
      </w:r>
      <w:bookmarkEnd w:id="55"/>
    </w:p>
    <w:tbl>
      <w:tblPr>
        <w:tblW w:w="9567" w:type="dxa"/>
        <w:jc w:val="right"/>
        <w:tblLayout w:type="fixed"/>
        <w:tblLook w:val="00A0" w:firstRow="1" w:lastRow="0" w:firstColumn="1" w:lastColumn="0" w:noHBand="0" w:noVBand="0"/>
      </w:tblPr>
      <w:tblGrid>
        <w:gridCol w:w="4923"/>
        <w:gridCol w:w="1064"/>
        <w:gridCol w:w="1134"/>
        <w:gridCol w:w="1276"/>
        <w:gridCol w:w="1170"/>
      </w:tblGrid>
      <w:tr w:rsidR="00201041" w:rsidRPr="00375059" w14:paraId="05D40584"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B88314" w14:textId="6CE42DC9" w:rsidR="00201041" w:rsidRPr="00375059" w:rsidRDefault="00201041" w:rsidP="00201041">
            <w:pPr>
              <w:widowControl w:val="0"/>
              <w:spacing w:after="0" w:line="240" w:lineRule="auto"/>
              <w:ind w:firstLine="142"/>
              <w:jc w:val="center"/>
              <w:rPr>
                <w:rFonts w:ascii="Times New Roman" w:hAnsi="Times New Roman"/>
                <w:b/>
                <w:bCs/>
                <w:color w:val="000000"/>
                <w:sz w:val="24"/>
                <w:szCs w:val="24"/>
              </w:rPr>
            </w:pPr>
            <w:r w:rsidRPr="00375059">
              <w:rPr>
                <w:rFonts w:ascii="Times New Roman" w:hAnsi="Times New Roman"/>
                <w:b/>
                <w:bCs/>
                <w:color w:val="000000"/>
                <w:sz w:val="24"/>
                <w:szCs w:val="24"/>
              </w:rPr>
              <w:t>Показател</w:t>
            </w:r>
            <w:r w:rsidR="00CE10DF">
              <w:rPr>
                <w:rFonts w:ascii="Times New Roman" w:hAnsi="Times New Roman"/>
                <w:b/>
                <w:bCs/>
                <w:color w:val="000000"/>
                <w:sz w:val="24"/>
                <w:szCs w:val="24"/>
              </w:rPr>
              <w:t>ь</w:t>
            </w:r>
          </w:p>
        </w:tc>
        <w:tc>
          <w:tcPr>
            <w:tcW w:w="1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95235" w14:textId="77777777" w:rsidR="00201041" w:rsidRPr="00375059" w:rsidRDefault="00201041" w:rsidP="00201041">
            <w:pPr>
              <w:widowControl w:val="0"/>
              <w:spacing w:after="0" w:line="240" w:lineRule="auto"/>
              <w:ind w:left="-142" w:right="-144"/>
              <w:jc w:val="center"/>
              <w:rPr>
                <w:rFonts w:ascii="Times New Roman" w:hAnsi="Times New Roman"/>
                <w:b/>
                <w:bCs/>
                <w:color w:val="000000"/>
                <w:sz w:val="24"/>
                <w:szCs w:val="24"/>
              </w:rPr>
            </w:pPr>
            <w:r w:rsidRPr="00375059">
              <w:rPr>
                <w:rFonts w:ascii="Times New Roman" w:hAnsi="Times New Roman"/>
                <w:b/>
                <w:bCs/>
                <w:color w:val="000000"/>
                <w:sz w:val="24"/>
                <w:szCs w:val="24"/>
              </w:rPr>
              <w:t>ед. изм.</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23A116" w14:textId="77777777" w:rsidR="00201041" w:rsidRPr="00375059" w:rsidRDefault="00201041" w:rsidP="00201041">
            <w:pPr>
              <w:widowControl w:val="0"/>
              <w:tabs>
                <w:tab w:val="left" w:pos="918"/>
              </w:tabs>
              <w:spacing w:after="0" w:line="240" w:lineRule="auto"/>
              <w:ind w:left="-113" w:right="-113"/>
              <w:jc w:val="center"/>
              <w:rPr>
                <w:rFonts w:ascii="Times New Roman" w:hAnsi="Times New Roman"/>
                <w:b/>
                <w:bCs/>
                <w:color w:val="000000"/>
                <w:sz w:val="24"/>
                <w:szCs w:val="24"/>
              </w:rPr>
            </w:pPr>
            <w:r w:rsidRPr="00375059">
              <w:rPr>
                <w:rFonts w:ascii="Times New Roman" w:hAnsi="Times New Roman"/>
                <w:b/>
                <w:bCs/>
                <w:color w:val="000000"/>
                <w:sz w:val="24"/>
                <w:szCs w:val="24"/>
              </w:rPr>
              <w:t>2020 год</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776B3" w14:textId="77777777" w:rsidR="00201041" w:rsidRPr="00375059" w:rsidRDefault="00201041" w:rsidP="00201041">
            <w:pPr>
              <w:widowControl w:val="0"/>
              <w:spacing w:after="0" w:line="240" w:lineRule="auto"/>
              <w:ind w:left="-113" w:right="-113"/>
              <w:jc w:val="center"/>
              <w:rPr>
                <w:rFonts w:ascii="Times New Roman" w:hAnsi="Times New Roman"/>
                <w:b/>
                <w:bCs/>
                <w:color w:val="000000"/>
                <w:sz w:val="24"/>
                <w:szCs w:val="24"/>
              </w:rPr>
            </w:pPr>
            <w:r w:rsidRPr="00375059">
              <w:rPr>
                <w:rFonts w:ascii="Times New Roman" w:hAnsi="Times New Roman"/>
                <w:b/>
                <w:bCs/>
                <w:color w:val="000000"/>
                <w:sz w:val="24"/>
                <w:szCs w:val="24"/>
              </w:rPr>
              <w:t>2021 год</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C18339" w14:textId="77777777" w:rsidR="00201041" w:rsidRPr="00375059" w:rsidRDefault="00201041" w:rsidP="00201041">
            <w:pPr>
              <w:widowControl w:val="0"/>
              <w:spacing w:after="0" w:line="240" w:lineRule="auto"/>
              <w:ind w:left="-113" w:right="-113"/>
              <w:jc w:val="center"/>
              <w:rPr>
                <w:rFonts w:ascii="Times New Roman" w:hAnsi="Times New Roman"/>
                <w:b/>
                <w:bCs/>
                <w:color w:val="000000"/>
                <w:sz w:val="24"/>
                <w:szCs w:val="24"/>
              </w:rPr>
            </w:pPr>
            <w:r w:rsidRPr="00375059">
              <w:rPr>
                <w:rFonts w:ascii="Times New Roman" w:hAnsi="Times New Roman"/>
                <w:b/>
                <w:bCs/>
                <w:color w:val="000000"/>
                <w:sz w:val="24"/>
                <w:szCs w:val="24"/>
              </w:rPr>
              <w:t>Темп роста к 2020 году, %*</w:t>
            </w:r>
          </w:p>
        </w:tc>
      </w:tr>
      <w:tr w:rsidR="00201041" w:rsidRPr="00375059" w14:paraId="2B6C2D89"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tcPr>
          <w:p w14:paraId="31E44A55"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Валовой внутренний продукт</w:t>
            </w:r>
          </w:p>
        </w:tc>
        <w:tc>
          <w:tcPr>
            <w:tcW w:w="1064" w:type="dxa"/>
            <w:tcBorders>
              <w:top w:val="single" w:sz="4" w:space="0" w:color="auto"/>
              <w:left w:val="single" w:sz="4" w:space="0" w:color="auto"/>
              <w:bottom w:val="single" w:sz="4" w:space="0" w:color="auto"/>
              <w:right w:val="single" w:sz="4" w:space="0" w:color="auto"/>
            </w:tcBorders>
            <w:noWrap/>
            <w:vAlign w:val="center"/>
          </w:tcPr>
          <w:p w14:paraId="1E046D42"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tcPr>
          <w:p w14:paraId="2AE0304E" w14:textId="77777777" w:rsidR="00201041" w:rsidRPr="00375059" w:rsidRDefault="00201041" w:rsidP="00201041">
            <w:pPr>
              <w:widowControl w:val="0"/>
              <w:spacing w:after="0" w:line="240" w:lineRule="auto"/>
              <w:jc w:val="right"/>
              <w:rPr>
                <w:rFonts w:ascii="Times New Roman" w:hAnsi="Times New Roman"/>
                <w:sz w:val="24"/>
                <w:szCs w:val="24"/>
              </w:rPr>
            </w:pPr>
            <w:r w:rsidRPr="00375059">
              <w:rPr>
                <w:rFonts w:ascii="Times New Roman" w:hAnsi="Times New Roman"/>
                <w:sz w:val="24"/>
                <w:szCs w:val="24"/>
              </w:rPr>
              <w:t>13 904,0</w:t>
            </w:r>
          </w:p>
        </w:tc>
        <w:tc>
          <w:tcPr>
            <w:tcW w:w="1276" w:type="dxa"/>
            <w:tcBorders>
              <w:top w:val="single" w:sz="4" w:space="0" w:color="auto"/>
              <w:left w:val="single" w:sz="4" w:space="0" w:color="auto"/>
              <w:bottom w:val="single" w:sz="4" w:space="0" w:color="auto"/>
              <w:right w:val="single" w:sz="4" w:space="0" w:color="auto"/>
            </w:tcBorders>
            <w:noWrap/>
            <w:vAlign w:val="center"/>
          </w:tcPr>
          <w:p w14:paraId="75A9E411" w14:textId="77777777" w:rsidR="00201041" w:rsidRPr="00375059" w:rsidRDefault="00201041" w:rsidP="00201041">
            <w:pPr>
              <w:widowControl w:val="0"/>
              <w:spacing w:after="0" w:line="240" w:lineRule="auto"/>
              <w:ind w:firstLine="142"/>
              <w:jc w:val="right"/>
              <w:rPr>
                <w:rFonts w:ascii="Times New Roman" w:hAnsi="Times New Roman"/>
                <w:sz w:val="24"/>
                <w:szCs w:val="24"/>
              </w:rPr>
            </w:pPr>
            <w:r w:rsidRPr="00375059">
              <w:rPr>
                <w:rFonts w:ascii="Times New Roman" w:hAnsi="Times New Roman"/>
                <w:sz w:val="24"/>
                <w:szCs w:val="24"/>
              </w:rPr>
              <w:t>18 912,6</w:t>
            </w:r>
          </w:p>
        </w:tc>
        <w:tc>
          <w:tcPr>
            <w:tcW w:w="1170" w:type="dxa"/>
            <w:tcBorders>
              <w:top w:val="single" w:sz="4" w:space="0" w:color="auto"/>
              <w:left w:val="single" w:sz="4" w:space="0" w:color="auto"/>
              <w:bottom w:val="single" w:sz="4" w:space="0" w:color="auto"/>
              <w:right w:val="single" w:sz="4" w:space="0" w:color="auto"/>
            </w:tcBorders>
            <w:vAlign w:val="center"/>
          </w:tcPr>
          <w:p w14:paraId="119F682C" w14:textId="43E2E124" w:rsidR="00201041" w:rsidRPr="00375059" w:rsidRDefault="00201041" w:rsidP="00201041">
            <w:pPr>
              <w:widowControl w:val="0"/>
              <w:spacing w:after="0" w:line="240" w:lineRule="auto"/>
              <w:ind w:right="132"/>
              <w:jc w:val="right"/>
              <w:rPr>
                <w:rFonts w:ascii="Times New Roman" w:hAnsi="Times New Roman"/>
                <w:sz w:val="24"/>
                <w:szCs w:val="24"/>
              </w:rPr>
            </w:pPr>
            <w:r w:rsidRPr="00375059">
              <w:rPr>
                <w:rFonts w:ascii="Times New Roman" w:hAnsi="Times New Roman"/>
                <w:sz w:val="24"/>
                <w:szCs w:val="24"/>
              </w:rPr>
              <w:t>13</w:t>
            </w:r>
            <w:r w:rsidR="000C64B8">
              <w:rPr>
                <w:rFonts w:ascii="Times New Roman" w:hAnsi="Times New Roman"/>
                <w:sz w:val="24"/>
                <w:szCs w:val="24"/>
              </w:rPr>
              <w:t>6,0</w:t>
            </w:r>
          </w:p>
        </w:tc>
      </w:tr>
      <w:tr w:rsidR="00201041" w:rsidRPr="00375059" w14:paraId="1F46BE9E"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701BBA88"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Объем промышленного производства</w:t>
            </w:r>
            <w:r w:rsidRPr="00375059">
              <w:rPr>
                <w:rFonts w:ascii="Times New Roman" w:hAnsi="Times New Roman"/>
                <w:color w:val="000000"/>
                <w:sz w:val="24"/>
                <w:szCs w:val="24"/>
                <w:vertAlign w:val="superscript"/>
              </w:rPr>
              <w:t>1</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2CFE478"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C7CD38B" w14:textId="77777777" w:rsidR="00201041" w:rsidRPr="00375059" w:rsidRDefault="00201041" w:rsidP="00201041">
            <w:pPr>
              <w:widowControl w:val="0"/>
              <w:spacing w:after="0" w:line="240" w:lineRule="auto"/>
              <w:jc w:val="right"/>
              <w:rPr>
                <w:rFonts w:ascii="Times New Roman" w:hAnsi="Times New Roman"/>
                <w:sz w:val="24"/>
                <w:szCs w:val="24"/>
              </w:rPr>
            </w:pPr>
            <w:r w:rsidRPr="00375059">
              <w:rPr>
                <w:rFonts w:ascii="Times New Roman" w:hAnsi="Times New Roman"/>
                <w:sz w:val="24"/>
                <w:szCs w:val="24"/>
              </w:rPr>
              <w:t>13 </w:t>
            </w:r>
            <w:r w:rsidRPr="00375059">
              <w:rPr>
                <w:rFonts w:ascii="Times New Roman" w:hAnsi="Times New Roman"/>
                <w:sz w:val="24"/>
                <w:szCs w:val="24"/>
                <w:lang w:val="en-US"/>
              </w:rPr>
              <w:t>194</w:t>
            </w:r>
            <w:r w:rsidRPr="00375059">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noWrap/>
            <w:vAlign w:val="center"/>
          </w:tcPr>
          <w:p w14:paraId="4BCC5064" w14:textId="77777777" w:rsidR="00201041" w:rsidRPr="00375059" w:rsidRDefault="00201041" w:rsidP="00201041">
            <w:pPr>
              <w:widowControl w:val="0"/>
              <w:spacing w:after="0" w:line="240" w:lineRule="auto"/>
              <w:ind w:firstLine="142"/>
              <w:jc w:val="right"/>
              <w:rPr>
                <w:rFonts w:ascii="Times New Roman" w:hAnsi="Times New Roman"/>
                <w:sz w:val="24"/>
                <w:szCs w:val="24"/>
              </w:rPr>
            </w:pPr>
            <w:r w:rsidRPr="00375059">
              <w:rPr>
                <w:rFonts w:ascii="Times New Roman" w:hAnsi="Times New Roman"/>
                <w:sz w:val="24"/>
                <w:szCs w:val="24"/>
              </w:rPr>
              <w:t>17 764,5</w:t>
            </w:r>
          </w:p>
        </w:tc>
        <w:tc>
          <w:tcPr>
            <w:tcW w:w="1170" w:type="dxa"/>
            <w:tcBorders>
              <w:top w:val="single" w:sz="4" w:space="0" w:color="auto"/>
              <w:left w:val="single" w:sz="4" w:space="0" w:color="auto"/>
              <w:bottom w:val="single" w:sz="4" w:space="0" w:color="auto"/>
              <w:right w:val="single" w:sz="4" w:space="0" w:color="auto"/>
            </w:tcBorders>
            <w:vAlign w:val="center"/>
          </w:tcPr>
          <w:p w14:paraId="7834DE72" w14:textId="64AE7DAB" w:rsidR="00201041" w:rsidRPr="00375059" w:rsidRDefault="00201041" w:rsidP="00201041">
            <w:pPr>
              <w:widowControl w:val="0"/>
              <w:spacing w:after="0" w:line="240" w:lineRule="auto"/>
              <w:ind w:right="132"/>
              <w:jc w:val="right"/>
              <w:rPr>
                <w:rFonts w:ascii="Times New Roman" w:hAnsi="Times New Roman"/>
                <w:sz w:val="24"/>
                <w:szCs w:val="24"/>
              </w:rPr>
            </w:pPr>
            <w:r w:rsidRPr="00375059">
              <w:rPr>
                <w:rFonts w:ascii="Times New Roman" w:hAnsi="Times New Roman"/>
                <w:sz w:val="24"/>
                <w:szCs w:val="24"/>
              </w:rPr>
              <w:t>134,</w:t>
            </w:r>
            <w:r w:rsidR="000C64B8">
              <w:rPr>
                <w:rFonts w:ascii="Times New Roman" w:hAnsi="Times New Roman"/>
                <w:sz w:val="24"/>
                <w:szCs w:val="24"/>
              </w:rPr>
              <w:t>6</w:t>
            </w:r>
          </w:p>
        </w:tc>
      </w:tr>
      <w:tr w:rsidR="00201041" w:rsidRPr="00375059" w14:paraId="1D7EA42B" w14:textId="77777777" w:rsidTr="00201041">
        <w:trPr>
          <w:trHeight w:val="359"/>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780B68F8" w14:textId="77777777" w:rsidR="00201041" w:rsidRPr="00375059" w:rsidRDefault="00201041" w:rsidP="00201041">
            <w:pPr>
              <w:widowControl w:val="0"/>
              <w:spacing w:after="0" w:line="240" w:lineRule="auto"/>
              <w:ind w:left="205" w:right="-108"/>
              <w:rPr>
                <w:rFonts w:ascii="Times New Roman" w:hAnsi="Times New Roman"/>
                <w:color w:val="000000"/>
                <w:sz w:val="24"/>
                <w:szCs w:val="24"/>
              </w:rPr>
            </w:pPr>
            <w:r w:rsidRPr="00375059">
              <w:rPr>
                <w:rFonts w:ascii="Times New Roman" w:hAnsi="Times New Roman"/>
                <w:color w:val="000000"/>
                <w:sz w:val="24"/>
                <w:szCs w:val="24"/>
              </w:rPr>
              <w:t>в том числе по крупным и средним предприятиям промышленности (в текущих ценах)</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8C6ED6C"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28F47D7"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12 153,9</w:t>
            </w:r>
          </w:p>
        </w:tc>
        <w:tc>
          <w:tcPr>
            <w:tcW w:w="1276" w:type="dxa"/>
            <w:tcBorders>
              <w:top w:val="single" w:sz="4" w:space="0" w:color="auto"/>
              <w:left w:val="single" w:sz="4" w:space="0" w:color="auto"/>
              <w:bottom w:val="single" w:sz="4" w:space="0" w:color="auto"/>
              <w:right w:val="single" w:sz="4" w:space="0" w:color="auto"/>
            </w:tcBorders>
            <w:noWrap/>
            <w:vAlign w:val="center"/>
          </w:tcPr>
          <w:p w14:paraId="3DC3C365"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16 666,1</w:t>
            </w:r>
          </w:p>
        </w:tc>
        <w:tc>
          <w:tcPr>
            <w:tcW w:w="1170" w:type="dxa"/>
            <w:tcBorders>
              <w:top w:val="single" w:sz="4" w:space="0" w:color="auto"/>
              <w:left w:val="single" w:sz="4" w:space="0" w:color="auto"/>
              <w:bottom w:val="single" w:sz="4" w:space="0" w:color="auto"/>
              <w:right w:val="single" w:sz="4" w:space="0" w:color="auto"/>
            </w:tcBorders>
            <w:vAlign w:val="center"/>
          </w:tcPr>
          <w:p w14:paraId="1A2BCDB0" w14:textId="051C8C1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13</w:t>
            </w:r>
            <w:r w:rsidR="000C64B8">
              <w:rPr>
                <w:rFonts w:ascii="Times New Roman" w:hAnsi="Times New Roman"/>
                <w:sz w:val="24"/>
                <w:szCs w:val="24"/>
              </w:rPr>
              <w:t>7,1</w:t>
            </w:r>
          </w:p>
        </w:tc>
      </w:tr>
      <w:tr w:rsidR="00201041" w:rsidRPr="00375059" w14:paraId="3308CF90" w14:textId="77777777" w:rsidTr="00201041">
        <w:trPr>
          <w:trHeight w:val="419"/>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1E6CC730" w14:textId="77777777" w:rsidR="00201041" w:rsidRPr="00375059" w:rsidRDefault="00201041" w:rsidP="00201041">
            <w:pPr>
              <w:widowControl w:val="0"/>
              <w:spacing w:after="0" w:line="240" w:lineRule="auto"/>
              <w:ind w:right="-108"/>
              <w:rPr>
                <w:rFonts w:ascii="Times New Roman" w:hAnsi="Times New Roman"/>
                <w:color w:val="000000"/>
                <w:sz w:val="24"/>
                <w:szCs w:val="24"/>
                <w:vertAlign w:val="superscript"/>
              </w:rPr>
            </w:pPr>
            <w:r w:rsidRPr="00375059">
              <w:rPr>
                <w:rFonts w:ascii="Times New Roman" w:hAnsi="Times New Roman"/>
                <w:color w:val="000000"/>
                <w:sz w:val="24"/>
                <w:szCs w:val="24"/>
              </w:rPr>
              <w:t>Объем валовой продукции сельского хозяйства (во всех категориях хозяйств)</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E222D71"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03619F3"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3 0</w:t>
            </w:r>
            <w:r w:rsidRPr="00375059">
              <w:rPr>
                <w:rFonts w:ascii="Times New Roman" w:hAnsi="Times New Roman"/>
                <w:sz w:val="24"/>
                <w:szCs w:val="24"/>
                <w:lang w:val="en-US"/>
              </w:rPr>
              <w:t>59</w:t>
            </w:r>
            <w:r w:rsidRPr="00375059">
              <w:rPr>
                <w:rFonts w:ascii="Times New Roman" w:hAnsi="Times New Roman"/>
                <w:sz w:val="24"/>
                <w:szCs w:val="24"/>
              </w:rPr>
              <w:t>,</w:t>
            </w:r>
            <w:r w:rsidRPr="00375059">
              <w:rPr>
                <w:rFonts w:ascii="Times New Roman" w:hAnsi="Times New Roman"/>
                <w:sz w:val="24"/>
                <w:szCs w:val="24"/>
                <w:lang w:val="en-US"/>
              </w:rPr>
              <w:t>2</w:t>
            </w:r>
          </w:p>
        </w:tc>
        <w:tc>
          <w:tcPr>
            <w:tcW w:w="1276" w:type="dxa"/>
            <w:tcBorders>
              <w:top w:val="single" w:sz="4" w:space="0" w:color="auto"/>
              <w:left w:val="single" w:sz="4" w:space="0" w:color="auto"/>
              <w:bottom w:val="single" w:sz="4" w:space="0" w:color="auto"/>
              <w:right w:val="single" w:sz="4" w:space="0" w:color="auto"/>
            </w:tcBorders>
            <w:noWrap/>
            <w:vAlign w:val="center"/>
          </w:tcPr>
          <w:p w14:paraId="068E4736" w14:textId="77777777" w:rsidR="00201041" w:rsidRPr="00375059" w:rsidRDefault="00201041" w:rsidP="00201041">
            <w:pPr>
              <w:widowControl w:val="0"/>
              <w:spacing w:after="0" w:line="240" w:lineRule="auto"/>
              <w:ind w:left="-142" w:firstLine="142"/>
              <w:jc w:val="right"/>
              <w:rPr>
                <w:rFonts w:ascii="Times New Roman" w:hAnsi="Times New Roman"/>
                <w:sz w:val="24"/>
                <w:szCs w:val="24"/>
                <w:lang w:val="en-US"/>
              </w:rPr>
            </w:pPr>
            <w:r w:rsidRPr="00375059">
              <w:rPr>
                <w:rFonts w:ascii="Times New Roman" w:hAnsi="Times New Roman"/>
                <w:sz w:val="24"/>
                <w:szCs w:val="24"/>
                <w:lang w:val="en-US"/>
              </w:rPr>
              <w:t>4 628,6</w:t>
            </w:r>
          </w:p>
        </w:tc>
        <w:tc>
          <w:tcPr>
            <w:tcW w:w="1170" w:type="dxa"/>
            <w:tcBorders>
              <w:top w:val="single" w:sz="4" w:space="0" w:color="auto"/>
              <w:left w:val="single" w:sz="4" w:space="0" w:color="auto"/>
              <w:bottom w:val="single" w:sz="4" w:space="0" w:color="auto"/>
              <w:right w:val="single" w:sz="4" w:space="0" w:color="auto"/>
            </w:tcBorders>
            <w:vAlign w:val="center"/>
          </w:tcPr>
          <w:p w14:paraId="1B4EA47B" w14:textId="400921E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15</w:t>
            </w:r>
            <w:r w:rsidR="000C64B8">
              <w:rPr>
                <w:rFonts w:ascii="Times New Roman" w:hAnsi="Times New Roman"/>
                <w:sz w:val="24"/>
                <w:szCs w:val="24"/>
              </w:rPr>
              <w:t>1,3</w:t>
            </w:r>
          </w:p>
        </w:tc>
      </w:tr>
      <w:tr w:rsidR="00201041" w:rsidRPr="00375059" w14:paraId="0775969D"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740F88B9"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Инвестиции в основной капитал</w:t>
            </w:r>
            <w:r w:rsidRPr="00375059">
              <w:rPr>
                <w:rFonts w:ascii="Times New Roman" w:hAnsi="Times New Roman"/>
                <w:color w:val="000000"/>
                <w:sz w:val="24"/>
                <w:szCs w:val="24"/>
                <w:vertAlign w:val="superscript"/>
              </w:rPr>
              <w:t>2</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2FD1101"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1820724"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lang w:val="en-US"/>
              </w:rPr>
              <w:t>1 775</w:t>
            </w:r>
            <w:r w:rsidRPr="00375059">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noWrap/>
            <w:vAlign w:val="center"/>
          </w:tcPr>
          <w:p w14:paraId="4458B743"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2 263,8</w:t>
            </w:r>
          </w:p>
        </w:tc>
        <w:tc>
          <w:tcPr>
            <w:tcW w:w="1170" w:type="dxa"/>
            <w:tcBorders>
              <w:top w:val="single" w:sz="4" w:space="0" w:color="auto"/>
              <w:left w:val="single" w:sz="4" w:space="0" w:color="auto"/>
              <w:bottom w:val="single" w:sz="4" w:space="0" w:color="auto"/>
              <w:right w:val="single" w:sz="4" w:space="0" w:color="auto"/>
            </w:tcBorders>
            <w:vAlign w:val="center"/>
          </w:tcPr>
          <w:p w14:paraId="1A7B4E3F" w14:textId="2BC7DA92"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127,</w:t>
            </w:r>
            <w:r w:rsidR="000C64B8">
              <w:rPr>
                <w:rFonts w:ascii="Times New Roman" w:hAnsi="Times New Roman"/>
                <w:sz w:val="24"/>
                <w:szCs w:val="24"/>
              </w:rPr>
              <w:t>5</w:t>
            </w:r>
          </w:p>
        </w:tc>
      </w:tr>
      <w:tr w:rsidR="00201041" w:rsidRPr="00375059" w14:paraId="37DDEF73" w14:textId="77777777" w:rsidTr="00201041">
        <w:trPr>
          <w:trHeight w:val="476"/>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451FC2B3"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Ввод в действие жилых домов</w:t>
            </w:r>
          </w:p>
        </w:tc>
        <w:tc>
          <w:tcPr>
            <w:tcW w:w="1064" w:type="dxa"/>
            <w:tcBorders>
              <w:top w:val="single" w:sz="4" w:space="0" w:color="auto"/>
              <w:left w:val="single" w:sz="4" w:space="0" w:color="auto"/>
              <w:bottom w:val="single" w:sz="4" w:space="0" w:color="auto"/>
              <w:right w:val="single" w:sz="4" w:space="0" w:color="auto"/>
            </w:tcBorders>
            <w:vAlign w:val="center"/>
            <w:hideMark/>
          </w:tcPr>
          <w:p w14:paraId="6E7D39AC"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 xml:space="preserve">кв. м. </w:t>
            </w:r>
            <w:r w:rsidRPr="00375059">
              <w:rPr>
                <w:rFonts w:ascii="Times New Roman" w:hAnsi="Times New Roman"/>
                <w:color w:val="000000"/>
                <w:sz w:val="24"/>
                <w:szCs w:val="24"/>
              </w:rPr>
              <w:br/>
              <w:t>об. пл.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51A63DC"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19 742,4</w:t>
            </w:r>
          </w:p>
        </w:tc>
        <w:tc>
          <w:tcPr>
            <w:tcW w:w="1276" w:type="dxa"/>
            <w:tcBorders>
              <w:top w:val="single" w:sz="4" w:space="0" w:color="auto"/>
              <w:left w:val="single" w:sz="4" w:space="0" w:color="auto"/>
              <w:bottom w:val="single" w:sz="4" w:space="0" w:color="auto"/>
              <w:right w:val="single" w:sz="4" w:space="0" w:color="auto"/>
            </w:tcBorders>
            <w:noWrap/>
            <w:vAlign w:val="bottom"/>
          </w:tcPr>
          <w:p w14:paraId="7075C9CF"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21 321,7</w:t>
            </w:r>
          </w:p>
        </w:tc>
        <w:tc>
          <w:tcPr>
            <w:tcW w:w="1170" w:type="dxa"/>
            <w:tcBorders>
              <w:top w:val="single" w:sz="4" w:space="0" w:color="auto"/>
              <w:left w:val="single" w:sz="4" w:space="0" w:color="auto"/>
              <w:bottom w:val="single" w:sz="4" w:space="0" w:color="auto"/>
              <w:right w:val="single" w:sz="4" w:space="0" w:color="auto"/>
            </w:tcBorders>
            <w:vAlign w:val="bottom"/>
          </w:tcPr>
          <w:p w14:paraId="71CBF0B3" w14:textId="7777777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108,0</w:t>
            </w:r>
          </w:p>
        </w:tc>
      </w:tr>
      <w:tr w:rsidR="00201041" w:rsidRPr="00375059" w14:paraId="7E0ECD06" w14:textId="77777777" w:rsidTr="00201041">
        <w:trPr>
          <w:trHeight w:val="327"/>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5837E252"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Емкость потребительского рынка</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2F251EE"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53E181D" w14:textId="77777777" w:rsidR="00201041" w:rsidRPr="00375059" w:rsidRDefault="00201041" w:rsidP="00201041">
            <w:pPr>
              <w:widowControl w:val="0"/>
              <w:spacing w:after="0" w:line="240" w:lineRule="auto"/>
              <w:ind w:left="-142" w:firstLine="142"/>
              <w:jc w:val="right"/>
              <w:rPr>
                <w:rFonts w:ascii="Times New Roman" w:hAnsi="Times New Roman"/>
                <w:sz w:val="24"/>
                <w:szCs w:val="24"/>
                <w:lang w:val="en-US"/>
              </w:rPr>
            </w:pPr>
            <w:r w:rsidRPr="00375059">
              <w:rPr>
                <w:rFonts w:ascii="Times New Roman" w:hAnsi="Times New Roman"/>
                <w:sz w:val="24"/>
                <w:szCs w:val="24"/>
              </w:rPr>
              <w:t>9 966,0</w:t>
            </w:r>
          </w:p>
        </w:tc>
        <w:tc>
          <w:tcPr>
            <w:tcW w:w="1276" w:type="dxa"/>
            <w:tcBorders>
              <w:top w:val="single" w:sz="4" w:space="0" w:color="auto"/>
              <w:left w:val="single" w:sz="4" w:space="0" w:color="auto"/>
              <w:bottom w:val="single" w:sz="4" w:space="0" w:color="auto"/>
              <w:right w:val="single" w:sz="4" w:space="0" w:color="auto"/>
            </w:tcBorders>
            <w:noWrap/>
            <w:vAlign w:val="center"/>
          </w:tcPr>
          <w:p w14:paraId="4A2FE5BA"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11 890,1</w:t>
            </w:r>
          </w:p>
        </w:tc>
        <w:tc>
          <w:tcPr>
            <w:tcW w:w="1170" w:type="dxa"/>
            <w:tcBorders>
              <w:top w:val="single" w:sz="4" w:space="0" w:color="auto"/>
              <w:left w:val="single" w:sz="4" w:space="0" w:color="auto"/>
              <w:bottom w:val="single" w:sz="4" w:space="0" w:color="auto"/>
              <w:right w:val="single" w:sz="4" w:space="0" w:color="auto"/>
            </w:tcBorders>
            <w:vAlign w:val="center"/>
          </w:tcPr>
          <w:p w14:paraId="2A8CFE91" w14:textId="07756553"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w:t>
            </w:r>
            <w:r w:rsidR="000C64B8">
              <w:rPr>
                <w:rFonts w:ascii="Times New Roman" w:hAnsi="Times New Roman"/>
                <w:sz w:val="24"/>
                <w:szCs w:val="24"/>
              </w:rPr>
              <w:t>19,3</w:t>
            </w:r>
          </w:p>
        </w:tc>
      </w:tr>
      <w:tr w:rsidR="00201041" w:rsidRPr="00375059" w14:paraId="46103212"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C62E8"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Оборот розничной торговли</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1E58"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7FB6C"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7 614,1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535D4"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9 077,4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1FEC675" w14:textId="5BB80319"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w:t>
            </w:r>
            <w:r w:rsidR="000C64B8">
              <w:rPr>
                <w:rFonts w:ascii="Times New Roman" w:hAnsi="Times New Roman"/>
                <w:sz w:val="24"/>
                <w:szCs w:val="24"/>
              </w:rPr>
              <w:t>19,2</w:t>
            </w:r>
          </w:p>
        </w:tc>
      </w:tr>
      <w:tr w:rsidR="00201041" w:rsidRPr="00375059" w14:paraId="68F772A4" w14:textId="77777777" w:rsidTr="00201041">
        <w:trPr>
          <w:trHeight w:val="101"/>
          <w:jc w:val="right"/>
        </w:trPr>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DC5E3" w14:textId="77777777" w:rsidR="00201041" w:rsidRPr="00375059" w:rsidRDefault="00201041" w:rsidP="00201041">
            <w:pPr>
              <w:widowControl w:val="0"/>
              <w:spacing w:after="0" w:line="240" w:lineRule="auto"/>
              <w:ind w:left="205" w:right="-108"/>
              <w:rPr>
                <w:rFonts w:ascii="Times New Roman" w:hAnsi="Times New Roman"/>
                <w:color w:val="000000"/>
                <w:sz w:val="24"/>
                <w:szCs w:val="24"/>
              </w:rPr>
            </w:pPr>
            <w:r w:rsidRPr="00375059">
              <w:rPr>
                <w:rFonts w:ascii="Times New Roman" w:hAnsi="Times New Roman"/>
                <w:color w:val="000000"/>
                <w:sz w:val="24"/>
                <w:szCs w:val="24"/>
              </w:rPr>
              <w:t>темп роста в сопоставимых ценах</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D7E25"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CFB7B"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94,5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84D56"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114,8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62BCA29" w14:textId="7777777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х</w:t>
            </w:r>
          </w:p>
        </w:tc>
      </w:tr>
      <w:tr w:rsidR="00201041" w:rsidRPr="00375059" w14:paraId="649F9F85"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F5DF0F" w14:textId="77777777" w:rsidR="00201041" w:rsidRPr="00375059" w:rsidRDefault="00201041" w:rsidP="00201041">
            <w:pPr>
              <w:widowControl w:val="0"/>
              <w:tabs>
                <w:tab w:val="left" w:pos="708"/>
                <w:tab w:val="center" w:pos="4153"/>
                <w:tab w:val="right" w:pos="8306"/>
              </w:tabs>
              <w:spacing w:after="0" w:line="240" w:lineRule="auto"/>
              <w:rPr>
                <w:rFonts w:ascii="Times New Roman" w:hAnsi="Times New Roman"/>
                <w:sz w:val="24"/>
                <w:szCs w:val="24"/>
              </w:rPr>
            </w:pPr>
            <w:r w:rsidRPr="00375059">
              <w:rPr>
                <w:rFonts w:ascii="Times New Roman" w:hAnsi="Times New Roman"/>
                <w:sz w:val="24"/>
                <w:szCs w:val="24"/>
              </w:rPr>
              <w:t>Оборот общественного питания</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B285A"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7DFBC"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201,3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EFD60"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293,3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8AB09B1" w14:textId="3C2CD49A"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14</w:t>
            </w:r>
            <w:r w:rsidR="000C64B8">
              <w:rPr>
                <w:rFonts w:ascii="Times New Roman" w:hAnsi="Times New Roman"/>
                <w:sz w:val="24"/>
                <w:szCs w:val="24"/>
              </w:rPr>
              <w:t>5,7</w:t>
            </w:r>
          </w:p>
        </w:tc>
      </w:tr>
      <w:tr w:rsidR="00201041" w:rsidRPr="00375059" w14:paraId="22371D2E" w14:textId="77777777" w:rsidTr="00201041">
        <w:trPr>
          <w:trHeight w:val="101"/>
          <w:jc w:val="right"/>
        </w:trPr>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79173" w14:textId="77777777" w:rsidR="00201041" w:rsidRPr="00375059" w:rsidRDefault="00201041" w:rsidP="00201041">
            <w:pPr>
              <w:widowControl w:val="0"/>
              <w:spacing w:after="0" w:line="240" w:lineRule="auto"/>
              <w:ind w:left="205" w:right="-108"/>
              <w:rPr>
                <w:rFonts w:ascii="Times New Roman" w:hAnsi="Times New Roman"/>
                <w:color w:val="000000"/>
                <w:sz w:val="24"/>
                <w:szCs w:val="24"/>
              </w:rPr>
            </w:pPr>
            <w:r w:rsidRPr="00375059">
              <w:rPr>
                <w:rFonts w:ascii="Times New Roman" w:hAnsi="Times New Roman"/>
                <w:color w:val="000000"/>
                <w:sz w:val="24"/>
                <w:szCs w:val="24"/>
              </w:rPr>
              <w:t>темп роста в сопоставимых ценах</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3C457"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01618"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69,9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C846A"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136,1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EF0AD59" w14:textId="7777777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х</w:t>
            </w:r>
          </w:p>
        </w:tc>
      </w:tr>
      <w:tr w:rsidR="00201041" w:rsidRPr="00375059" w14:paraId="7DF39CAB"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72C47"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Объем платных услуг</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A6CF9"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34361"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2 150,6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CBF8B"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2 519,3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CDD397F" w14:textId="48A19841"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117,</w:t>
            </w:r>
            <w:r w:rsidR="00A245EB">
              <w:rPr>
                <w:rFonts w:ascii="Times New Roman" w:hAnsi="Times New Roman"/>
                <w:sz w:val="24"/>
                <w:szCs w:val="24"/>
              </w:rPr>
              <w:t>1</w:t>
            </w:r>
          </w:p>
        </w:tc>
      </w:tr>
      <w:tr w:rsidR="00201041" w:rsidRPr="00375059" w14:paraId="645A0CAC" w14:textId="77777777" w:rsidTr="00201041">
        <w:trPr>
          <w:trHeight w:val="27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05CE3CBE" w14:textId="77777777" w:rsidR="00201041" w:rsidRPr="00375059" w:rsidRDefault="00201041" w:rsidP="00201041">
            <w:pPr>
              <w:widowControl w:val="0"/>
              <w:spacing w:after="0" w:line="240" w:lineRule="auto"/>
              <w:ind w:left="205" w:right="-108"/>
              <w:rPr>
                <w:rFonts w:ascii="Times New Roman" w:hAnsi="Times New Roman"/>
                <w:color w:val="000000"/>
                <w:sz w:val="24"/>
                <w:szCs w:val="24"/>
              </w:rPr>
            </w:pPr>
            <w:r w:rsidRPr="00375059">
              <w:rPr>
                <w:rFonts w:ascii="Times New Roman" w:hAnsi="Times New Roman"/>
                <w:color w:val="000000"/>
                <w:sz w:val="24"/>
                <w:szCs w:val="24"/>
              </w:rPr>
              <w:t>темп роста в сопоставимых ценах</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3FCF8CC"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AE197A8"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87,5</w:t>
            </w:r>
          </w:p>
        </w:tc>
        <w:tc>
          <w:tcPr>
            <w:tcW w:w="1276" w:type="dxa"/>
            <w:tcBorders>
              <w:top w:val="single" w:sz="4" w:space="0" w:color="auto"/>
              <w:left w:val="single" w:sz="4" w:space="0" w:color="auto"/>
              <w:bottom w:val="single" w:sz="4" w:space="0" w:color="auto"/>
              <w:right w:val="single" w:sz="4" w:space="0" w:color="auto"/>
            </w:tcBorders>
            <w:noWrap/>
            <w:vAlign w:val="center"/>
          </w:tcPr>
          <w:p w14:paraId="2B83D0F0"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115,7</w:t>
            </w:r>
          </w:p>
        </w:tc>
        <w:tc>
          <w:tcPr>
            <w:tcW w:w="1170" w:type="dxa"/>
            <w:tcBorders>
              <w:top w:val="single" w:sz="4" w:space="0" w:color="auto"/>
              <w:left w:val="single" w:sz="4" w:space="0" w:color="auto"/>
              <w:bottom w:val="single" w:sz="4" w:space="0" w:color="auto"/>
              <w:right w:val="single" w:sz="4" w:space="0" w:color="auto"/>
            </w:tcBorders>
            <w:vAlign w:val="center"/>
          </w:tcPr>
          <w:p w14:paraId="7AF356E8" w14:textId="7777777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х</w:t>
            </w:r>
          </w:p>
        </w:tc>
      </w:tr>
      <w:tr w:rsidR="00201041" w:rsidRPr="00375059" w14:paraId="555968B6" w14:textId="77777777" w:rsidTr="00201041">
        <w:trPr>
          <w:trHeight w:val="283"/>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6DA50F34"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Внешнеторговый оборот</w:t>
            </w:r>
            <w:r w:rsidRPr="00375059">
              <w:rPr>
                <w:rFonts w:ascii="Times New Roman" w:hAnsi="Times New Roman"/>
                <w:color w:val="000000"/>
                <w:sz w:val="24"/>
                <w:szCs w:val="24"/>
                <w:vertAlign w:val="superscript"/>
              </w:rPr>
              <w:t>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0452D3B"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долл.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8E52DA4"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1 685,9</w:t>
            </w:r>
          </w:p>
        </w:tc>
        <w:tc>
          <w:tcPr>
            <w:tcW w:w="1276" w:type="dxa"/>
            <w:tcBorders>
              <w:top w:val="single" w:sz="4" w:space="0" w:color="auto"/>
              <w:left w:val="single" w:sz="4" w:space="0" w:color="auto"/>
              <w:bottom w:val="single" w:sz="4" w:space="0" w:color="auto"/>
              <w:right w:val="single" w:sz="4" w:space="0" w:color="auto"/>
            </w:tcBorders>
            <w:noWrap/>
            <w:vAlign w:val="center"/>
          </w:tcPr>
          <w:p w14:paraId="7B14B422"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2 584,9</w:t>
            </w:r>
          </w:p>
        </w:tc>
        <w:tc>
          <w:tcPr>
            <w:tcW w:w="1170" w:type="dxa"/>
            <w:tcBorders>
              <w:top w:val="single" w:sz="4" w:space="0" w:color="auto"/>
              <w:left w:val="single" w:sz="4" w:space="0" w:color="auto"/>
              <w:bottom w:val="single" w:sz="4" w:space="0" w:color="auto"/>
              <w:right w:val="single" w:sz="4" w:space="0" w:color="auto"/>
            </w:tcBorders>
            <w:vAlign w:val="center"/>
          </w:tcPr>
          <w:p w14:paraId="644F6819" w14:textId="7777777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153,3</w:t>
            </w:r>
          </w:p>
        </w:tc>
      </w:tr>
      <w:tr w:rsidR="00201041" w:rsidRPr="00375059" w14:paraId="0B574F5C" w14:textId="77777777" w:rsidTr="00201041">
        <w:trPr>
          <w:trHeight w:val="285"/>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621301F4" w14:textId="77777777" w:rsidR="00201041" w:rsidRPr="00375059" w:rsidRDefault="00201041" w:rsidP="00201041">
            <w:pPr>
              <w:widowControl w:val="0"/>
              <w:spacing w:after="0" w:line="240" w:lineRule="auto"/>
              <w:ind w:right="-108"/>
              <w:rPr>
                <w:rFonts w:ascii="Times New Roman" w:hAnsi="Times New Roman"/>
                <w:color w:val="000000"/>
                <w:sz w:val="24"/>
                <w:szCs w:val="24"/>
                <w:vertAlign w:val="superscript"/>
              </w:rPr>
            </w:pPr>
            <w:r w:rsidRPr="00375059">
              <w:rPr>
                <w:rFonts w:ascii="Times New Roman" w:hAnsi="Times New Roman"/>
                <w:color w:val="000000"/>
                <w:sz w:val="24"/>
                <w:szCs w:val="24"/>
              </w:rPr>
              <w:t>Экспорт товаров</w:t>
            </w:r>
            <w:r w:rsidRPr="00375059">
              <w:rPr>
                <w:rFonts w:ascii="Times New Roman" w:hAnsi="Times New Roman"/>
                <w:color w:val="000000"/>
                <w:sz w:val="24"/>
                <w:szCs w:val="24"/>
                <w:vertAlign w:val="superscript"/>
              </w:rPr>
              <w:t>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E3EE6CE"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долл.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29154D"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633,1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2E1BF"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938,9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A3B2DC2" w14:textId="7777777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148,3</w:t>
            </w:r>
          </w:p>
        </w:tc>
      </w:tr>
      <w:tr w:rsidR="00201041" w:rsidRPr="00375059" w14:paraId="2B9C31DB" w14:textId="77777777" w:rsidTr="00201041">
        <w:trPr>
          <w:trHeight w:val="255"/>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2F8C34C5" w14:textId="77777777" w:rsidR="00201041" w:rsidRPr="00375059" w:rsidRDefault="00201041" w:rsidP="00201041">
            <w:pPr>
              <w:widowControl w:val="0"/>
              <w:spacing w:after="0" w:line="240" w:lineRule="auto"/>
              <w:ind w:right="-108"/>
              <w:rPr>
                <w:rFonts w:ascii="Times New Roman" w:hAnsi="Times New Roman"/>
                <w:color w:val="000000"/>
                <w:sz w:val="24"/>
                <w:szCs w:val="24"/>
                <w:vertAlign w:val="superscript"/>
              </w:rPr>
            </w:pPr>
            <w:r w:rsidRPr="00375059">
              <w:rPr>
                <w:rFonts w:ascii="Times New Roman" w:hAnsi="Times New Roman"/>
                <w:color w:val="000000"/>
                <w:sz w:val="24"/>
                <w:szCs w:val="24"/>
              </w:rPr>
              <w:t>Импорт товаров</w:t>
            </w:r>
            <w:r w:rsidRPr="00375059">
              <w:rPr>
                <w:rFonts w:ascii="Times New Roman" w:hAnsi="Times New Roman"/>
                <w:color w:val="000000"/>
                <w:sz w:val="24"/>
                <w:szCs w:val="24"/>
                <w:vertAlign w:val="superscript"/>
              </w:rPr>
              <w:t>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30D133D2"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долл.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4BDD95A"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1 052,7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83845"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1 646,0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7A3A276" w14:textId="7777777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156,4</w:t>
            </w:r>
          </w:p>
        </w:tc>
      </w:tr>
      <w:tr w:rsidR="00201041" w:rsidRPr="00375059" w14:paraId="097B575E" w14:textId="77777777" w:rsidTr="00201041">
        <w:trPr>
          <w:trHeight w:val="157"/>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22315FC0" w14:textId="77777777" w:rsidR="00201041" w:rsidRPr="00375059" w:rsidRDefault="00201041" w:rsidP="00201041">
            <w:pPr>
              <w:widowControl w:val="0"/>
              <w:spacing w:after="0" w:line="240" w:lineRule="auto"/>
              <w:ind w:right="-108"/>
              <w:rPr>
                <w:rFonts w:ascii="Times New Roman" w:hAnsi="Times New Roman"/>
                <w:color w:val="000000"/>
                <w:sz w:val="24"/>
                <w:szCs w:val="24"/>
                <w:vertAlign w:val="superscript"/>
              </w:rPr>
            </w:pPr>
            <w:r w:rsidRPr="00375059">
              <w:rPr>
                <w:rFonts w:ascii="Times New Roman" w:hAnsi="Times New Roman"/>
                <w:color w:val="000000"/>
                <w:sz w:val="24"/>
                <w:szCs w:val="24"/>
              </w:rPr>
              <w:t>Сальдо внешнеторгового оборота (+;-)</w:t>
            </w:r>
            <w:r w:rsidRPr="00375059">
              <w:rPr>
                <w:rFonts w:ascii="Times New Roman" w:hAnsi="Times New Roman"/>
                <w:color w:val="000000"/>
                <w:sz w:val="24"/>
                <w:szCs w:val="24"/>
                <w:vertAlign w:val="superscript"/>
              </w:rPr>
              <w:t>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B32FD46"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долл.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E2B4CEE"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-419,6</w:t>
            </w:r>
          </w:p>
        </w:tc>
        <w:tc>
          <w:tcPr>
            <w:tcW w:w="1276" w:type="dxa"/>
            <w:tcBorders>
              <w:top w:val="single" w:sz="4" w:space="0" w:color="auto"/>
              <w:left w:val="single" w:sz="4" w:space="0" w:color="auto"/>
              <w:bottom w:val="single" w:sz="4" w:space="0" w:color="auto"/>
              <w:right w:val="single" w:sz="4" w:space="0" w:color="auto"/>
            </w:tcBorders>
            <w:noWrap/>
            <w:vAlign w:val="center"/>
          </w:tcPr>
          <w:p w14:paraId="6E3332E1"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-707,1</w:t>
            </w:r>
          </w:p>
        </w:tc>
        <w:tc>
          <w:tcPr>
            <w:tcW w:w="1170" w:type="dxa"/>
            <w:tcBorders>
              <w:top w:val="single" w:sz="4" w:space="0" w:color="auto"/>
              <w:left w:val="single" w:sz="4" w:space="0" w:color="auto"/>
              <w:bottom w:val="single" w:sz="4" w:space="0" w:color="auto"/>
              <w:right w:val="single" w:sz="4" w:space="0" w:color="auto"/>
            </w:tcBorders>
            <w:vAlign w:val="center"/>
          </w:tcPr>
          <w:p w14:paraId="3D33DB92" w14:textId="479B7F14" w:rsidR="00201041" w:rsidRPr="00375059" w:rsidRDefault="00FD047C" w:rsidP="00201041">
            <w:pPr>
              <w:widowControl w:val="0"/>
              <w:spacing w:after="0" w:line="240" w:lineRule="auto"/>
              <w:ind w:left="-142" w:right="175" w:firstLine="142"/>
              <w:jc w:val="right"/>
              <w:rPr>
                <w:rFonts w:ascii="Times New Roman" w:hAnsi="Times New Roman"/>
                <w:sz w:val="24"/>
                <w:szCs w:val="24"/>
              </w:rPr>
            </w:pPr>
            <w:r>
              <w:rPr>
                <w:rFonts w:ascii="Times New Roman" w:hAnsi="Times New Roman"/>
                <w:sz w:val="24"/>
                <w:szCs w:val="24"/>
              </w:rPr>
              <w:t>168,5</w:t>
            </w:r>
          </w:p>
        </w:tc>
      </w:tr>
      <w:tr w:rsidR="00201041" w:rsidRPr="00375059" w14:paraId="7D602B04" w14:textId="77777777" w:rsidTr="00201041">
        <w:trPr>
          <w:trHeight w:val="322"/>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5BD37721"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Фонд заработной платы</w:t>
            </w:r>
            <w:r w:rsidRPr="00375059">
              <w:rPr>
                <w:rFonts w:ascii="Times New Roman" w:hAnsi="Times New Roman"/>
                <w:color w:val="000000"/>
                <w:sz w:val="24"/>
                <w:szCs w:val="24"/>
                <w:vertAlign w:val="superscript"/>
              </w:rPr>
              <w:t>3,4</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A8E1FDA"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968D97F"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5 66</w:t>
            </w:r>
            <w:r w:rsidRPr="00375059">
              <w:rPr>
                <w:rFonts w:ascii="Times New Roman" w:hAnsi="Times New Roman"/>
                <w:sz w:val="24"/>
                <w:szCs w:val="24"/>
                <w:lang w:val="en-US"/>
              </w:rPr>
              <w:t>7</w:t>
            </w:r>
            <w:r w:rsidRPr="00375059">
              <w:rPr>
                <w:rFonts w:ascii="Times New Roman" w:hAnsi="Times New Roman"/>
                <w:sz w:val="24"/>
                <w:szCs w:val="24"/>
              </w:rPr>
              <w:t>,</w:t>
            </w:r>
            <w:r w:rsidRPr="00375059">
              <w:rPr>
                <w:rFonts w:ascii="Times New Roman" w:hAnsi="Times New Roman"/>
                <w:sz w:val="24"/>
                <w:szCs w:val="24"/>
                <w:lang w:val="en-US"/>
              </w:rPr>
              <w:t>4</w:t>
            </w:r>
          </w:p>
        </w:tc>
        <w:tc>
          <w:tcPr>
            <w:tcW w:w="1276" w:type="dxa"/>
            <w:tcBorders>
              <w:top w:val="single" w:sz="4" w:space="0" w:color="auto"/>
              <w:left w:val="single" w:sz="4" w:space="0" w:color="auto"/>
              <w:bottom w:val="single" w:sz="4" w:space="0" w:color="auto"/>
              <w:right w:val="single" w:sz="4" w:space="0" w:color="auto"/>
            </w:tcBorders>
            <w:noWrap/>
            <w:vAlign w:val="center"/>
          </w:tcPr>
          <w:p w14:paraId="666C94CE"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6 227,9</w:t>
            </w:r>
          </w:p>
        </w:tc>
        <w:tc>
          <w:tcPr>
            <w:tcW w:w="1170" w:type="dxa"/>
            <w:tcBorders>
              <w:top w:val="single" w:sz="4" w:space="0" w:color="auto"/>
              <w:left w:val="single" w:sz="4" w:space="0" w:color="auto"/>
              <w:bottom w:val="single" w:sz="4" w:space="0" w:color="auto"/>
              <w:right w:val="single" w:sz="4" w:space="0" w:color="auto"/>
            </w:tcBorders>
            <w:vAlign w:val="center"/>
          </w:tcPr>
          <w:p w14:paraId="6E95A176" w14:textId="6A7294B2"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w:t>
            </w:r>
            <w:r w:rsidR="00A245EB">
              <w:rPr>
                <w:rFonts w:ascii="Times New Roman" w:hAnsi="Times New Roman"/>
                <w:sz w:val="24"/>
                <w:szCs w:val="24"/>
              </w:rPr>
              <w:t>09,9</w:t>
            </w:r>
          </w:p>
        </w:tc>
      </w:tr>
      <w:tr w:rsidR="00201041" w:rsidRPr="00375059" w14:paraId="5C7DDD2A" w14:textId="77777777" w:rsidTr="00201041">
        <w:trPr>
          <w:trHeight w:val="311"/>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6DFA0E97" w14:textId="77777777" w:rsidR="00201041" w:rsidRPr="00375059" w:rsidRDefault="00201041" w:rsidP="00201041">
            <w:pPr>
              <w:widowControl w:val="0"/>
              <w:spacing w:after="0" w:line="240" w:lineRule="auto"/>
              <w:ind w:right="-108"/>
              <w:rPr>
                <w:rFonts w:ascii="Times New Roman" w:hAnsi="Times New Roman"/>
                <w:color w:val="000000"/>
                <w:sz w:val="24"/>
                <w:szCs w:val="24"/>
                <w:vertAlign w:val="superscript"/>
              </w:rPr>
            </w:pPr>
            <w:r w:rsidRPr="00375059">
              <w:rPr>
                <w:rFonts w:ascii="Times New Roman" w:hAnsi="Times New Roman"/>
                <w:color w:val="000000"/>
                <w:sz w:val="24"/>
                <w:szCs w:val="24"/>
              </w:rPr>
              <w:t>Среднесписочная численность работников</w:t>
            </w:r>
            <w:r w:rsidRPr="00375059">
              <w:rPr>
                <w:rFonts w:ascii="Times New Roman" w:hAnsi="Times New Roman"/>
                <w:color w:val="000000"/>
                <w:sz w:val="24"/>
                <w:szCs w:val="24"/>
                <w:vertAlign w:val="superscript"/>
              </w:rPr>
              <w:t>3,4</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D0EA1EE" w14:textId="77777777" w:rsidR="00201041" w:rsidRPr="00375059" w:rsidRDefault="00201041" w:rsidP="00201041">
            <w:pPr>
              <w:widowControl w:val="0"/>
              <w:spacing w:after="0" w:line="240" w:lineRule="auto"/>
              <w:ind w:left="-142" w:firstLine="142"/>
              <w:jc w:val="center"/>
              <w:rPr>
                <w:rFonts w:ascii="Times New Roman" w:hAnsi="Times New Roman"/>
                <w:color w:val="000000"/>
                <w:sz w:val="24"/>
                <w:szCs w:val="24"/>
              </w:rPr>
            </w:pPr>
            <w:r w:rsidRPr="00375059">
              <w:rPr>
                <w:rFonts w:ascii="Times New Roman" w:hAnsi="Times New Roman"/>
                <w:color w:val="000000"/>
                <w:sz w:val="24"/>
                <w:szCs w:val="24"/>
              </w:rPr>
              <w:t>тыс. чел.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566F0AB"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109,</w:t>
            </w:r>
            <w:r w:rsidRPr="00375059">
              <w:rPr>
                <w:rFonts w:ascii="Times New Roman" w:hAnsi="Times New Roman"/>
                <w:sz w:val="24"/>
                <w:szCs w:val="24"/>
                <w:lang w:val="en-US"/>
              </w:rPr>
              <w:t>8</w:t>
            </w:r>
          </w:p>
        </w:tc>
        <w:tc>
          <w:tcPr>
            <w:tcW w:w="1276" w:type="dxa"/>
            <w:tcBorders>
              <w:top w:val="single" w:sz="4" w:space="0" w:color="auto"/>
              <w:left w:val="single" w:sz="4" w:space="0" w:color="auto"/>
              <w:bottom w:val="single" w:sz="4" w:space="0" w:color="auto"/>
              <w:right w:val="single" w:sz="4" w:space="0" w:color="auto"/>
            </w:tcBorders>
            <w:noWrap/>
            <w:vAlign w:val="bottom"/>
          </w:tcPr>
          <w:p w14:paraId="792B955A"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107,8</w:t>
            </w:r>
          </w:p>
        </w:tc>
        <w:tc>
          <w:tcPr>
            <w:tcW w:w="1170" w:type="dxa"/>
            <w:tcBorders>
              <w:top w:val="single" w:sz="4" w:space="0" w:color="auto"/>
              <w:left w:val="single" w:sz="4" w:space="0" w:color="auto"/>
              <w:bottom w:val="single" w:sz="4" w:space="0" w:color="auto"/>
              <w:right w:val="single" w:sz="4" w:space="0" w:color="auto"/>
            </w:tcBorders>
            <w:vAlign w:val="bottom"/>
          </w:tcPr>
          <w:p w14:paraId="180D979B" w14:textId="72349382"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98,</w:t>
            </w:r>
            <w:r w:rsidR="00A245EB">
              <w:rPr>
                <w:rFonts w:ascii="Times New Roman" w:hAnsi="Times New Roman"/>
                <w:sz w:val="24"/>
                <w:szCs w:val="24"/>
              </w:rPr>
              <w:t>2</w:t>
            </w:r>
          </w:p>
        </w:tc>
      </w:tr>
      <w:tr w:rsidR="00201041" w:rsidRPr="00375059" w14:paraId="29B81DE3" w14:textId="77777777" w:rsidTr="00201041">
        <w:trPr>
          <w:trHeight w:val="309"/>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639A7583" w14:textId="30C20047" w:rsidR="00201041" w:rsidRPr="00375059" w:rsidRDefault="00201041" w:rsidP="00201041">
            <w:pPr>
              <w:widowControl w:val="0"/>
              <w:spacing w:after="0" w:line="240" w:lineRule="auto"/>
              <w:ind w:right="-108"/>
              <w:rPr>
                <w:rFonts w:ascii="Times New Roman" w:hAnsi="Times New Roman"/>
                <w:color w:val="000000"/>
                <w:sz w:val="24"/>
                <w:szCs w:val="24"/>
                <w:vertAlign w:val="superscript"/>
              </w:rPr>
            </w:pPr>
            <w:r w:rsidRPr="00375059">
              <w:rPr>
                <w:rFonts w:ascii="Times New Roman" w:hAnsi="Times New Roman"/>
                <w:color w:val="000000"/>
                <w:sz w:val="24"/>
                <w:szCs w:val="24"/>
              </w:rPr>
              <w:t>Среднемесячная заработная плата одного работника</w:t>
            </w:r>
            <w:r w:rsidR="000C64B8">
              <w:rPr>
                <w:rFonts w:ascii="Times New Roman" w:hAnsi="Times New Roman"/>
                <w:color w:val="000000"/>
                <w:sz w:val="24"/>
                <w:szCs w:val="24"/>
              </w:rPr>
              <w:t xml:space="preserve"> в целом по экономике</w:t>
            </w:r>
            <w:r w:rsidRPr="00375059">
              <w:rPr>
                <w:rFonts w:ascii="Times New Roman" w:hAnsi="Times New Roman"/>
                <w:color w:val="000000"/>
                <w:sz w:val="24"/>
                <w:szCs w:val="24"/>
                <w:vertAlign w:val="superscript"/>
              </w:rPr>
              <w:t>3,4</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379B19F4" w14:textId="77777777" w:rsidR="00201041" w:rsidRPr="00375059" w:rsidRDefault="00201041" w:rsidP="00201041">
            <w:pPr>
              <w:widowControl w:val="0"/>
              <w:spacing w:after="0" w:line="240" w:lineRule="auto"/>
              <w:ind w:left="-142" w:firstLine="142"/>
              <w:jc w:val="center"/>
              <w:rPr>
                <w:rFonts w:ascii="Times New Roman" w:hAnsi="Times New Roman"/>
                <w:color w:val="000000"/>
                <w:sz w:val="24"/>
                <w:szCs w:val="24"/>
              </w:rPr>
            </w:pPr>
            <w:r w:rsidRPr="00375059">
              <w:rPr>
                <w:rFonts w:ascii="Times New Roman" w:hAnsi="Times New Roman"/>
                <w:color w:val="000000"/>
                <w:sz w:val="24"/>
                <w:szCs w:val="24"/>
              </w:rPr>
              <w:t>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43F66AD"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4 8</w:t>
            </w:r>
            <w:r w:rsidRPr="00375059">
              <w:rPr>
                <w:rFonts w:ascii="Times New Roman" w:hAnsi="Times New Roman"/>
                <w:sz w:val="24"/>
                <w:szCs w:val="24"/>
                <w:lang w:val="en-US"/>
              </w:rPr>
              <w:t>62</w:t>
            </w:r>
          </w:p>
        </w:tc>
        <w:tc>
          <w:tcPr>
            <w:tcW w:w="1276" w:type="dxa"/>
            <w:tcBorders>
              <w:top w:val="single" w:sz="4" w:space="0" w:color="auto"/>
              <w:left w:val="single" w:sz="4" w:space="0" w:color="auto"/>
              <w:bottom w:val="single" w:sz="4" w:space="0" w:color="auto"/>
              <w:right w:val="single" w:sz="4" w:space="0" w:color="auto"/>
            </w:tcBorders>
            <w:noWrap/>
            <w:vAlign w:val="bottom"/>
          </w:tcPr>
          <w:p w14:paraId="1F52EE2A"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5 345</w:t>
            </w:r>
          </w:p>
        </w:tc>
        <w:tc>
          <w:tcPr>
            <w:tcW w:w="1170" w:type="dxa"/>
            <w:tcBorders>
              <w:top w:val="single" w:sz="4" w:space="0" w:color="auto"/>
              <w:left w:val="single" w:sz="4" w:space="0" w:color="auto"/>
              <w:bottom w:val="single" w:sz="4" w:space="0" w:color="auto"/>
              <w:right w:val="single" w:sz="4" w:space="0" w:color="auto"/>
            </w:tcBorders>
            <w:vAlign w:val="bottom"/>
          </w:tcPr>
          <w:p w14:paraId="4B8789A3" w14:textId="67F60B41"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1</w:t>
            </w:r>
            <w:r w:rsidR="00A245EB">
              <w:rPr>
                <w:rFonts w:ascii="Times New Roman" w:hAnsi="Times New Roman"/>
                <w:sz w:val="24"/>
                <w:szCs w:val="24"/>
              </w:rPr>
              <w:t>09,9</w:t>
            </w:r>
          </w:p>
        </w:tc>
      </w:tr>
      <w:tr w:rsidR="00201041" w:rsidRPr="00375059" w14:paraId="2A80C77B" w14:textId="77777777" w:rsidTr="00201041">
        <w:trPr>
          <w:trHeight w:val="320"/>
          <w:jc w:val="right"/>
        </w:trPr>
        <w:tc>
          <w:tcPr>
            <w:tcW w:w="4923" w:type="dxa"/>
            <w:tcBorders>
              <w:top w:val="single" w:sz="4" w:space="0" w:color="auto"/>
              <w:left w:val="single" w:sz="4" w:space="0" w:color="auto"/>
              <w:bottom w:val="single" w:sz="4" w:space="0" w:color="auto"/>
              <w:right w:val="single" w:sz="4" w:space="0" w:color="auto"/>
            </w:tcBorders>
            <w:vAlign w:val="bottom"/>
            <w:hideMark/>
          </w:tcPr>
          <w:p w14:paraId="1F544041"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Сводный индекс потребительских цен (инфляция)</w:t>
            </w:r>
            <w:r w:rsidRPr="00375059">
              <w:rPr>
                <w:rFonts w:ascii="Times New Roman" w:hAnsi="Times New Roman"/>
                <w:color w:val="000000"/>
                <w:sz w:val="24"/>
                <w:szCs w:val="24"/>
                <w:vertAlign w:val="superscript"/>
              </w:rPr>
              <w:t>5</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E31CD1C" w14:textId="77777777" w:rsidR="00201041" w:rsidRPr="00375059" w:rsidRDefault="00201041" w:rsidP="00201041">
            <w:pPr>
              <w:widowControl w:val="0"/>
              <w:spacing w:after="0" w:line="240" w:lineRule="auto"/>
              <w:ind w:left="-142" w:firstLine="142"/>
              <w:jc w:val="center"/>
              <w:rPr>
                <w:rFonts w:ascii="Times New Roman" w:hAnsi="Times New Roman"/>
                <w:color w:val="000000"/>
                <w:sz w:val="24"/>
                <w:szCs w:val="24"/>
              </w:rPr>
            </w:pPr>
            <w:r w:rsidRPr="00375059">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796A0A9" w14:textId="77777777" w:rsidR="00201041" w:rsidRPr="00375059" w:rsidRDefault="00201041" w:rsidP="00201041">
            <w:pPr>
              <w:widowControl w:val="0"/>
              <w:spacing w:after="0" w:line="240" w:lineRule="auto"/>
              <w:ind w:left="-142" w:firstLine="142"/>
              <w:jc w:val="right"/>
              <w:rPr>
                <w:rFonts w:ascii="Times New Roman" w:hAnsi="Times New Roman"/>
                <w:sz w:val="24"/>
                <w:szCs w:val="24"/>
                <w:lang w:val="en-US"/>
              </w:rPr>
            </w:pPr>
            <w:r w:rsidRPr="00375059">
              <w:rPr>
                <w:rFonts w:ascii="Times New Roman" w:hAnsi="Times New Roman"/>
                <w:sz w:val="24"/>
                <w:szCs w:val="24"/>
              </w:rPr>
              <w:t>101,45</w:t>
            </w:r>
          </w:p>
        </w:tc>
        <w:tc>
          <w:tcPr>
            <w:tcW w:w="1276" w:type="dxa"/>
            <w:tcBorders>
              <w:top w:val="single" w:sz="4" w:space="0" w:color="auto"/>
              <w:left w:val="single" w:sz="4" w:space="0" w:color="auto"/>
              <w:bottom w:val="single" w:sz="4" w:space="0" w:color="auto"/>
              <w:right w:val="single" w:sz="4" w:space="0" w:color="auto"/>
            </w:tcBorders>
            <w:noWrap/>
            <w:vAlign w:val="bottom"/>
          </w:tcPr>
          <w:p w14:paraId="489E460A"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107,35</w:t>
            </w:r>
          </w:p>
        </w:tc>
        <w:tc>
          <w:tcPr>
            <w:tcW w:w="1170" w:type="dxa"/>
            <w:tcBorders>
              <w:top w:val="single" w:sz="4" w:space="0" w:color="auto"/>
              <w:left w:val="single" w:sz="4" w:space="0" w:color="auto"/>
              <w:bottom w:val="single" w:sz="4" w:space="0" w:color="auto"/>
              <w:right w:val="single" w:sz="4" w:space="0" w:color="auto"/>
            </w:tcBorders>
            <w:vAlign w:val="bottom"/>
          </w:tcPr>
          <w:p w14:paraId="7AF1D4E1" w14:textId="7777777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х</w:t>
            </w:r>
          </w:p>
        </w:tc>
      </w:tr>
      <w:tr w:rsidR="00201041" w:rsidRPr="00375059" w14:paraId="6E300D79"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vAlign w:val="bottom"/>
            <w:hideMark/>
          </w:tcPr>
          <w:p w14:paraId="29718A62"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Индекс цен производителей на промышленную продукцию</w:t>
            </w:r>
            <w:r w:rsidRPr="00375059">
              <w:rPr>
                <w:rFonts w:ascii="Times New Roman" w:hAnsi="Times New Roman"/>
                <w:color w:val="000000"/>
                <w:sz w:val="24"/>
                <w:szCs w:val="24"/>
                <w:vertAlign w:val="superscript"/>
              </w:rPr>
              <w:t>5</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3D69D22" w14:textId="77777777" w:rsidR="00201041" w:rsidRPr="00375059" w:rsidRDefault="00201041" w:rsidP="00201041">
            <w:pPr>
              <w:widowControl w:val="0"/>
              <w:spacing w:after="0" w:line="240" w:lineRule="auto"/>
              <w:ind w:left="-142" w:firstLine="142"/>
              <w:jc w:val="center"/>
              <w:rPr>
                <w:rFonts w:ascii="Times New Roman" w:hAnsi="Times New Roman"/>
                <w:color w:val="000000"/>
                <w:sz w:val="24"/>
                <w:szCs w:val="24"/>
              </w:rPr>
            </w:pPr>
            <w:r w:rsidRPr="00375059">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B56D86C" w14:textId="77777777" w:rsidR="00201041" w:rsidRPr="00375059" w:rsidRDefault="00201041" w:rsidP="00201041">
            <w:pPr>
              <w:widowControl w:val="0"/>
              <w:spacing w:after="0" w:line="240" w:lineRule="auto"/>
              <w:ind w:left="-142" w:firstLine="142"/>
              <w:jc w:val="right"/>
              <w:rPr>
                <w:rFonts w:ascii="Times New Roman" w:hAnsi="Times New Roman"/>
                <w:sz w:val="24"/>
                <w:szCs w:val="24"/>
                <w:vertAlign w:val="superscript"/>
              </w:rPr>
            </w:pPr>
            <w:r w:rsidRPr="00375059">
              <w:rPr>
                <w:rFonts w:ascii="Times New Roman" w:hAnsi="Times New Roman"/>
                <w:sz w:val="24"/>
                <w:szCs w:val="24"/>
              </w:rPr>
              <w:t>105,0</w:t>
            </w:r>
          </w:p>
        </w:tc>
        <w:tc>
          <w:tcPr>
            <w:tcW w:w="1276" w:type="dxa"/>
            <w:tcBorders>
              <w:top w:val="single" w:sz="4" w:space="0" w:color="auto"/>
              <w:left w:val="single" w:sz="4" w:space="0" w:color="auto"/>
              <w:bottom w:val="single" w:sz="4" w:space="0" w:color="auto"/>
              <w:right w:val="single" w:sz="4" w:space="0" w:color="auto"/>
            </w:tcBorders>
            <w:noWrap/>
            <w:vAlign w:val="bottom"/>
          </w:tcPr>
          <w:p w14:paraId="2DB9947B" w14:textId="77777777" w:rsidR="00201041" w:rsidRPr="00375059" w:rsidRDefault="00201041" w:rsidP="00201041">
            <w:pPr>
              <w:widowControl w:val="0"/>
              <w:spacing w:after="0" w:line="240" w:lineRule="auto"/>
              <w:ind w:left="-142" w:firstLine="142"/>
              <w:jc w:val="right"/>
              <w:rPr>
                <w:rFonts w:ascii="Times New Roman" w:hAnsi="Times New Roman"/>
                <w:sz w:val="24"/>
                <w:szCs w:val="24"/>
              </w:rPr>
            </w:pPr>
            <w:r w:rsidRPr="00375059">
              <w:rPr>
                <w:rFonts w:ascii="Times New Roman" w:hAnsi="Times New Roman"/>
                <w:sz w:val="24"/>
                <w:szCs w:val="24"/>
              </w:rPr>
              <w:t>111,4</w:t>
            </w:r>
          </w:p>
        </w:tc>
        <w:tc>
          <w:tcPr>
            <w:tcW w:w="1170" w:type="dxa"/>
            <w:tcBorders>
              <w:top w:val="single" w:sz="4" w:space="0" w:color="auto"/>
              <w:left w:val="single" w:sz="4" w:space="0" w:color="auto"/>
              <w:bottom w:val="single" w:sz="4" w:space="0" w:color="auto"/>
              <w:right w:val="single" w:sz="4" w:space="0" w:color="auto"/>
            </w:tcBorders>
            <w:vAlign w:val="bottom"/>
          </w:tcPr>
          <w:p w14:paraId="43820614" w14:textId="77777777" w:rsidR="00201041" w:rsidRPr="00375059" w:rsidRDefault="00201041" w:rsidP="00201041">
            <w:pPr>
              <w:widowControl w:val="0"/>
              <w:spacing w:after="0" w:line="240" w:lineRule="auto"/>
              <w:ind w:left="-142" w:right="175" w:firstLine="142"/>
              <w:jc w:val="right"/>
              <w:rPr>
                <w:rFonts w:ascii="Times New Roman" w:hAnsi="Times New Roman"/>
                <w:sz w:val="24"/>
                <w:szCs w:val="24"/>
              </w:rPr>
            </w:pPr>
            <w:r w:rsidRPr="00375059">
              <w:rPr>
                <w:rFonts w:ascii="Times New Roman" w:hAnsi="Times New Roman"/>
                <w:sz w:val="24"/>
                <w:szCs w:val="24"/>
              </w:rPr>
              <w:t>х</w:t>
            </w:r>
          </w:p>
        </w:tc>
      </w:tr>
      <w:tr w:rsidR="00201041" w:rsidRPr="00375059" w14:paraId="0DD54E63"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4481BD7D"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Доходы Консолидированного бюджета</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04F38DB"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44F83C" w14:textId="77777777" w:rsidR="00201041" w:rsidRPr="00375059" w:rsidRDefault="00201041" w:rsidP="00201041">
            <w:pPr>
              <w:widowControl w:val="0"/>
              <w:spacing w:after="0" w:line="240" w:lineRule="auto"/>
              <w:jc w:val="right"/>
              <w:rPr>
                <w:rFonts w:ascii="Times New Roman" w:hAnsi="Times New Roman"/>
                <w:sz w:val="24"/>
                <w:szCs w:val="24"/>
              </w:rPr>
            </w:pPr>
            <w:r w:rsidRPr="00375059">
              <w:rPr>
                <w:rFonts w:ascii="Times New Roman" w:hAnsi="Times New Roman"/>
                <w:color w:val="000000"/>
                <w:sz w:val="24"/>
                <w:szCs w:val="24"/>
              </w:rPr>
              <w:t>2 918,4</w:t>
            </w:r>
          </w:p>
        </w:tc>
        <w:tc>
          <w:tcPr>
            <w:tcW w:w="1276" w:type="dxa"/>
            <w:tcBorders>
              <w:top w:val="single" w:sz="4" w:space="0" w:color="auto"/>
              <w:left w:val="single" w:sz="4" w:space="0" w:color="auto"/>
              <w:bottom w:val="single" w:sz="4" w:space="0" w:color="auto"/>
              <w:right w:val="single" w:sz="4" w:space="0" w:color="auto"/>
            </w:tcBorders>
            <w:noWrap/>
            <w:vAlign w:val="center"/>
          </w:tcPr>
          <w:p w14:paraId="02F3E500"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eastAsia="Calibri" w:hAnsi="Times New Roman"/>
                <w:sz w:val="24"/>
                <w:szCs w:val="24"/>
              </w:rPr>
              <w:t>3 389,5</w:t>
            </w:r>
          </w:p>
        </w:tc>
        <w:tc>
          <w:tcPr>
            <w:tcW w:w="1170" w:type="dxa"/>
            <w:tcBorders>
              <w:top w:val="single" w:sz="4" w:space="0" w:color="auto"/>
              <w:left w:val="single" w:sz="4" w:space="0" w:color="auto"/>
              <w:bottom w:val="single" w:sz="4" w:space="0" w:color="auto"/>
              <w:right w:val="single" w:sz="4" w:space="0" w:color="auto"/>
            </w:tcBorders>
            <w:vAlign w:val="center"/>
          </w:tcPr>
          <w:p w14:paraId="61A4E440" w14:textId="77777777" w:rsidR="00201041" w:rsidRPr="00375059" w:rsidRDefault="00201041" w:rsidP="00201041">
            <w:pPr>
              <w:widowControl w:val="0"/>
              <w:spacing w:after="0" w:line="240" w:lineRule="auto"/>
              <w:ind w:right="113"/>
              <w:jc w:val="right"/>
              <w:rPr>
                <w:rFonts w:ascii="Times New Roman" w:hAnsi="Times New Roman"/>
                <w:color w:val="000000"/>
                <w:sz w:val="24"/>
                <w:szCs w:val="24"/>
              </w:rPr>
            </w:pPr>
            <w:r w:rsidRPr="00375059">
              <w:rPr>
                <w:rFonts w:ascii="Times New Roman" w:eastAsia="Calibri" w:hAnsi="Times New Roman"/>
                <w:sz w:val="24"/>
                <w:szCs w:val="24"/>
              </w:rPr>
              <w:t>116,1</w:t>
            </w:r>
          </w:p>
        </w:tc>
      </w:tr>
      <w:tr w:rsidR="00201041" w:rsidRPr="00375059" w14:paraId="776BC6EB"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4B2CDBFE"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 доходы республиканского бюджета</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30089AD"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6AE62A1" w14:textId="77777777" w:rsidR="00201041" w:rsidRPr="00375059" w:rsidRDefault="00201041" w:rsidP="00201041">
            <w:pPr>
              <w:widowControl w:val="0"/>
              <w:spacing w:after="0" w:line="240" w:lineRule="auto"/>
              <w:jc w:val="right"/>
              <w:rPr>
                <w:rFonts w:ascii="Times New Roman" w:hAnsi="Times New Roman"/>
                <w:sz w:val="24"/>
                <w:szCs w:val="24"/>
              </w:rPr>
            </w:pPr>
            <w:r w:rsidRPr="00375059">
              <w:rPr>
                <w:rFonts w:ascii="Times New Roman" w:hAnsi="Times New Roman"/>
                <w:color w:val="000000"/>
                <w:sz w:val="24"/>
                <w:szCs w:val="24"/>
              </w:rPr>
              <w:t>1 897,0</w:t>
            </w:r>
          </w:p>
        </w:tc>
        <w:tc>
          <w:tcPr>
            <w:tcW w:w="1276" w:type="dxa"/>
            <w:tcBorders>
              <w:top w:val="single" w:sz="4" w:space="0" w:color="auto"/>
              <w:left w:val="single" w:sz="4" w:space="0" w:color="auto"/>
              <w:bottom w:val="single" w:sz="4" w:space="0" w:color="auto"/>
              <w:right w:val="single" w:sz="4" w:space="0" w:color="auto"/>
            </w:tcBorders>
            <w:noWrap/>
            <w:vAlign w:val="center"/>
          </w:tcPr>
          <w:p w14:paraId="3B0A777B"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eastAsia="Calibri" w:hAnsi="Times New Roman"/>
                <w:bCs/>
                <w:sz w:val="24"/>
                <w:szCs w:val="24"/>
              </w:rPr>
              <w:t>2 209,0</w:t>
            </w:r>
          </w:p>
        </w:tc>
        <w:tc>
          <w:tcPr>
            <w:tcW w:w="1170" w:type="dxa"/>
            <w:tcBorders>
              <w:top w:val="single" w:sz="4" w:space="0" w:color="auto"/>
              <w:left w:val="single" w:sz="4" w:space="0" w:color="auto"/>
              <w:bottom w:val="single" w:sz="4" w:space="0" w:color="auto"/>
              <w:right w:val="single" w:sz="4" w:space="0" w:color="auto"/>
            </w:tcBorders>
            <w:vAlign w:val="center"/>
          </w:tcPr>
          <w:p w14:paraId="1B967DFB" w14:textId="77777777" w:rsidR="00201041" w:rsidRPr="00375059" w:rsidRDefault="00201041" w:rsidP="00201041">
            <w:pPr>
              <w:widowControl w:val="0"/>
              <w:spacing w:after="0" w:line="240" w:lineRule="auto"/>
              <w:ind w:right="113"/>
              <w:jc w:val="right"/>
              <w:rPr>
                <w:rFonts w:ascii="Times New Roman" w:hAnsi="Times New Roman"/>
                <w:color w:val="000000"/>
                <w:sz w:val="24"/>
                <w:szCs w:val="24"/>
              </w:rPr>
            </w:pPr>
            <w:r w:rsidRPr="00375059">
              <w:rPr>
                <w:rFonts w:ascii="Times New Roman" w:eastAsia="Calibri" w:hAnsi="Times New Roman"/>
                <w:sz w:val="24"/>
                <w:szCs w:val="24"/>
              </w:rPr>
              <w:t>116,4</w:t>
            </w:r>
          </w:p>
        </w:tc>
      </w:tr>
      <w:tr w:rsidR="00201041" w:rsidRPr="00375059" w14:paraId="20447CAA"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7CBB232C"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 доходы местных бюджетов</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32414E4A"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E6537BD" w14:textId="77777777" w:rsidR="00201041" w:rsidRPr="00375059" w:rsidRDefault="00201041" w:rsidP="00201041">
            <w:pPr>
              <w:widowControl w:val="0"/>
              <w:spacing w:after="0" w:line="240" w:lineRule="auto"/>
              <w:jc w:val="right"/>
              <w:rPr>
                <w:rFonts w:ascii="Times New Roman" w:hAnsi="Times New Roman"/>
                <w:sz w:val="24"/>
                <w:szCs w:val="24"/>
              </w:rPr>
            </w:pPr>
            <w:r w:rsidRPr="00375059">
              <w:rPr>
                <w:rFonts w:ascii="Times New Roman" w:hAnsi="Times New Roman"/>
                <w:color w:val="000000"/>
                <w:sz w:val="24"/>
                <w:szCs w:val="24"/>
              </w:rPr>
              <w:t>1 021,4</w:t>
            </w:r>
          </w:p>
        </w:tc>
        <w:tc>
          <w:tcPr>
            <w:tcW w:w="1276" w:type="dxa"/>
            <w:tcBorders>
              <w:top w:val="single" w:sz="4" w:space="0" w:color="auto"/>
              <w:left w:val="single" w:sz="4" w:space="0" w:color="auto"/>
              <w:bottom w:val="single" w:sz="4" w:space="0" w:color="auto"/>
              <w:right w:val="single" w:sz="4" w:space="0" w:color="auto"/>
            </w:tcBorders>
            <w:noWrap/>
            <w:vAlign w:val="center"/>
          </w:tcPr>
          <w:p w14:paraId="5C1812BE"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eastAsia="Calibri" w:hAnsi="Times New Roman"/>
                <w:bCs/>
                <w:sz w:val="24"/>
                <w:szCs w:val="24"/>
              </w:rPr>
              <w:t>1 180,5</w:t>
            </w:r>
          </w:p>
        </w:tc>
        <w:tc>
          <w:tcPr>
            <w:tcW w:w="1170" w:type="dxa"/>
            <w:tcBorders>
              <w:top w:val="single" w:sz="4" w:space="0" w:color="auto"/>
              <w:left w:val="single" w:sz="4" w:space="0" w:color="auto"/>
              <w:bottom w:val="single" w:sz="4" w:space="0" w:color="auto"/>
              <w:right w:val="single" w:sz="4" w:space="0" w:color="auto"/>
            </w:tcBorders>
            <w:vAlign w:val="center"/>
          </w:tcPr>
          <w:p w14:paraId="2293EEFF" w14:textId="77777777" w:rsidR="00201041" w:rsidRPr="00375059" w:rsidRDefault="00201041" w:rsidP="00201041">
            <w:pPr>
              <w:widowControl w:val="0"/>
              <w:spacing w:after="0" w:line="240" w:lineRule="auto"/>
              <w:ind w:right="113"/>
              <w:jc w:val="right"/>
              <w:rPr>
                <w:rFonts w:ascii="Times New Roman" w:hAnsi="Times New Roman"/>
                <w:color w:val="000000"/>
                <w:sz w:val="24"/>
                <w:szCs w:val="24"/>
              </w:rPr>
            </w:pPr>
            <w:r w:rsidRPr="00375059">
              <w:rPr>
                <w:rFonts w:ascii="Times New Roman" w:eastAsia="Calibri" w:hAnsi="Times New Roman"/>
                <w:sz w:val="24"/>
                <w:szCs w:val="24"/>
              </w:rPr>
              <w:t>115,6</w:t>
            </w:r>
          </w:p>
        </w:tc>
      </w:tr>
      <w:tr w:rsidR="00201041" w:rsidRPr="00375059" w14:paraId="20239655"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7E6F38EE"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Расходы Консолидированного бюджета</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BE804FD"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tcPr>
          <w:p w14:paraId="5F142192" w14:textId="77777777" w:rsidR="00201041" w:rsidRPr="00375059" w:rsidRDefault="00201041" w:rsidP="00201041">
            <w:pPr>
              <w:widowControl w:val="0"/>
              <w:spacing w:after="0" w:line="240" w:lineRule="auto"/>
              <w:jc w:val="right"/>
              <w:rPr>
                <w:rFonts w:ascii="Times New Roman" w:hAnsi="Times New Roman"/>
                <w:sz w:val="24"/>
                <w:szCs w:val="24"/>
              </w:rPr>
            </w:pPr>
            <w:r w:rsidRPr="00375059">
              <w:rPr>
                <w:rFonts w:ascii="Times New Roman" w:hAnsi="Times New Roman"/>
                <w:color w:val="000000"/>
                <w:sz w:val="24"/>
                <w:szCs w:val="24"/>
              </w:rPr>
              <w:t>5 096,7</w:t>
            </w:r>
          </w:p>
        </w:tc>
        <w:tc>
          <w:tcPr>
            <w:tcW w:w="1276" w:type="dxa"/>
            <w:tcBorders>
              <w:top w:val="single" w:sz="4" w:space="0" w:color="auto"/>
              <w:left w:val="single" w:sz="4" w:space="0" w:color="auto"/>
              <w:bottom w:val="single" w:sz="4" w:space="0" w:color="auto"/>
              <w:right w:val="single" w:sz="4" w:space="0" w:color="auto"/>
            </w:tcBorders>
            <w:noWrap/>
            <w:vAlign w:val="center"/>
          </w:tcPr>
          <w:p w14:paraId="2258B8B4"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eastAsia="Calibri" w:hAnsi="Times New Roman"/>
                <w:sz w:val="24"/>
                <w:szCs w:val="24"/>
              </w:rPr>
              <w:t>5 675,1</w:t>
            </w:r>
          </w:p>
        </w:tc>
        <w:tc>
          <w:tcPr>
            <w:tcW w:w="1170" w:type="dxa"/>
            <w:tcBorders>
              <w:top w:val="single" w:sz="4" w:space="0" w:color="auto"/>
              <w:left w:val="single" w:sz="4" w:space="0" w:color="auto"/>
              <w:bottom w:val="single" w:sz="4" w:space="0" w:color="auto"/>
              <w:right w:val="single" w:sz="4" w:space="0" w:color="auto"/>
            </w:tcBorders>
            <w:vAlign w:val="center"/>
          </w:tcPr>
          <w:p w14:paraId="40B2A2FD" w14:textId="77777777" w:rsidR="00201041" w:rsidRPr="00375059" w:rsidRDefault="00201041" w:rsidP="00201041">
            <w:pPr>
              <w:widowControl w:val="0"/>
              <w:spacing w:after="0" w:line="240" w:lineRule="auto"/>
              <w:ind w:right="113"/>
              <w:jc w:val="right"/>
              <w:rPr>
                <w:rFonts w:ascii="Times New Roman" w:hAnsi="Times New Roman"/>
                <w:color w:val="000000"/>
                <w:sz w:val="24"/>
                <w:szCs w:val="24"/>
              </w:rPr>
            </w:pPr>
            <w:r w:rsidRPr="00375059">
              <w:rPr>
                <w:rFonts w:ascii="Times New Roman" w:eastAsia="Calibri" w:hAnsi="Times New Roman"/>
                <w:sz w:val="24"/>
                <w:szCs w:val="24"/>
              </w:rPr>
              <w:t>111,3</w:t>
            </w:r>
          </w:p>
        </w:tc>
      </w:tr>
      <w:tr w:rsidR="00201041" w:rsidRPr="00375059" w14:paraId="1B3320B5"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104B0D3A"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 расходы республиканского бюджета</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A473573"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tcPr>
          <w:p w14:paraId="08DA4C48" w14:textId="77777777" w:rsidR="00201041" w:rsidRPr="00375059" w:rsidRDefault="00201041" w:rsidP="00201041">
            <w:pPr>
              <w:widowControl w:val="0"/>
              <w:spacing w:after="0" w:line="240" w:lineRule="auto"/>
              <w:jc w:val="right"/>
              <w:rPr>
                <w:rFonts w:ascii="Times New Roman" w:hAnsi="Times New Roman"/>
                <w:sz w:val="24"/>
                <w:szCs w:val="24"/>
              </w:rPr>
            </w:pPr>
            <w:r w:rsidRPr="00375059">
              <w:rPr>
                <w:rFonts w:ascii="Times New Roman" w:hAnsi="Times New Roman"/>
                <w:color w:val="000000"/>
                <w:sz w:val="24"/>
                <w:szCs w:val="24"/>
              </w:rPr>
              <w:t>3 731,7</w:t>
            </w:r>
          </w:p>
        </w:tc>
        <w:tc>
          <w:tcPr>
            <w:tcW w:w="1276" w:type="dxa"/>
            <w:tcBorders>
              <w:top w:val="single" w:sz="4" w:space="0" w:color="auto"/>
              <w:left w:val="single" w:sz="4" w:space="0" w:color="auto"/>
              <w:bottom w:val="single" w:sz="4" w:space="0" w:color="auto"/>
              <w:right w:val="single" w:sz="4" w:space="0" w:color="auto"/>
            </w:tcBorders>
            <w:noWrap/>
            <w:vAlign w:val="center"/>
          </w:tcPr>
          <w:p w14:paraId="39AD0EEB"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eastAsia="Calibri" w:hAnsi="Times New Roman"/>
                <w:bCs/>
                <w:sz w:val="24"/>
                <w:szCs w:val="24"/>
              </w:rPr>
              <w:t>4 157,4</w:t>
            </w:r>
          </w:p>
        </w:tc>
        <w:tc>
          <w:tcPr>
            <w:tcW w:w="1170" w:type="dxa"/>
            <w:tcBorders>
              <w:top w:val="single" w:sz="4" w:space="0" w:color="auto"/>
              <w:left w:val="single" w:sz="4" w:space="0" w:color="auto"/>
              <w:bottom w:val="single" w:sz="4" w:space="0" w:color="auto"/>
              <w:right w:val="single" w:sz="4" w:space="0" w:color="auto"/>
            </w:tcBorders>
          </w:tcPr>
          <w:p w14:paraId="3F222004" w14:textId="77777777" w:rsidR="00201041" w:rsidRPr="00375059" w:rsidRDefault="00201041" w:rsidP="00201041">
            <w:pPr>
              <w:widowControl w:val="0"/>
              <w:spacing w:after="0" w:line="240" w:lineRule="auto"/>
              <w:ind w:right="113"/>
              <w:jc w:val="right"/>
              <w:rPr>
                <w:rFonts w:ascii="Times New Roman" w:hAnsi="Times New Roman"/>
                <w:color w:val="000000"/>
                <w:sz w:val="24"/>
                <w:szCs w:val="24"/>
              </w:rPr>
            </w:pPr>
            <w:r w:rsidRPr="00375059">
              <w:rPr>
                <w:rFonts w:ascii="Times New Roman" w:eastAsia="Calibri" w:hAnsi="Times New Roman"/>
                <w:sz w:val="24"/>
                <w:szCs w:val="24"/>
              </w:rPr>
              <w:t>111,4</w:t>
            </w:r>
          </w:p>
        </w:tc>
      </w:tr>
      <w:tr w:rsidR="00201041" w:rsidRPr="00375059" w14:paraId="2CFBF5F6" w14:textId="77777777" w:rsidTr="00201041">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137A7EC6" w14:textId="77777777" w:rsidR="00201041" w:rsidRPr="00375059" w:rsidRDefault="00201041" w:rsidP="00201041">
            <w:pPr>
              <w:widowControl w:val="0"/>
              <w:spacing w:after="0" w:line="240" w:lineRule="auto"/>
              <w:ind w:right="-108"/>
              <w:rPr>
                <w:rFonts w:ascii="Times New Roman" w:hAnsi="Times New Roman"/>
                <w:color w:val="000000"/>
                <w:sz w:val="24"/>
                <w:szCs w:val="24"/>
              </w:rPr>
            </w:pPr>
            <w:r w:rsidRPr="00375059">
              <w:rPr>
                <w:rFonts w:ascii="Times New Roman" w:hAnsi="Times New Roman"/>
                <w:color w:val="000000"/>
                <w:sz w:val="24"/>
                <w:szCs w:val="24"/>
              </w:rPr>
              <w:t>- расходы местных бюджетов</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D5E1C30" w14:textId="77777777" w:rsidR="00201041" w:rsidRPr="00375059" w:rsidRDefault="00201041" w:rsidP="00201041">
            <w:pPr>
              <w:widowControl w:val="0"/>
              <w:spacing w:after="0" w:line="240" w:lineRule="auto"/>
              <w:ind w:left="-142" w:right="-108" w:firstLine="34"/>
              <w:jc w:val="center"/>
              <w:rPr>
                <w:rFonts w:ascii="Times New Roman" w:hAnsi="Times New Roman"/>
                <w:color w:val="000000"/>
                <w:sz w:val="24"/>
                <w:szCs w:val="24"/>
              </w:rPr>
            </w:pPr>
            <w:r w:rsidRPr="00375059">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tcPr>
          <w:p w14:paraId="7E6C485B" w14:textId="77777777" w:rsidR="00201041" w:rsidRPr="00375059" w:rsidRDefault="00201041" w:rsidP="00201041">
            <w:pPr>
              <w:widowControl w:val="0"/>
              <w:spacing w:after="0" w:line="240" w:lineRule="auto"/>
              <w:jc w:val="right"/>
              <w:rPr>
                <w:rFonts w:ascii="Times New Roman" w:hAnsi="Times New Roman"/>
                <w:sz w:val="24"/>
                <w:szCs w:val="24"/>
              </w:rPr>
            </w:pPr>
            <w:r w:rsidRPr="00375059">
              <w:rPr>
                <w:rFonts w:ascii="Times New Roman" w:hAnsi="Times New Roman"/>
                <w:color w:val="000000"/>
                <w:sz w:val="24"/>
                <w:szCs w:val="24"/>
              </w:rPr>
              <w:t>1 365,0</w:t>
            </w:r>
          </w:p>
        </w:tc>
        <w:tc>
          <w:tcPr>
            <w:tcW w:w="1276" w:type="dxa"/>
            <w:tcBorders>
              <w:top w:val="single" w:sz="4" w:space="0" w:color="auto"/>
              <w:left w:val="single" w:sz="4" w:space="0" w:color="auto"/>
              <w:bottom w:val="single" w:sz="4" w:space="0" w:color="auto"/>
              <w:right w:val="single" w:sz="4" w:space="0" w:color="auto"/>
            </w:tcBorders>
            <w:noWrap/>
            <w:vAlign w:val="center"/>
          </w:tcPr>
          <w:p w14:paraId="1B20D2FB" w14:textId="77777777" w:rsidR="00201041" w:rsidRPr="00375059" w:rsidRDefault="00201041" w:rsidP="00201041">
            <w:pPr>
              <w:widowControl w:val="0"/>
              <w:spacing w:after="0" w:line="240" w:lineRule="auto"/>
              <w:jc w:val="right"/>
              <w:rPr>
                <w:rFonts w:ascii="Times New Roman" w:hAnsi="Times New Roman"/>
                <w:color w:val="000000"/>
                <w:sz w:val="24"/>
                <w:szCs w:val="24"/>
              </w:rPr>
            </w:pPr>
            <w:r w:rsidRPr="00375059">
              <w:rPr>
                <w:rFonts w:ascii="Times New Roman" w:eastAsia="Calibri" w:hAnsi="Times New Roman"/>
                <w:bCs/>
                <w:sz w:val="24"/>
                <w:szCs w:val="24"/>
              </w:rPr>
              <w:t>1 517,6</w:t>
            </w:r>
          </w:p>
        </w:tc>
        <w:tc>
          <w:tcPr>
            <w:tcW w:w="1170" w:type="dxa"/>
            <w:tcBorders>
              <w:top w:val="single" w:sz="4" w:space="0" w:color="auto"/>
              <w:left w:val="single" w:sz="4" w:space="0" w:color="auto"/>
              <w:bottom w:val="single" w:sz="4" w:space="0" w:color="auto"/>
              <w:right w:val="single" w:sz="4" w:space="0" w:color="auto"/>
            </w:tcBorders>
          </w:tcPr>
          <w:p w14:paraId="554AADD7" w14:textId="77777777" w:rsidR="00201041" w:rsidRPr="00375059" w:rsidRDefault="00201041" w:rsidP="00201041">
            <w:pPr>
              <w:widowControl w:val="0"/>
              <w:spacing w:after="0" w:line="240" w:lineRule="auto"/>
              <w:ind w:right="113"/>
              <w:jc w:val="right"/>
              <w:rPr>
                <w:rFonts w:ascii="Times New Roman" w:hAnsi="Times New Roman"/>
                <w:color w:val="000000"/>
                <w:sz w:val="24"/>
                <w:szCs w:val="24"/>
              </w:rPr>
            </w:pPr>
            <w:r w:rsidRPr="00375059">
              <w:rPr>
                <w:rFonts w:ascii="Times New Roman" w:eastAsia="Calibri" w:hAnsi="Times New Roman"/>
                <w:sz w:val="24"/>
                <w:szCs w:val="24"/>
              </w:rPr>
              <w:t>111,2</w:t>
            </w:r>
          </w:p>
        </w:tc>
      </w:tr>
    </w:tbl>
    <w:p w14:paraId="5917A493" w14:textId="50E263CA" w:rsidR="00201041" w:rsidRPr="00375059" w:rsidRDefault="00201041" w:rsidP="00201041">
      <w:pPr>
        <w:widowControl w:val="0"/>
        <w:spacing w:after="0" w:line="240" w:lineRule="auto"/>
        <w:jc w:val="both"/>
        <w:rPr>
          <w:rFonts w:ascii="Times New Roman" w:hAnsi="Times New Roman"/>
          <w:color w:val="000000"/>
        </w:rPr>
      </w:pPr>
      <w:r w:rsidRPr="00375059">
        <w:rPr>
          <w:rFonts w:ascii="Times New Roman" w:hAnsi="Times New Roman"/>
          <w:color w:val="000000"/>
        </w:rPr>
        <w:t xml:space="preserve">* – темпы роста </w:t>
      </w:r>
      <w:r w:rsidR="000C64B8">
        <w:rPr>
          <w:rFonts w:ascii="Times New Roman" w:hAnsi="Times New Roman"/>
          <w:color w:val="000000"/>
        </w:rPr>
        <w:t>приведены к первоначальным</w:t>
      </w:r>
      <w:r w:rsidRPr="00375059">
        <w:rPr>
          <w:rFonts w:ascii="Times New Roman" w:hAnsi="Times New Roman"/>
          <w:color w:val="000000"/>
        </w:rPr>
        <w:t xml:space="preserve"> данным</w:t>
      </w:r>
      <w:r w:rsidR="000C64B8">
        <w:rPr>
          <w:rFonts w:ascii="Times New Roman" w:hAnsi="Times New Roman"/>
          <w:color w:val="000000"/>
        </w:rPr>
        <w:t xml:space="preserve"> 2020 года</w:t>
      </w:r>
      <w:r w:rsidRPr="00375059">
        <w:rPr>
          <w:rFonts w:ascii="Times New Roman" w:hAnsi="Times New Roman"/>
          <w:color w:val="000000"/>
        </w:rPr>
        <w:t>;</w:t>
      </w:r>
    </w:p>
    <w:p w14:paraId="7B117CCE" w14:textId="77777777" w:rsidR="00201041" w:rsidRPr="00375059" w:rsidRDefault="00201041" w:rsidP="00201041">
      <w:pPr>
        <w:widowControl w:val="0"/>
        <w:spacing w:after="0" w:line="240" w:lineRule="auto"/>
        <w:jc w:val="both"/>
        <w:rPr>
          <w:rFonts w:ascii="Times New Roman" w:hAnsi="Times New Roman"/>
          <w:color w:val="000000"/>
        </w:rPr>
      </w:pPr>
      <w:r w:rsidRPr="00375059">
        <w:rPr>
          <w:rFonts w:ascii="Times New Roman" w:hAnsi="Times New Roman"/>
          <w:color w:val="000000"/>
          <w:vertAlign w:val="superscript"/>
        </w:rPr>
        <w:t>1</w:t>
      </w:r>
      <w:r w:rsidRPr="00375059">
        <w:rPr>
          <w:rFonts w:ascii="Times New Roman" w:hAnsi="Times New Roman"/>
          <w:color w:val="000000"/>
        </w:rPr>
        <w:t>– с учетом субъектов малого предпринимательства, промышленных подразделений при непромышленных организациях;</w:t>
      </w:r>
    </w:p>
    <w:p w14:paraId="68EDF022" w14:textId="77777777" w:rsidR="00201041" w:rsidRPr="00375059" w:rsidRDefault="00201041" w:rsidP="00201041">
      <w:pPr>
        <w:widowControl w:val="0"/>
        <w:spacing w:after="0" w:line="240" w:lineRule="auto"/>
        <w:jc w:val="both"/>
        <w:rPr>
          <w:rFonts w:ascii="Times New Roman" w:hAnsi="Times New Roman"/>
          <w:color w:val="000000"/>
          <w:vertAlign w:val="superscript"/>
        </w:rPr>
      </w:pPr>
      <w:r w:rsidRPr="00375059">
        <w:rPr>
          <w:rFonts w:ascii="Times New Roman" w:hAnsi="Times New Roman"/>
          <w:color w:val="000000"/>
          <w:vertAlign w:val="superscript"/>
        </w:rPr>
        <w:t>2</w:t>
      </w:r>
      <w:r w:rsidRPr="00375059">
        <w:rPr>
          <w:rFonts w:ascii="Times New Roman" w:hAnsi="Times New Roman"/>
          <w:color w:val="000000"/>
        </w:rPr>
        <w:t>– с учетом субъектов малого предпринимательства и индивидуальных застройщиков;</w:t>
      </w:r>
    </w:p>
    <w:p w14:paraId="0B222797" w14:textId="77777777" w:rsidR="00201041" w:rsidRPr="00375059" w:rsidRDefault="00201041" w:rsidP="00201041">
      <w:pPr>
        <w:widowControl w:val="0"/>
        <w:spacing w:after="0" w:line="240" w:lineRule="auto"/>
        <w:jc w:val="both"/>
        <w:rPr>
          <w:rFonts w:ascii="Times New Roman" w:hAnsi="Times New Roman"/>
          <w:color w:val="000000"/>
        </w:rPr>
      </w:pPr>
      <w:r w:rsidRPr="00375059">
        <w:rPr>
          <w:rFonts w:ascii="Times New Roman" w:hAnsi="Times New Roman"/>
          <w:color w:val="000000"/>
          <w:vertAlign w:val="superscript"/>
        </w:rPr>
        <w:t xml:space="preserve">3 </w:t>
      </w:r>
      <w:r w:rsidRPr="00375059">
        <w:rPr>
          <w:rFonts w:ascii="Times New Roman" w:hAnsi="Times New Roman"/>
          <w:color w:val="000000"/>
        </w:rPr>
        <w:t xml:space="preserve">–включая субъекты малого предпринимательства и некоммерческие организации; </w:t>
      </w:r>
    </w:p>
    <w:p w14:paraId="38557A29" w14:textId="77777777" w:rsidR="00201041" w:rsidRPr="00375059" w:rsidRDefault="00201041" w:rsidP="00201041">
      <w:pPr>
        <w:widowControl w:val="0"/>
        <w:spacing w:after="0" w:line="240" w:lineRule="auto"/>
        <w:jc w:val="both"/>
        <w:rPr>
          <w:rFonts w:ascii="Times New Roman" w:hAnsi="Times New Roman"/>
          <w:color w:val="000000"/>
          <w:vertAlign w:val="superscript"/>
        </w:rPr>
      </w:pPr>
      <w:r w:rsidRPr="00375059">
        <w:rPr>
          <w:rFonts w:ascii="Times New Roman" w:hAnsi="Times New Roman"/>
          <w:color w:val="000000"/>
          <w:vertAlign w:val="superscript"/>
        </w:rPr>
        <w:t xml:space="preserve">4 </w:t>
      </w:r>
      <w:r w:rsidRPr="00375059">
        <w:rPr>
          <w:rFonts w:ascii="Times New Roman" w:hAnsi="Times New Roman"/>
          <w:color w:val="000000"/>
        </w:rPr>
        <w:t>– без силовых структур и таможенных органов;</w:t>
      </w:r>
    </w:p>
    <w:p w14:paraId="423C5A79" w14:textId="77777777" w:rsidR="00201041" w:rsidRPr="00375059" w:rsidRDefault="00201041" w:rsidP="00201041">
      <w:pPr>
        <w:widowControl w:val="0"/>
        <w:spacing w:after="0" w:line="240" w:lineRule="auto"/>
        <w:jc w:val="both"/>
        <w:rPr>
          <w:rFonts w:ascii="Times New Roman" w:hAnsi="Times New Roman"/>
          <w:color w:val="000000"/>
        </w:rPr>
      </w:pPr>
      <w:r w:rsidRPr="00375059">
        <w:rPr>
          <w:rFonts w:ascii="Times New Roman" w:hAnsi="Times New Roman"/>
          <w:color w:val="000000"/>
          <w:vertAlign w:val="superscript"/>
        </w:rPr>
        <w:t>5</w:t>
      </w:r>
      <w:r w:rsidRPr="00375059">
        <w:rPr>
          <w:rFonts w:ascii="Times New Roman" w:hAnsi="Times New Roman"/>
          <w:color w:val="000000"/>
        </w:rPr>
        <w:t>–к декабрю предыдущего года;</w:t>
      </w:r>
    </w:p>
    <w:p w14:paraId="72526C90" w14:textId="5D98E9FA" w:rsidR="00201041" w:rsidRPr="00375059" w:rsidRDefault="00201041" w:rsidP="000C64B8">
      <w:pPr>
        <w:widowControl w:val="0"/>
        <w:spacing w:after="0" w:line="240" w:lineRule="auto"/>
        <w:jc w:val="both"/>
        <w:rPr>
          <w:rFonts w:ascii="Times New Roman" w:hAnsi="Times New Roman"/>
          <w:sz w:val="28"/>
          <w:szCs w:val="28"/>
        </w:rPr>
      </w:pPr>
      <w:r w:rsidRPr="00375059">
        <w:rPr>
          <w:rFonts w:ascii="Times New Roman" w:hAnsi="Times New Roman"/>
          <w:vertAlign w:val="superscript"/>
        </w:rPr>
        <w:t>6</w:t>
      </w:r>
      <w:r w:rsidRPr="00375059">
        <w:rPr>
          <w:rFonts w:ascii="Times New Roman" w:hAnsi="Times New Roman"/>
        </w:rPr>
        <w:t xml:space="preserve">- </w:t>
      </w:r>
      <w:r w:rsidRPr="00375059">
        <w:rPr>
          <w:rFonts w:ascii="Times New Roman" w:hAnsi="Times New Roman"/>
          <w:color w:val="000000"/>
        </w:rPr>
        <w:t>данные Государственного таможенного комитета Приднестровской Молдавской Республики</w:t>
      </w:r>
      <w:r w:rsidRPr="00375059">
        <w:rPr>
          <w:rFonts w:ascii="Times New Roman" w:hAnsi="Times New Roman"/>
        </w:rPr>
        <w:t xml:space="preserve"> </w:t>
      </w:r>
    </w:p>
    <w:p w14:paraId="5F1BD66F" w14:textId="77777777" w:rsidR="00201041" w:rsidRPr="00375059" w:rsidRDefault="00201041" w:rsidP="00201041">
      <w:pPr>
        <w:widowControl w:val="0"/>
        <w:spacing w:after="0" w:line="240" w:lineRule="auto"/>
        <w:ind w:firstLine="426"/>
        <w:jc w:val="both"/>
        <w:rPr>
          <w:rFonts w:ascii="Times New Roman" w:hAnsi="Times New Roman"/>
          <w:sz w:val="28"/>
          <w:szCs w:val="28"/>
        </w:rPr>
      </w:pPr>
    </w:p>
    <w:p w14:paraId="3F509E25" w14:textId="19F3C797" w:rsidR="00E16DD0" w:rsidRPr="00375059" w:rsidRDefault="00E16DD0">
      <w:pPr>
        <w:spacing w:after="160" w:line="259" w:lineRule="auto"/>
        <w:rPr>
          <w:rFonts w:ascii="Times New Roman" w:hAnsi="Times New Roman"/>
        </w:rPr>
        <w:sectPr w:rsidR="00E16DD0" w:rsidRPr="00375059" w:rsidSect="00963998">
          <w:headerReference w:type="first" r:id="rId78"/>
          <w:pgSz w:w="11906" w:h="16838"/>
          <w:pgMar w:top="1134" w:right="850" w:bottom="1134" w:left="1701" w:header="454" w:footer="340" w:gutter="0"/>
          <w:cols w:space="708"/>
          <w:titlePg/>
          <w:docGrid w:linePitch="360"/>
        </w:sectPr>
      </w:pPr>
    </w:p>
    <w:p w14:paraId="3C2D2801" w14:textId="3011A293" w:rsidR="00E16DD0" w:rsidRPr="00375059" w:rsidRDefault="00E16DD0" w:rsidP="00E16DD0">
      <w:pPr>
        <w:keepNext/>
        <w:keepLines/>
        <w:spacing w:after="0" w:line="360" w:lineRule="auto"/>
        <w:ind w:firstLine="567"/>
        <w:jc w:val="right"/>
        <w:outlineLvl w:val="1"/>
        <w:rPr>
          <w:rFonts w:ascii="Times New Roman" w:hAnsi="Times New Roman"/>
          <w:b/>
          <w:sz w:val="28"/>
          <w:szCs w:val="26"/>
        </w:rPr>
      </w:pPr>
      <w:bookmarkStart w:id="56" w:name="_Toc82074360"/>
      <w:bookmarkStart w:id="57" w:name="_Toc101441796"/>
      <w:r w:rsidRPr="00375059">
        <w:rPr>
          <w:rFonts w:ascii="Times New Roman" w:hAnsi="Times New Roman"/>
          <w:b/>
          <w:sz w:val="28"/>
          <w:szCs w:val="26"/>
        </w:rPr>
        <w:lastRenderedPageBreak/>
        <w:t>Приложение 2</w:t>
      </w:r>
      <w:bookmarkEnd w:id="56"/>
      <w:bookmarkEnd w:id="57"/>
    </w:p>
    <w:p w14:paraId="0AB8FA89" w14:textId="26D449EF" w:rsidR="008A0869" w:rsidRPr="00375059" w:rsidRDefault="00E16DD0" w:rsidP="004E7A46">
      <w:pPr>
        <w:spacing w:after="0" w:line="240" w:lineRule="auto"/>
        <w:jc w:val="center"/>
        <w:rPr>
          <w:rFonts w:ascii="Times New Roman" w:hAnsi="Times New Roman"/>
          <w:b/>
          <w:sz w:val="28"/>
        </w:rPr>
      </w:pPr>
      <w:bookmarkStart w:id="58" w:name="_Toc82074361"/>
      <w:r w:rsidRPr="00375059">
        <w:rPr>
          <w:rFonts w:ascii="Times New Roman" w:hAnsi="Times New Roman"/>
          <w:b/>
          <w:sz w:val="28"/>
        </w:rPr>
        <w:t xml:space="preserve">Динамика производства и реализации продукции </w:t>
      </w:r>
      <w:r w:rsidRPr="00375059">
        <w:rPr>
          <w:rFonts w:ascii="Times New Roman" w:hAnsi="Times New Roman"/>
          <w:b/>
          <w:sz w:val="28"/>
        </w:rPr>
        <w:br/>
        <w:t>по отраслям промышленности по крупным и средним предприятиям</w:t>
      </w:r>
      <w:bookmarkEnd w:id="58"/>
      <w:r w:rsidR="00FD047C">
        <w:rPr>
          <w:rFonts w:ascii="Times New Roman" w:hAnsi="Times New Roman"/>
          <w:b/>
          <w:sz w:val="28"/>
        </w:rPr>
        <w:t xml:space="preserve"> </w:t>
      </w:r>
      <w:r w:rsidR="005A3669">
        <w:rPr>
          <w:rFonts w:ascii="Times New Roman" w:hAnsi="Times New Roman"/>
          <w:b/>
          <w:sz w:val="28"/>
        </w:rPr>
        <w:br/>
      </w:r>
      <w:r w:rsidR="00FD047C">
        <w:rPr>
          <w:rFonts w:ascii="Times New Roman" w:hAnsi="Times New Roman"/>
          <w:b/>
          <w:sz w:val="28"/>
        </w:rPr>
        <w:t>в 2021 году</w:t>
      </w:r>
    </w:p>
    <w:tbl>
      <w:tblPr>
        <w:tblW w:w="5000" w:type="pct"/>
        <w:jc w:val="center"/>
        <w:tblLayout w:type="fixed"/>
        <w:tblLook w:val="04A0" w:firstRow="1" w:lastRow="0" w:firstColumn="1" w:lastColumn="0" w:noHBand="0" w:noVBand="1"/>
      </w:tblPr>
      <w:tblGrid>
        <w:gridCol w:w="3113"/>
        <w:gridCol w:w="1416"/>
        <w:gridCol w:w="1277"/>
        <w:gridCol w:w="1277"/>
        <w:gridCol w:w="1133"/>
        <w:gridCol w:w="1129"/>
      </w:tblGrid>
      <w:tr w:rsidR="00E16DD0" w:rsidRPr="00375059" w14:paraId="40011A45" w14:textId="77777777" w:rsidTr="00477F2C">
        <w:trPr>
          <w:trHeight w:val="570"/>
          <w:jc w:val="center"/>
        </w:trPr>
        <w:tc>
          <w:tcPr>
            <w:tcW w:w="16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A7861D" w14:textId="77777777" w:rsidR="00E16DD0" w:rsidRPr="00477F2C" w:rsidRDefault="00E16DD0" w:rsidP="004E7A46">
            <w:pPr>
              <w:spacing w:after="0" w:line="240" w:lineRule="auto"/>
              <w:jc w:val="center"/>
              <w:rPr>
                <w:rFonts w:ascii="Times New Roman" w:hAnsi="Times New Roman"/>
                <w:b/>
                <w:bCs/>
                <w:color w:val="000000"/>
                <w:szCs w:val="24"/>
              </w:rPr>
            </w:pPr>
            <w:r w:rsidRPr="00477F2C">
              <w:rPr>
                <w:rFonts w:ascii="Times New Roman" w:hAnsi="Times New Roman"/>
                <w:b/>
                <w:bCs/>
                <w:color w:val="000000"/>
                <w:szCs w:val="24"/>
              </w:rPr>
              <w:t>Отрасль</w:t>
            </w:r>
          </w:p>
        </w:tc>
        <w:tc>
          <w:tcPr>
            <w:tcW w:w="1441"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D0EB04" w14:textId="77777777" w:rsidR="00E16DD0" w:rsidRPr="00477F2C" w:rsidRDefault="00E16DD0" w:rsidP="004E7A46">
            <w:pPr>
              <w:spacing w:after="0" w:line="240" w:lineRule="auto"/>
              <w:jc w:val="center"/>
              <w:rPr>
                <w:rFonts w:ascii="Times New Roman" w:hAnsi="Times New Roman"/>
                <w:b/>
                <w:bCs/>
                <w:color w:val="000000"/>
                <w:sz w:val="24"/>
                <w:szCs w:val="24"/>
              </w:rPr>
            </w:pPr>
            <w:r w:rsidRPr="00477F2C">
              <w:rPr>
                <w:rFonts w:ascii="Times New Roman" w:hAnsi="Times New Roman"/>
                <w:b/>
                <w:bCs/>
                <w:color w:val="000000"/>
                <w:sz w:val="24"/>
                <w:szCs w:val="24"/>
              </w:rPr>
              <w:t xml:space="preserve">Объем промышленного </w:t>
            </w:r>
            <w:r w:rsidRPr="00477F2C">
              <w:rPr>
                <w:rFonts w:ascii="Times New Roman" w:hAnsi="Times New Roman"/>
                <w:b/>
                <w:bCs/>
                <w:color w:val="000000"/>
                <w:sz w:val="24"/>
                <w:szCs w:val="24"/>
              </w:rPr>
              <w:br/>
              <w:t>производства</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4C22F" w14:textId="77777777" w:rsidR="00E16DD0" w:rsidRPr="00477F2C" w:rsidRDefault="00E16DD0" w:rsidP="004E7A46">
            <w:pPr>
              <w:spacing w:after="0" w:line="240" w:lineRule="auto"/>
              <w:jc w:val="center"/>
              <w:rPr>
                <w:rFonts w:ascii="Times New Roman" w:hAnsi="Times New Roman"/>
                <w:b/>
                <w:bCs/>
                <w:color w:val="000000"/>
                <w:sz w:val="24"/>
                <w:szCs w:val="24"/>
              </w:rPr>
            </w:pPr>
            <w:r w:rsidRPr="00477F2C">
              <w:rPr>
                <w:rFonts w:ascii="Times New Roman" w:hAnsi="Times New Roman"/>
                <w:b/>
                <w:bCs/>
                <w:color w:val="000000"/>
                <w:sz w:val="24"/>
                <w:szCs w:val="24"/>
              </w:rPr>
              <w:t xml:space="preserve">Удельный вес </w:t>
            </w:r>
            <w:r w:rsidRPr="00477F2C">
              <w:rPr>
                <w:rFonts w:ascii="Times New Roman" w:hAnsi="Times New Roman"/>
                <w:b/>
                <w:bCs/>
                <w:color w:val="000000"/>
                <w:sz w:val="24"/>
                <w:szCs w:val="24"/>
              </w:rPr>
              <w:br/>
              <w:t>отрасли в общем объеме производства, %</w:t>
            </w:r>
          </w:p>
        </w:tc>
        <w:tc>
          <w:tcPr>
            <w:tcW w:w="1210"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2A54B9" w14:textId="77777777" w:rsidR="00E16DD0" w:rsidRPr="00477F2C" w:rsidRDefault="00E16DD0" w:rsidP="004E7A46">
            <w:pPr>
              <w:spacing w:after="0" w:line="240" w:lineRule="auto"/>
              <w:jc w:val="center"/>
              <w:rPr>
                <w:rFonts w:ascii="Times New Roman" w:hAnsi="Times New Roman"/>
                <w:b/>
                <w:bCs/>
                <w:color w:val="000000"/>
                <w:sz w:val="24"/>
                <w:szCs w:val="24"/>
              </w:rPr>
            </w:pPr>
            <w:r w:rsidRPr="00477F2C">
              <w:rPr>
                <w:rFonts w:ascii="Times New Roman" w:hAnsi="Times New Roman"/>
                <w:b/>
                <w:bCs/>
                <w:color w:val="000000"/>
                <w:sz w:val="24"/>
                <w:szCs w:val="24"/>
              </w:rPr>
              <w:t xml:space="preserve">Объем реализованной </w:t>
            </w:r>
            <w:r w:rsidRPr="00477F2C">
              <w:rPr>
                <w:rFonts w:ascii="Times New Roman" w:hAnsi="Times New Roman"/>
                <w:b/>
                <w:bCs/>
                <w:color w:val="000000"/>
                <w:sz w:val="24"/>
                <w:szCs w:val="24"/>
              </w:rPr>
              <w:br/>
              <w:t>продукции</w:t>
            </w:r>
          </w:p>
        </w:tc>
      </w:tr>
      <w:tr w:rsidR="00E16DD0" w:rsidRPr="00375059" w14:paraId="7DC8B0F3" w14:textId="77777777" w:rsidTr="00477F2C">
        <w:trPr>
          <w:trHeight w:val="945"/>
          <w:jc w:val="center"/>
        </w:trPr>
        <w:tc>
          <w:tcPr>
            <w:tcW w:w="16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599379" w14:textId="77777777" w:rsidR="00E16DD0" w:rsidRPr="00477F2C" w:rsidRDefault="00E16DD0" w:rsidP="004E7A46">
            <w:pPr>
              <w:spacing w:after="0" w:line="240" w:lineRule="auto"/>
              <w:rPr>
                <w:rFonts w:ascii="Times New Roman" w:hAnsi="Times New Roman"/>
                <w:b/>
                <w:bCs/>
                <w:color w:val="000000"/>
                <w:szCs w:val="24"/>
              </w:rPr>
            </w:pPr>
          </w:p>
        </w:tc>
        <w:tc>
          <w:tcPr>
            <w:tcW w:w="758" w:type="pct"/>
            <w:tcBorders>
              <w:top w:val="nil"/>
              <w:left w:val="nil"/>
              <w:bottom w:val="single" w:sz="4" w:space="0" w:color="auto"/>
              <w:right w:val="single" w:sz="4" w:space="0" w:color="auto"/>
            </w:tcBorders>
            <w:shd w:val="clear" w:color="auto" w:fill="D9D9D9" w:themeFill="background1" w:themeFillShade="D9"/>
            <w:vAlign w:val="center"/>
            <w:hideMark/>
          </w:tcPr>
          <w:p w14:paraId="587B4A98" w14:textId="77777777" w:rsidR="00E16DD0" w:rsidRPr="00477F2C" w:rsidRDefault="00E16DD0" w:rsidP="004E7A46">
            <w:pPr>
              <w:spacing w:after="0" w:line="240" w:lineRule="auto"/>
              <w:jc w:val="center"/>
              <w:rPr>
                <w:rFonts w:ascii="Times New Roman" w:hAnsi="Times New Roman"/>
                <w:b/>
                <w:bCs/>
                <w:color w:val="000000"/>
                <w:sz w:val="24"/>
                <w:szCs w:val="24"/>
              </w:rPr>
            </w:pPr>
            <w:r w:rsidRPr="00477F2C">
              <w:rPr>
                <w:rFonts w:ascii="Times New Roman" w:hAnsi="Times New Roman"/>
                <w:b/>
                <w:bCs/>
                <w:color w:val="000000"/>
                <w:sz w:val="24"/>
                <w:szCs w:val="24"/>
              </w:rPr>
              <w:t xml:space="preserve">2021 год, </w:t>
            </w:r>
            <w:r w:rsidRPr="00477F2C">
              <w:rPr>
                <w:rFonts w:ascii="Times New Roman" w:hAnsi="Times New Roman"/>
                <w:b/>
                <w:bCs/>
                <w:color w:val="000000"/>
                <w:sz w:val="24"/>
                <w:szCs w:val="24"/>
              </w:rPr>
              <w:br/>
              <w:t>млн руб.</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CE9878F" w14:textId="77777777" w:rsidR="00E16DD0" w:rsidRPr="00477F2C" w:rsidRDefault="00E16DD0" w:rsidP="004E7A46">
            <w:pPr>
              <w:spacing w:after="0" w:line="240" w:lineRule="auto"/>
              <w:jc w:val="center"/>
              <w:rPr>
                <w:rFonts w:ascii="Times New Roman" w:hAnsi="Times New Roman"/>
                <w:b/>
                <w:bCs/>
                <w:color w:val="000000"/>
                <w:sz w:val="24"/>
                <w:szCs w:val="24"/>
              </w:rPr>
            </w:pPr>
            <w:r w:rsidRPr="00477F2C">
              <w:rPr>
                <w:rFonts w:ascii="Times New Roman" w:hAnsi="Times New Roman"/>
                <w:b/>
                <w:bCs/>
                <w:color w:val="000000"/>
                <w:sz w:val="24"/>
                <w:szCs w:val="24"/>
              </w:rPr>
              <w:t xml:space="preserve">Темп роста </w:t>
            </w:r>
            <w:r w:rsidRPr="00477F2C">
              <w:rPr>
                <w:rFonts w:ascii="Times New Roman" w:hAnsi="Times New Roman"/>
                <w:b/>
                <w:bCs/>
                <w:color w:val="000000"/>
                <w:sz w:val="24"/>
                <w:szCs w:val="24"/>
              </w:rPr>
              <w:br/>
              <w:t>к 2020 году, %</w:t>
            </w:r>
          </w:p>
        </w:tc>
        <w:tc>
          <w:tcPr>
            <w:tcW w:w="68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02205C" w14:textId="77777777" w:rsidR="00E16DD0" w:rsidRPr="00477F2C" w:rsidRDefault="00E16DD0" w:rsidP="004E7A46">
            <w:pPr>
              <w:spacing w:after="0" w:line="240" w:lineRule="auto"/>
              <w:rPr>
                <w:rFonts w:ascii="Times New Roman" w:hAnsi="Times New Roman"/>
                <w:b/>
                <w:bCs/>
                <w:color w:val="000000"/>
                <w:sz w:val="24"/>
                <w:szCs w:val="24"/>
              </w:rPr>
            </w:pPr>
          </w:p>
        </w:tc>
        <w:tc>
          <w:tcPr>
            <w:tcW w:w="606" w:type="pct"/>
            <w:tcBorders>
              <w:top w:val="nil"/>
              <w:left w:val="nil"/>
              <w:bottom w:val="single" w:sz="4" w:space="0" w:color="auto"/>
              <w:right w:val="single" w:sz="4" w:space="0" w:color="auto"/>
            </w:tcBorders>
            <w:shd w:val="clear" w:color="auto" w:fill="D9D9D9" w:themeFill="background1" w:themeFillShade="D9"/>
            <w:vAlign w:val="center"/>
            <w:hideMark/>
          </w:tcPr>
          <w:p w14:paraId="4AA05817" w14:textId="77777777" w:rsidR="00E16DD0" w:rsidRPr="00477F2C" w:rsidRDefault="00E16DD0" w:rsidP="004E7A46">
            <w:pPr>
              <w:spacing w:after="0" w:line="240" w:lineRule="auto"/>
              <w:jc w:val="center"/>
              <w:rPr>
                <w:rFonts w:ascii="Times New Roman" w:hAnsi="Times New Roman"/>
                <w:b/>
                <w:bCs/>
                <w:color w:val="000000"/>
                <w:sz w:val="24"/>
                <w:szCs w:val="24"/>
              </w:rPr>
            </w:pPr>
            <w:r w:rsidRPr="00477F2C">
              <w:rPr>
                <w:rFonts w:ascii="Times New Roman" w:hAnsi="Times New Roman"/>
                <w:b/>
                <w:bCs/>
                <w:color w:val="000000"/>
                <w:sz w:val="24"/>
                <w:szCs w:val="24"/>
              </w:rPr>
              <w:t xml:space="preserve">2021 год, </w:t>
            </w:r>
            <w:r w:rsidRPr="00477F2C">
              <w:rPr>
                <w:rFonts w:ascii="Times New Roman" w:hAnsi="Times New Roman"/>
                <w:b/>
                <w:bCs/>
                <w:color w:val="000000"/>
                <w:sz w:val="24"/>
                <w:szCs w:val="24"/>
              </w:rPr>
              <w:br/>
              <w:t>млн руб.</w:t>
            </w:r>
          </w:p>
        </w:tc>
        <w:tc>
          <w:tcPr>
            <w:tcW w:w="604" w:type="pct"/>
            <w:tcBorders>
              <w:top w:val="nil"/>
              <w:left w:val="nil"/>
              <w:bottom w:val="single" w:sz="4" w:space="0" w:color="auto"/>
              <w:right w:val="single" w:sz="4" w:space="0" w:color="auto"/>
            </w:tcBorders>
            <w:shd w:val="clear" w:color="auto" w:fill="D9D9D9" w:themeFill="background1" w:themeFillShade="D9"/>
            <w:vAlign w:val="center"/>
            <w:hideMark/>
          </w:tcPr>
          <w:p w14:paraId="04604F23" w14:textId="77777777" w:rsidR="00E16DD0" w:rsidRPr="00477F2C" w:rsidRDefault="00E16DD0" w:rsidP="004E7A46">
            <w:pPr>
              <w:spacing w:after="0" w:line="240" w:lineRule="auto"/>
              <w:jc w:val="center"/>
              <w:rPr>
                <w:rFonts w:ascii="Times New Roman" w:hAnsi="Times New Roman"/>
                <w:b/>
                <w:bCs/>
                <w:color w:val="000000"/>
                <w:sz w:val="24"/>
                <w:szCs w:val="24"/>
              </w:rPr>
            </w:pPr>
            <w:r w:rsidRPr="00477F2C">
              <w:rPr>
                <w:rFonts w:ascii="Times New Roman" w:hAnsi="Times New Roman"/>
                <w:b/>
                <w:bCs/>
                <w:color w:val="000000"/>
                <w:sz w:val="24"/>
                <w:szCs w:val="24"/>
              </w:rPr>
              <w:t xml:space="preserve">Темп роста </w:t>
            </w:r>
            <w:r w:rsidRPr="00477F2C">
              <w:rPr>
                <w:rFonts w:ascii="Times New Roman" w:hAnsi="Times New Roman"/>
                <w:b/>
                <w:bCs/>
                <w:color w:val="000000"/>
                <w:sz w:val="24"/>
                <w:szCs w:val="24"/>
              </w:rPr>
              <w:br/>
              <w:t>к 2020 году, %</w:t>
            </w:r>
          </w:p>
        </w:tc>
      </w:tr>
      <w:tr w:rsidR="00E16DD0" w:rsidRPr="00375059" w14:paraId="58E32942" w14:textId="77777777" w:rsidTr="00452B82">
        <w:trPr>
          <w:trHeight w:val="315"/>
          <w:jc w:val="center"/>
        </w:trPr>
        <w:tc>
          <w:tcPr>
            <w:tcW w:w="1666" w:type="pct"/>
            <w:tcBorders>
              <w:top w:val="nil"/>
              <w:left w:val="single" w:sz="4" w:space="0" w:color="auto"/>
              <w:bottom w:val="single" w:sz="4" w:space="0" w:color="auto"/>
              <w:right w:val="single" w:sz="4" w:space="0" w:color="auto"/>
            </w:tcBorders>
            <w:shd w:val="clear" w:color="auto" w:fill="auto"/>
            <w:noWrap/>
            <w:vAlign w:val="bottom"/>
            <w:hideMark/>
          </w:tcPr>
          <w:p w14:paraId="1739662C"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Электроэнергетика</w:t>
            </w:r>
          </w:p>
        </w:tc>
        <w:tc>
          <w:tcPr>
            <w:tcW w:w="758" w:type="pct"/>
            <w:tcBorders>
              <w:top w:val="nil"/>
              <w:left w:val="nil"/>
              <w:bottom w:val="single" w:sz="4" w:space="0" w:color="auto"/>
              <w:right w:val="single" w:sz="4" w:space="0" w:color="auto"/>
            </w:tcBorders>
            <w:shd w:val="clear" w:color="auto" w:fill="auto"/>
            <w:noWrap/>
            <w:vAlign w:val="center"/>
            <w:hideMark/>
          </w:tcPr>
          <w:p w14:paraId="10115E42"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4 454,7</w:t>
            </w:r>
          </w:p>
        </w:tc>
        <w:tc>
          <w:tcPr>
            <w:tcW w:w="683" w:type="pct"/>
            <w:tcBorders>
              <w:top w:val="nil"/>
              <w:left w:val="nil"/>
              <w:bottom w:val="single" w:sz="4" w:space="0" w:color="auto"/>
              <w:right w:val="single" w:sz="4" w:space="0" w:color="auto"/>
            </w:tcBorders>
            <w:shd w:val="clear" w:color="auto" w:fill="auto"/>
            <w:noWrap/>
            <w:vAlign w:val="center"/>
            <w:hideMark/>
          </w:tcPr>
          <w:p w14:paraId="0559CD44"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110,8</w:t>
            </w:r>
          </w:p>
        </w:tc>
        <w:tc>
          <w:tcPr>
            <w:tcW w:w="683" w:type="pct"/>
            <w:tcBorders>
              <w:top w:val="nil"/>
              <w:left w:val="nil"/>
              <w:bottom w:val="single" w:sz="4" w:space="0" w:color="auto"/>
              <w:right w:val="single" w:sz="4" w:space="0" w:color="auto"/>
            </w:tcBorders>
            <w:shd w:val="clear" w:color="auto" w:fill="auto"/>
            <w:noWrap/>
            <w:vAlign w:val="center"/>
            <w:hideMark/>
          </w:tcPr>
          <w:p w14:paraId="61246186"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26,7</w:t>
            </w:r>
          </w:p>
        </w:tc>
        <w:tc>
          <w:tcPr>
            <w:tcW w:w="606" w:type="pct"/>
            <w:tcBorders>
              <w:top w:val="nil"/>
              <w:left w:val="nil"/>
              <w:bottom w:val="single" w:sz="4" w:space="0" w:color="auto"/>
              <w:right w:val="single" w:sz="4" w:space="0" w:color="auto"/>
            </w:tcBorders>
            <w:shd w:val="clear" w:color="auto" w:fill="auto"/>
            <w:noWrap/>
            <w:vAlign w:val="center"/>
            <w:hideMark/>
          </w:tcPr>
          <w:p w14:paraId="4BBE37E2"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4 431,6</w:t>
            </w:r>
          </w:p>
        </w:tc>
        <w:tc>
          <w:tcPr>
            <w:tcW w:w="604" w:type="pct"/>
            <w:tcBorders>
              <w:top w:val="nil"/>
              <w:left w:val="nil"/>
              <w:bottom w:val="single" w:sz="4" w:space="0" w:color="auto"/>
              <w:right w:val="single" w:sz="4" w:space="0" w:color="auto"/>
            </w:tcBorders>
            <w:shd w:val="clear" w:color="auto" w:fill="auto"/>
            <w:noWrap/>
            <w:vAlign w:val="center"/>
            <w:hideMark/>
          </w:tcPr>
          <w:p w14:paraId="5B72A9A6"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110,8</w:t>
            </w:r>
          </w:p>
        </w:tc>
      </w:tr>
      <w:tr w:rsidR="00E16DD0" w:rsidRPr="00375059" w14:paraId="533EB2C3" w14:textId="77777777" w:rsidTr="00452B82">
        <w:trPr>
          <w:trHeight w:val="315"/>
          <w:jc w:val="center"/>
        </w:trPr>
        <w:tc>
          <w:tcPr>
            <w:tcW w:w="1666" w:type="pct"/>
            <w:tcBorders>
              <w:top w:val="nil"/>
              <w:left w:val="single" w:sz="4" w:space="0" w:color="auto"/>
              <w:bottom w:val="single" w:sz="4" w:space="0" w:color="auto"/>
              <w:right w:val="single" w:sz="4" w:space="0" w:color="auto"/>
            </w:tcBorders>
            <w:shd w:val="clear" w:color="auto" w:fill="auto"/>
            <w:noWrap/>
            <w:vAlign w:val="bottom"/>
            <w:hideMark/>
          </w:tcPr>
          <w:p w14:paraId="1DB2AEA8"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Черная металлургия</w:t>
            </w:r>
          </w:p>
        </w:tc>
        <w:tc>
          <w:tcPr>
            <w:tcW w:w="758" w:type="pct"/>
            <w:tcBorders>
              <w:top w:val="nil"/>
              <w:left w:val="nil"/>
              <w:bottom w:val="single" w:sz="4" w:space="0" w:color="auto"/>
              <w:right w:val="single" w:sz="4" w:space="0" w:color="auto"/>
            </w:tcBorders>
            <w:shd w:val="clear" w:color="auto" w:fill="auto"/>
            <w:noWrap/>
            <w:vAlign w:val="center"/>
            <w:hideMark/>
          </w:tcPr>
          <w:p w14:paraId="6AE32929"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6 880,0</w:t>
            </w:r>
          </w:p>
        </w:tc>
        <w:tc>
          <w:tcPr>
            <w:tcW w:w="683" w:type="pct"/>
            <w:tcBorders>
              <w:top w:val="nil"/>
              <w:left w:val="nil"/>
              <w:bottom w:val="single" w:sz="4" w:space="0" w:color="auto"/>
              <w:right w:val="single" w:sz="4" w:space="0" w:color="auto"/>
            </w:tcBorders>
            <w:shd w:val="clear" w:color="auto" w:fill="auto"/>
            <w:noWrap/>
            <w:vAlign w:val="center"/>
            <w:hideMark/>
          </w:tcPr>
          <w:p w14:paraId="27AF0AB3"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195,9</w:t>
            </w:r>
          </w:p>
        </w:tc>
        <w:tc>
          <w:tcPr>
            <w:tcW w:w="683" w:type="pct"/>
            <w:tcBorders>
              <w:top w:val="nil"/>
              <w:left w:val="nil"/>
              <w:bottom w:val="single" w:sz="4" w:space="0" w:color="auto"/>
              <w:right w:val="single" w:sz="4" w:space="0" w:color="auto"/>
            </w:tcBorders>
            <w:shd w:val="clear" w:color="auto" w:fill="auto"/>
            <w:noWrap/>
            <w:vAlign w:val="center"/>
            <w:hideMark/>
          </w:tcPr>
          <w:p w14:paraId="013A31CC"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41,3</w:t>
            </w:r>
          </w:p>
        </w:tc>
        <w:tc>
          <w:tcPr>
            <w:tcW w:w="606" w:type="pct"/>
            <w:tcBorders>
              <w:top w:val="nil"/>
              <w:left w:val="nil"/>
              <w:bottom w:val="single" w:sz="4" w:space="0" w:color="auto"/>
              <w:right w:val="single" w:sz="4" w:space="0" w:color="auto"/>
            </w:tcBorders>
            <w:shd w:val="clear" w:color="auto" w:fill="auto"/>
            <w:noWrap/>
            <w:vAlign w:val="center"/>
            <w:hideMark/>
          </w:tcPr>
          <w:p w14:paraId="30951E80"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6 856,4</w:t>
            </w:r>
          </w:p>
        </w:tc>
        <w:tc>
          <w:tcPr>
            <w:tcW w:w="604" w:type="pct"/>
            <w:tcBorders>
              <w:top w:val="nil"/>
              <w:left w:val="nil"/>
              <w:bottom w:val="single" w:sz="4" w:space="0" w:color="auto"/>
              <w:right w:val="single" w:sz="4" w:space="0" w:color="auto"/>
            </w:tcBorders>
            <w:shd w:val="clear" w:color="auto" w:fill="auto"/>
            <w:noWrap/>
            <w:vAlign w:val="center"/>
            <w:hideMark/>
          </w:tcPr>
          <w:p w14:paraId="63BFE19A"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195,4</w:t>
            </w:r>
          </w:p>
        </w:tc>
      </w:tr>
      <w:tr w:rsidR="00E16DD0" w:rsidRPr="00375059" w14:paraId="56C34720" w14:textId="77777777" w:rsidTr="00452B82">
        <w:trPr>
          <w:trHeight w:val="315"/>
          <w:jc w:val="center"/>
        </w:trPr>
        <w:tc>
          <w:tcPr>
            <w:tcW w:w="1666" w:type="pct"/>
            <w:tcBorders>
              <w:top w:val="nil"/>
              <w:left w:val="single" w:sz="4" w:space="0" w:color="auto"/>
              <w:bottom w:val="single" w:sz="4" w:space="0" w:color="auto"/>
              <w:right w:val="single" w:sz="4" w:space="0" w:color="auto"/>
            </w:tcBorders>
            <w:shd w:val="clear" w:color="auto" w:fill="auto"/>
            <w:noWrap/>
            <w:vAlign w:val="bottom"/>
            <w:hideMark/>
          </w:tcPr>
          <w:p w14:paraId="275CD4E2"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Химическая промышленность</w:t>
            </w:r>
          </w:p>
        </w:tc>
        <w:tc>
          <w:tcPr>
            <w:tcW w:w="758" w:type="pct"/>
            <w:tcBorders>
              <w:top w:val="nil"/>
              <w:left w:val="nil"/>
              <w:bottom w:val="single" w:sz="4" w:space="0" w:color="auto"/>
              <w:right w:val="single" w:sz="4" w:space="0" w:color="auto"/>
            </w:tcBorders>
            <w:shd w:val="clear" w:color="auto" w:fill="auto"/>
            <w:noWrap/>
            <w:vAlign w:val="center"/>
            <w:hideMark/>
          </w:tcPr>
          <w:p w14:paraId="2F5FA71D"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329,1</w:t>
            </w:r>
          </w:p>
        </w:tc>
        <w:tc>
          <w:tcPr>
            <w:tcW w:w="683" w:type="pct"/>
            <w:tcBorders>
              <w:top w:val="nil"/>
              <w:left w:val="nil"/>
              <w:bottom w:val="single" w:sz="4" w:space="0" w:color="auto"/>
              <w:right w:val="single" w:sz="4" w:space="0" w:color="auto"/>
            </w:tcBorders>
            <w:shd w:val="clear" w:color="auto" w:fill="auto"/>
            <w:noWrap/>
            <w:vAlign w:val="center"/>
            <w:hideMark/>
          </w:tcPr>
          <w:p w14:paraId="039AC22E"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119,4</w:t>
            </w:r>
          </w:p>
        </w:tc>
        <w:tc>
          <w:tcPr>
            <w:tcW w:w="683" w:type="pct"/>
            <w:tcBorders>
              <w:top w:val="nil"/>
              <w:left w:val="nil"/>
              <w:bottom w:val="single" w:sz="4" w:space="0" w:color="auto"/>
              <w:right w:val="single" w:sz="4" w:space="0" w:color="auto"/>
            </w:tcBorders>
            <w:shd w:val="clear" w:color="auto" w:fill="auto"/>
            <w:noWrap/>
            <w:vAlign w:val="center"/>
            <w:hideMark/>
          </w:tcPr>
          <w:p w14:paraId="63180C7E"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2,0</w:t>
            </w:r>
          </w:p>
        </w:tc>
        <w:tc>
          <w:tcPr>
            <w:tcW w:w="606" w:type="pct"/>
            <w:tcBorders>
              <w:top w:val="nil"/>
              <w:left w:val="nil"/>
              <w:bottom w:val="single" w:sz="4" w:space="0" w:color="auto"/>
              <w:right w:val="single" w:sz="4" w:space="0" w:color="auto"/>
            </w:tcBorders>
            <w:shd w:val="clear" w:color="auto" w:fill="auto"/>
            <w:noWrap/>
            <w:vAlign w:val="center"/>
            <w:hideMark/>
          </w:tcPr>
          <w:p w14:paraId="2CA416F1"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328,9</w:t>
            </w:r>
          </w:p>
        </w:tc>
        <w:tc>
          <w:tcPr>
            <w:tcW w:w="604" w:type="pct"/>
            <w:tcBorders>
              <w:top w:val="nil"/>
              <w:left w:val="nil"/>
              <w:bottom w:val="single" w:sz="4" w:space="0" w:color="auto"/>
              <w:right w:val="single" w:sz="4" w:space="0" w:color="auto"/>
            </w:tcBorders>
            <w:shd w:val="clear" w:color="auto" w:fill="auto"/>
            <w:noWrap/>
            <w:vAlign w:val="center"/>
            <w:hideMark/>
          </w:tcPr>
          <w:p w14:paraId="2E10D4DF"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151,3</w:t>
            </w:r>
          </w:p>
        </w:tc>
      </w:tr>
      <w:tr w:rsidR="00E16DD0" w:rsidRPr="00375059" w14:paraId="5407E435" w14:textId="77777777" w:rsidTr="00452B82">
        <w:trPr>
          <w:trHeight w:val="300"/>
          <w:jc w:val="center"/>
        </w:trPr>
        <w:tc>
          <w:tcPr>
            <w:tcW w:w="1666" w:type="pct"/>
            <w:tcBorders>
              <w:top w:val="nil"/>
              <w:left w:val="single" w:sz="4" w:space="0" w:color="auto"/>
              <w:bottom w:val="single" w:sz="4" w:space="0" w:color="auto"/>
              <w:right w:val="single" w:sz="4" w:space="0" w:color="auto"/>
            </w:tcBorders>
            <w:shd w:val="clear" w:color="auto" w:fill="auto"/>
            <w:vAlign w:val="bottom"/>
            <w:hideMark/>
          </w:tcPr>
          <w:p w14:paraId="1C8C87D8"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Машиностроение и металлообработка</w:t>
            </w:r>
          </w:p>
        </w:tc>
        <w:tc>
          <w:tcPr>
            <w:tcW w:w="758" w:type="pct"/>
            <w:tcBorders>
              <w:top w:val="nil"/>
              <w:left w:val="nil"/>
              <w:bottom w:val="single" w:sz="4" w:space="0" w:color="auto"/>
              <w:right w:val="single" w:sz="4" w:space="0" w:color="auto"/>
            </w:tcBorders>
            <w:shd w:val="clear" w:color="auto" w:fill="auto"/>
            <w:noWrap/>
            <w:vAlign w:val="center"/>
            <w:hideMark/>
          </w:tcPr>
          <w:p w14:paraId="56442E8D"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430,2</w:t>
            </w:r>
          </w:p>
        </w:tc>
        <w:tc>
          <w:tcPr>
            <w:tcW w:w="683" w:type="pct"/>
            <w:tcBorders>
              <w:top w:val="nil"/>
              <w:left w:val="nil"/>
              <w:bottom w:val="single" w:sz="4" w:space="0" w:color="auto"/>
              <w:right w:val="single" w:sz="4" w:space="0" w:color="auto"/>
            </w:tcBorders>
            <w:shd w:val="clear" w:color="auto" w:fill="auto"/>
            <w:noWrap/>
            <w:vAlign w:val="center"/>
            <w:hideMark/>
          </w:tcPr>
          <w:p w14:paraId="10BAC333"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133,9</w:t>
            </w:r>
          </w:p>
        </w:tc>
        <w:tc>
          <w:tcPr>
            <w:tcW w:w="683" w:type="pct"/>
            <w:tcBorders>
              <w:top w:val="nil"/>
              <w:left w:val="nil"/>
              <w:bottom w:val="single" w:sz="4" w:space="0" w:color="auto"/>
              <w:right w:val="single" w:sz="4" w:space="0" w:color="auto"/>
            </w:tcBorders>
            <w:shd w:val="clear" w:color="auto" w:fill="auto"/>
            <w:noWrap/>
            <w:vAlign w:val="center"/>
            <w:hideMark/>
          </w:tcPr>
          <w:p w14:paraId="67DF252F"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2,6</w:t>
            </w:r>
          </w:p>
        </w:tc>
        <w:tc>
          <w:tcPr>
            <w:tcW w:w="606" w:type="pct"/>
            <w:tcBorders>
              <w:top w:val="nil"/>
              <w:left w:val="nil"/>
              <w:bottom w:val="single" w:sz="4" w:space="0" w:color="auto"/>
              <w:right w:val="single" w:sz="4" w:space="0" w:color="auto"/>
            </w:tcBorders>
            <w:shd w:val="clear" w:color="auto" w:fill="auto"/>
            <w:noWrap/>
            <w:vAlign w:val="center"/>
            <w:hideMark/>
          </w:tcPr>
          <w:p w14:paraId="76A27BF9"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419,1</w:t>
            </w:r>
          </w:p>
        </w:tc>
        <w:tc>
          <w:tcPr>
            <w:tcW w:w="604" w:type="pct"/>
            <w:tcBorders>
              <w:top w:val="nil"/>
              <w:left w:val="nil"/>
              <w:bottom w:val="single" w:sz="4" w:space="0" w:color="auto"/>
              <w:right w:val="single" w:sz="4" w:space="0" w:color="auto"/>
            </w:tcBorders>
            <w:shd w:val="clear" w:color="auto" w:fill="auto"/>
            <w:noWrap/>
            <w:vAlign w:val="center"/>
            <w:hideMark/>
          </w:tcPr>
          <w:p w14:paraId="527B01FB"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134,3</w:t>
            </w:r>
          </w:p>
        </w:tc>
      </w:tr>
      <w:tr w:rsidR="00E16DD0" w:rsidRPr="00375059" w14:paraId="773C5349" w14:textId="77777777" w:rsidTr="00452B82">
        <w:trPr>
          <w:trHeight w:val="315"/>
          <w:jc w:val="center"/>
        </w:trPr>
        <w:tc>
          <w:tcPr>
            <w:tcW w:w="1666" w:type="pct"/>
            <w:tcBorders>
              <w:top w:val="nil"/>
              <w:left w:val="single" w:sz="4" w:space="0" w:color="auto"/>
              <w:bottom w:val="single" w:sz="4" w:space="0" w:color="auto"/>
              <w:right w:val="single" w:sz="4" w:space="0" w:color="auto"/>
            </w:tcBorders>
            <w:shd w:val="clear" w:color="auto" w:fill="auto"/>
            <w:noWrap/>
            <w:vAlign w:val="bottom"/>
            <w:hideMark/>
          </w:tcPr>
          <w:p w14:paraId="4DCA9FEB"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Электротехническая промышленность</w:t>
            </w:r>
          </w:p>
        </w:tc>
        <w:tc>
          <w:tcPr>
            <w:tcW w:w="758" w:type="pct"/>
            <w:tcBorders>
              <w:top w:val="nil"/>
              <w:left w:val="nil"/>
              <w:bottom w:val="single" w:sz="4" w:space="0" w:color="auto"/>
              <w:right w:val="single" w:sz="4" w:space="0" w:color="auto"/>
            </w:tcBorders>
            <w:shd w:val="clear" w:color="auto" w:fill="auto"/>
            <w:noWrap/>
            <w:vAlign w:val="center"/>
            <w:hideMark/>
          </w:tcPr>
          <w:p w14:paraId="7165CBF7"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299,4</w:t>
            </w:r>
          </w:p>
        </w:tc>
        <w:tc>
          <w:tcPr>
            <w:tcW w:w="683" w:type="pct"/>
            <w:tcBorders>
              <w:top w:val="nil"/>
              <w:left w:val="nil"/>
              <w:bottom w:val="single" w:sz="4" w:space="0" w:color="auto"/>
              <w:right w:val="single" w:sz="4" w:space="0" w:color="auto"/>
            </w:tcBorders>
            <w:shd w:val="clear" w:color="auto" w:fill="auto"/>
            <w:noWrap/>
            <w:vAlign w:val="center"/>
            <w:hideMark/>
          </w:tcPr>
          <w:p w14:paraId="694EBB83"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110,6</w:t>
            </w:r>
          </w:p>
        </w:tc>
        <w:tc>
          <w:tcPr>
            <w:tcW w:w="683" w:type="pct"/>
            <w:tcBorders>
              <w:top w:val="nil"/>
              <w:left w:val="nil"/>
              <w:bottom w:val="single" w:sz="4" w:space="0" w:color="auto"/>
              <w:right w:val="single" w:sz="4" w:space="0" w:color="auto"/>
            </w:tcBorders>
            <w:shd w:val="clear" w:color="auto" w:fill="auto"/>
            <w:noWrap/>
            <w:vAlign w:val="center"/>
            <w:hideMark/>
          </w:tcPr>
          <w:p w14:paraId="0C7C894E"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1,8</w:t>
            </w:r>
          </w:p>
        </w:tc>
        <w:tc>
          <w:tcPr>
            <w:tcW w:w="606" w:type="pct"/>
            <w:tcBorders>
              <w:top w:val="nil"/>
              <w:left w:val="nil"/>
              <w:bottom w:val="single" w:sz="4" w:space="0" w:color="auto"/>
              <w:right w:val="single" w:sz="4" w:space="0" w:color="auto"/>
            </w:tcBorders>
            <w:shd w:val="clear" w:color="auto" w:fill="auto"/>
            <w:noWrap/>
            <w:vAlign w:val="center"/>
            <w:hideMark/>
          </w:tcPr>
          <w:p w14:paraId="20AC1A5A"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328,1</w:t>
            </w:r>
          </w:p>
        </w:tc>
        <w:tc>
          <w:tcPr>
            <w:tcW w:w="604" w:type="pct"/>
            <w:tcBorders>
              <w:top w:val="nil"/>
              <w:left w:val="nil"/>
              <w:bottom w:val="single" w:sz="4" w:space="0" w:color="auto"/>
              <w:right w:val="single" w:sz="4" w:space="0" w:color="auto"/>
            </w:tcBorders>
            <w:shd w:val="clear" w:color="auto" w:fill="auto"/>
            <w:noWrap/>
            <w:vAlign w:val="center"/>
            <w:hideMark/>
          </w:tcPr>
          <w:p w14:paraId="057BBE33"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121,6</w:t>
            </w:r>
          </w:p>
        </w:tc>
      </w:tr>
      <w:tr w:rsidR="00E16DD0" w:rsidRPr="00375059" w14:paraId="4A7D55B0" w14:textId="77777777" w:rsidTr="00452B82">
        <w:trPr>
          <w:trHeight w:val="630"/>
          <w:jc w:val="center"/>
        </w:trPr>
        <w:tc>
          <w:tcPr>
            <w:tcW w:w="1666" w:type="pct"/>
            <w:tcBorders>
              <w:top w:val="nil"/>
              <w:left w:val="single" w:sz="4" w:space="0" w:color="auto"/>
              <w:bottom w:val="single" w:sz="4" w:space="0" w:color="auto"/>
              <w:right w:val="single" w:sz="4" w:space="0" w:color="auto"/>
            </w:tcBorders>
            <w:shd w:val="clear" w:color="auto" w:fill="auto"/>
            <w:vAlign w:val="bottom"/>
            <w:hideMark/>
          </w:tcPr>
          <w:p w14:paraId="60541087"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Лесная и деревообрабатывающая</w:t>
            </w:r>
            <w:r w:rsidRPr="00375059">
              <w:rPr>
                <w:rFonts w:ascii="Times New Roman" w:hAnsi="Times New Roman"/>
                <w:color w:val="000000"/>
                <w:sz w:val="24"/>
                <w:szCs w:val="24"/>
              </w:rPr>
              <w:br/>
              <w:t>промышленность</w:t>
            </w:r>
          </w:p>
        </w:tc>
        <w:tc>
          <w:tcPr>
            <w:tcW w:w="758" w:type="pct"/>
            <w:tcBorders>
              <w:top w:val="nil"/>
              <w:left w:val="nil"/>
              <w:bottom w:val="single" w:sz="4" w:space="0" w:color="auto"/>
              <w:right w:val="single" w:sz="4" w:space="0" w:color="auto"/>
            </w:tcBorders>
            <w:shd w:val="clear" w:color="auto" w:fill="auto"/>
            <w:noWrap/>
            <w:vAlign w:val="center"/>
            <w:hideMark/>
          </w:tcPr>
          <w:p w14:paraId="140AF25F"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12,7</w:t>
            </w:r>
          </w:p>
        </w:tc>
        <w:tc>
          <w:tcPr>
            <w:tcW w:w="683" w:type="pct"/>
            <w:tcBorders>
              <w:top w:val="nil"/>
              <w:left w:val="nil"/>
              <w:bottom w:val="single" w:sz="4" w:space="0" w:color="auto"/>
              <w:right w:val="single" w:sz="4" w:space="0" w:color="auto"/>
            </w:tcBorders>
            <w:shd w:val="clear" w:color="auto" w:fill="auto"/>
            <w:noWrap/>
            <w:vAlign w:val="center"/>
            <w:hideMark/>
          </w:tcPr>
          <w:p w14:paraId="0300EC80" w14:textId="797A16C9"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157</w:t>
            </w:r>
            <w:r w:rsidR="00BF5787">
              <w:rPr>
                <w:rFonts w:ascii="Times New Roman" w:hAnsi="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center"/>
            <w:hideMark/>
          </w:tcPr>
          <w:p w14:paraId="557D90A3"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0,1</w:t>
            </w:r>
          </w:p>
        </w:tc>
        <w:tc>
          <w:tcPr>
            <w:tcW w:w="606" w:type="pct"/>
            <w:tcBorders>
              <w:top w:val="nil"/>
              <w:left w:val="nil"/>
              <w:bottom w:val="single" w:sz="4" w:space="0" w:color="auto"/>
              <w:right w:val="single" w:sz="4" w:space="0" w:color="auto"/>
            </w:tcBorders>
            <w:shd w:val="clear" w:color="auto" w:fill="auto"/>
            <w:noWrap/>
            <w:vAlign w:val="center"/>
            <w:hideMark/>
          </w:tcPr>
          <w:p w14:paraId="4D22A884"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12,6</w:t>
            </w:r>
          </w:p>
        </w:tc>
        <w:tc>
          <w:tcPr>
            <w:tcW w:w="604" w:type="pct"/>
            <w:tcBorders>
              <w:top w:val="nil"/>
              <w:left w:val="nil"/>
              <w:bottom w:val="single" w:sz="4" w:space="0" w:color="auto"/>
              <w:right w:val="single" w:sz="4" w:space="0" w:color="auto"/>
            </w:tcBorders>
            <w:shd w:val="clear" w:color="auto" w:fill="auto"/>
            <w:noWrap/>
            <w:vAlign w:val="center"/>
            <w:hideMark/>
          </w:tcPr>
          <w:p w14:paraId="45A79EA1"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157,8</w:t>
            </w:r>
          </w:p>
        </w:tc>
      </w:tr>
      <w:tr w:rsidR="00E16DD0" w:rsidRPr="00375059" w14:paraId="22411538" w14:textId="77777777" w:rsidTr="00452B82">
        <w:trPr>
          <w:trHeight w:val="315"/>
          <w:jc w:val="center"/>
        </w:trPr>
        <w:tc>
          <w:tcPr>
            <w:tcW w:w="1666" w:type="pct"/>
            <w:tcBorders>
              <w:top w:val="nil"/>
              <w:left w:val="single" w:sz="4" w:space="0" w:color="auto"/>
              <w:bottom w:val="single" w:sz="4" w:space="0" w:color="auto"/>
              <w:right w:val="single" w:sz="4" w:space="0" w:color="auto"/>
            </w:tcBorders>
            <w:shd w:val="clear" w:color="auto" w:fill="auto"/>
            <w:noWrap/>
            <w:vAlign w:val="bottom"/>
            <w:hideMark/>
          </w:tcPr>
          <w:p w14:paraId="454D1A8D"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Промышленность строительных материалов</w:t>
            </w:r>
          </w:p>
        </w:tc>
        <w:tc>
          <w:tcPr>
            <w:tcW w:w="758" w:type="pct"/>
            <w:tcBorders>
              <w:top w:val="nil"/>
              <w:left w:val="nil"/>
              <w:bottom w:val="single" w:sz="4" w:space="0" w:color="auto"/>
              <w:right w:val="single" w:sz="4" w:space="0" w:color="auto"/>
            </w:tcBorders>
            <w:shd w:val="clear" w:color="auto" w:fill="auto"/>
            <w:noWrap/>
            <w:vAlign w:val="center"/>
            <w:hideMark/>
          </w:tcPr>
          <w:p w14:paraId="3A00765A"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580,4</w:t>
            </w:r>
          </w:p>
        </w:tc>
        <w:tc>
          <w:tcPr>
            <w:tcW w:w="683" w:type="pct"/>
            <w:tcBorders>
              <w:top w:val="nil"/>
              <w:left w:val="nil"/>
              <w:bottom w:val="single" w:sz="4" w:space="0" w:color="auto"/>
              <w:right w:val="single" w:sz="4" w:space="0" w:color="auto"/>
            </w:tcBorders>
            <w:shd w:val="clear" w:color="auto" w:fill="auto"/>
            <w:noWrap/>
            <w:vAlign w:val="center"/>
            <w:hideMark/>
          </w:tcPr>
          <w:p w14:paraId="3EC94073"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97,2</w:t>
            </w:r>
          </w:p>
        </w:tc>
        <w:tc>
          <w:tcPr>
            <w:tcW w:w="683" w:type="pct"/>
            <w:tcBorders>
              <w:top w:val="nil"/>
              <w:left w:val="nil"/>
              <w:bottom w:val="single" w:sz="4" w:space="0" w:color="auto"/>
              <w:right w:val="single" w:sz="4" w:space="0" w:color="auto"/>
            </w:tcBorders>
            <w:shd w:val="clear" w:color="auto" w:fill="auto"/>
            <w:noWrap/>
            <w:vAlign w:val="center"/>
            <w:hideMark/>
          </w:tcPr>
          <w:p w14:paraId="49BA48E1"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3,5</w:t>
            </w:r>
          </w:p>
        </w:tc>
        <w:tc>
          <w:tcPr>
            <w:tcW w:w="606" w:type="pct"/>
            <w:tcBorders>
              <w:top w:val="nil"/>
              <w:left w:val="nil"/>
              <w:bottom w:val="single" w:sz="4" w:space="0" w:color="auto"/>
              <w:right w:val="single" w:sz="4" w:space="0" w:color="auto"/>
            </w:tcBorders>
            <w:shd w:val="clear" w:color="auto" w:fill="auto"/>
            <w:noWrap/>
            <w:vAlign w:val="center"/>
            <w:hideMark/>
          </w:tcPr>
          <w:p w14:paraId="0A8AB60F"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586,6</w:t>
            </w:r>
          </w:p>
        </w:tc>
        <w:tc>
          <w:tcPr>
            <w:tcW w:w="604" w:type="pct"/>
            <w:tcBorders>
              <w:top w:val="nil"/>
              <w:left w:val="nil"/>
              <w:bottom w:val="single" w:sz="4" w:space="0" w:color="auto"/>
              <w:right w:val="single" w:sz="4" w:space="0" w:color="auto"/>
            </w:tcBorders>
            <w:shd w:val="clear" w:color="auto" w:fill="auto"/>
            <w:noWrap/>
            <w:vAlign w:val="center"/>
            <w:hideMark/>
          </w:tcPr>
          <w:p w14:paraId="06771A85"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98,5</w:t>
            </w:r>
          </w:p>
        </w:tc>
      </w:tr>
      <w:tr w:rsidR="00E16DD0" w:rsidRPr="00375059" w14:paraId="15991B62" w14:textId="77777777" w:rsidTr="00452B82">
        <w:trPr>
          <w:trHeight w:val="315"/>
          <w:jc w:val="center"/>
        </w:trPr>
        <w:tc>
          <w:tcPr>
            <w:tcW w:w="1666" w:type="pct"/>
            <w:tcBorders>
              <w:top w:val="nil"/>
              <w:left w:val="single" w:sz="4" w:space="0" w:color="auto"/>
              <w:bottom w:val="single" w:sz="4" w:space="0" w:color="auto"/>
              <w:right w:val="single" w:sz="4" w:space="0" w:color="auto"/>
            </w:tcBorders>
            <w:shd w:val="clear" w:color="auto" w:fill="auto"/>
            <w:noWrap/>
            <w:vAlign w:val="bottom"/>
            <w:hideMark/>
          </w:tcPr>
          <w:p w14:paraId="35D7C1F6"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Легкая промышленность</w:t>
            </w:r>
          </w:p>
        </w:tc>
        <w:tc>
          <w:tcPr>
            <w:tcW w:w="758" w:type="pct"/>
            <w:tcBorders>
              <w:top w:val="nil"/>
              <w:left w:val="nil"/>
              <w:bottom w:val="single" w:sz="4" w:space="0" w:color="auto"/>
              <w:right w:val="single" w:sz="4" w:space="0" w:color="auto"/>
            </w:tcBorders>
            <w:shd w:val="clear" w:color="auto" w:fill="auto"/>
            <w:noWrap/>
            <w:vAlign w:val="center"/>
            <w:hideMark/>
          </w:tcPr>
          <w:p w14:paraId="3138D22F"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1 587,7</w:t>
            </w:r>
          </w:p>
        </w:tc>
        <w:tc>
          <w:tcPr>
            <w:tcW w:w="683" w:type="pct"/>
            <w:tcBorders>
              <w:top w:val="nil"/>
              <w:left w:val="nil"/>
              <w:bottom w:val="single" w:sz="4" w:space="0" w:color="auto"/>
              <w:right w:val="single" w:sz="4" w:space="0" w:color="auto"/>
            </w:tcBorders>
            <w:shd w:val="clear" w:color="auto" w:fill="auto"/>
            <w:noWrap/>
            <w:vAlign w:val="center"/>
            <w:hideMark/>
          </w:tcPr>
          <w:p w14:paraId="6BE42A6A"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118,4</w:t>
            </w:r>
          </w:p>
        </w:tc>
        <w:tc>
          <w:tcPr>
            <w:tcW w:w="683" w:type="pct"/>
            <w:tcBorders>
              <w:top w:val="nil"/>
              <w:left w:val="nil"/>
              <w:bottom w:val="single" w:sz="4" w:space="0" w:color="auto"/>
              <w:right w:val="single" w:sz="4" w:space="0" w:color="auto"/>
            </w:tcBorders>
            <w:shd w:val="clear" w:color="auto" w:fill="auto"/>
            <w:noWrap/>
            <w:vAlign w:val="center"/>
            <w:hideMark/>
          </w:tcPr>
          <w:p w14:paraId="2B3C2071"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9,5</w:t>
            </w:r>
          </w:p>
        </w:tc>
        <w:tc>
          <w:tcPr>
            <w:tcW w:w="606" w:type="pct"/>
            <w:tcBorders>
              <w:top w:val="nil"/>
              <w:left w:val="nil"/>
              <w:bottom w:val="single" w:sz="4" w:space="0" w:color="auto"/>
              <w:right w:val="single" w:sz="4" w:space="0" w:color="auto"/>
            </w:tcBorders>
            <w:shd w:val="clear" w:color="auto" w:fill="auto"/>
            <w:noWrap/>
            <w:vAlign w:val="center"/>
            <w:hideMark/>
          </w:tcPr>
          <w:p w14:paraId="3CB55350"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1 662,7</w:t>
            </w:r>
          </w:p>
        </w:tc>
        <w:tc>
          <w:tcPr>
            <w:tcW w:w="604" w:type="pct"/>
            <w:tcBorders>
              <w:top w:val="nil"/>
              <w:left w:val="nil"/>
              <w:bottom w:val="single" w:sz="4" w:space="0" w:color="auto"/>
              <w:right w:val="single" w:sz="4" w:space="0" w:color="auto"/>
            </w:tcBorders>
            <w:shd w:val="clear" w:color="auto" w:fill="auto"/>
            <w:noWrap/>
            <w:vAlign w:val="center"/>
            <w:hideMark/>
          </w:tcPr>
          <w:p w14:paraId="1349E9C0"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120,9</w:t>
            </w:r>
          </w:p>
        </w:tc>
      </w:tr>
      <w:tr w:rsidR="00E16DD0" w:rsidRPr="00375059" w14:paraId="227FE316" w14:textId="77777777" w:rsidTr="00452B82">
        <w:trPr>
          <w:trHeight w:val="315"/>
          <w:jc w:val="center"/>
        </w:trPr>
        <w:tc>
          <w:tcPr>
            <w:tcW w:w="1666" w:type="pct"/>
            <w:tcBorders>
              <w:top w:val="nil"/>
              <w:left w:val="single" w:sz="4" w:space="0" w:color="auto"/>
              <w:bottom w:val="single" w:sz="4" w:space="0" w:color="auto"/>
              <w:right w:val="single" w:sz="4" w:space="0" w:color="auto"/>
            </w:tcBorders>
            <w:shd w:val="clear" w:color="auto" w:fill="auto"/>
            <w:noWrap/>
            <w:vAlign w:val="bottom"/>
            <w:hideMark/>
          </w:tcPr>
          <w:p w14:paraId="2DBC2DA8"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Пищевая промышленность</w:t>
            </w:r>
          </w:p>
        </w:tc>
        <w:tc>
          <w:tcPr>
            <w:tcW w:w="758" w:type="pct"/>
            <w:tcBorders>
              <w:top w:val="nil"/>
              <w:left w:val="nil"/>
              <w:bottom w:val="single" w:sz="4" w:space="0" w:color="auto"/>
              <w:right w:val="single" w:sz="4" w:space="0" w:color="auto"/>
            </w:tcBorders>
            <w:shd w:val="clear" w:color="auto" w:fill="auto"/>
            <w:noWrap/>
            <w:vAlign w:val="center"/>
            <w:hideMark/>
          </w:tcPr>
          <w:p w14:paraId="27306292"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1 893,6</w:t>
            </w:r>
          </w:p>
        </w:tc>
        <w:tc>
          <w:tcPr>
            <w:tcW w:w="683" w:type="pct"/>
            <w:tcBorders>
              <w:top w:val="nil"/>
              <w:left w:val="nil"/>
              <w:bottom w:val="single" w:sz="4" w:space="0" w:color="auto"/>
              <w:right w:val="single" w:sz="4" w:space="0" w:color="auto"/>
            </w:tcBorders>
            <w:shd w:val="clear" w:color="auto" w:fill="auto"/>
            <w:noWrap/>
            <w:vAlign w:val="center"/>
            <w:hideMark/>
          </w:tcPr>
          <w:p w14:paraId="06423B08"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115,8</w:t>
            </w:r>
          </w:p>
        </w:tc>
        <w:tc>
          <w:tcPr>
            <w:tcW w:w="683" w:type="pct"/>
            <w:tcBorders>
              <w:top w:val="nil"/>
              <w:left w:val="nil"/>
              <w:bottom w:val="single" w:sz="4" w:space="0" w:color="auto"/>
              <w:right w:val="single" w:sz="4" w:space="0" w:color="auto"/>
            </w:tcBorders>
            <w:shd w:val="clear" w:color="auto" w:fill="auto"/>
            <w:noWrap/>
            <w:vAlign w:val="center"/>
            <w:hideMark/>
          </w:tcPr>
          <w:p w14:paraId="35DF5A07"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11,4</w:t>
            </w:r>
          </w:p>
        </w:tc>
        <w:tc>
          <w:tcPr>
            <w:tcW w:w="606" w:type="pct"/>
            <w:tcBorders>
              <w:top w:val="nil"/>
              <w:left w:val="nil"/>
              <w:bottom w:val="single" w:sz="4" w:space="0" w:color="auto"/>
              <w:right w:val="single" w:sz="4" w:space="0" w:color="auto"/>
            </w:tcBorders>
            <w:shd w:val="clear" w:color="auto" w:fill="auto"/>
            <w:noWrap/>
            <w:vAlign w:val="center"/>
            <w:hideMark/>
          </w:tcPr>
          <w:p w14:paraId="548D9A41"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1 772,5</w:t>
            </w:r>
          </w:p>
        </w:tc>
        <w:tc>
          <w:tcPr>
            <w:tcW w:w="604" w:type="pct"/>
            <w:tcBorders>
              <w:top w:val="nil"/>
              <w:left w:val="nil"/>
              <w:bottom w:val="single" w:sz="4" w:space="0" w:color="auto"/>
              <w:right w:val="single" w:sz="4" w:space="0" w:color="auto"/>
            </w:tcBorders>
            <w:shd w:val="clear" w:color="auto" w:fill="auto"/>
            <w:noWrap/>
            <w:vAlign w:val="center"/>
            <w:hideMark/>
          </w:tcPr>
          <w:p w14:paraId="5763960A"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112,4</w:t>
            </w:r>
          </w:p>
        </w:tc>
      </w:tr>
      <w:tr w:rsidR="00E16DD0" w:rsidRPr="00375059" w14:paraId="31E8E46A" w14:textId="77777777" w:rsidTr="00452B82">
        <w:trPr>
          <w:trHeight w:val="630"/>
          <w:jc w:val="center"/>
        </w:trPr>
        <w:tc>
          <w:tcPr>
            <w:tcW w:w="1666" w:type="pct"/>
            <w:tcBorders>
              <w:top w:val="nil"/>
              <w:left w:val="single" w:sz="4" w:space="0" w:color="auto"/>
              <w:bottom w:val="single" w:sz="4" w:space="0" w:color="auto"/>
              <w:right w:val="single" w:sz="4" w:space="0" w:color="auto"/>
            </w:tcBorders>
            <w:shd w:val="clear" w:color="auto" w:fill="auto"/>
            <w:vAlign w:val="bottom"/>
            <w:hideMark/>
          </w:tcPr>
          <w:p w14:paraId="1F379A96"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 xml:space="preserve">Мукомольно-крупяная и </w:t>
            </w:r>
            <w:r w:rsidRPr="00375059">
              <w:rPr>
                <w:rFonts w:ascii="Times New Roman" w:hAnsi="Times New Roman"/>
                <w:color w:val="000000"/>
                <w:sz w:val="24"/>
                <w:szCs w:val="24"/>
              </w:rPr>
              <w:br/>
              <w:t>комбикормовая промышленность</w:t>
            </w:r>
          </w:p>
        </w:tc>
        <w:tc>
          <w:tcPr>
            <w:tcW w:w="758" w:type="pct"/>
            <w:tcBorders>
              <w:top w:val="nil"/>
              <w:left w:val="nil"/>
              <w:bottom w:val="single" w:sz="4" w:space="0" w:color="auto"/>
              <w:right w:val="single" w:sz="4" w:space="0" w:color="auto"/>
            </w:tcBorders>
            <w:shd w:val="clear" w:color="auto" w:fill="auto"/>
            <w:noWrap/>
            <w:vAlign w:val="center"/>
            <w:hideMark/>
          </w:tcPr>
          <w:p w14:paraId="33322CEE"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173,4</w:t>
            </w:r>
          </w:p>
        </w:tc>
        <w:tc>
          <w:tcPr>
            <w:tcW w:w="683" w:type="pct"/>
            <w:tcBorders>
              <w:top w:val="nil"/>
              <w:left w:val="nil"/>
              <w:bottom w:val="single" w:sz="4" w:space="0" w:color="auto"/>
              <w:right w:val="single" w:sz="4" w:space="0" w:color="auto"/>
            </w:tcBorders>
            <w:shd w:val="clear" w:color="auto" w:fill="auto"/>
            <w:noWrap/>
            <w:vAlign w:val="center"/>
            <w:hideMark/>
          </w:tcPr>
          <w:p w14:paraId="26F28865"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98,6</w:t>
            </w:r>
          </w:p>
        </w:tc>
        <w:tc>
          <w:tcPr>
            <w:tcW w:w="683" w:type="pct"/>
            <w:tcBorders>
              <w:top w:val="nil"/>
              <w:left w:val="nil"/>
              <w:bottom w:val="single" w:sz="4" w:space="0" w:color="auto"/>
              <w:right w:val="single" w:sz="4" w:space="0" w:color="auto"/>
            </w:tcBorders>
            <w:shd w:val="clear" w:color="auto" w:fill="auto"/>
            <w:noWrap/>
            <w:vAlign w:val="center"/>
            <w:hideMark/>
          </w:tcPr>
          <w:p w14:paraId="41674DAD"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1,0</w:t>
            </w:r>
          </w:p>
        </w:tc>
        <w:tc>
          <w:tcPr>
            <w:tcW w:w="606" w:type="pct"/>
            <w:tcBorders>
              <w:top w:val="nil"/>
              <w:left w:val="nil"/>
              <w:bottom w:val="single" w:sz="4" w:space="0" w:color="auto"/>
              <w:right w:val="single" w:sz="4" w:space="0" w:color="auto"/>
            </w:tcBorders>
            <w:shd w:val="clear" w:color="auto" w:fill="auto"/>
            <w:noWrap/>
            <w:vAlign w:val="center"/>
            <w:hideMark/>
          </w:tcPr>
          <w:p w14:paraId="331BCE86"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174,3</w:t>
            </w:r>
          </w:p>
        </w:tc>
        <w:tc>
          <w:tcPr>
            <w:tcW w:w="604" w:type="pct"/>
            <w:tcBorders>
              <w:top w:val="nil"/>
              <w:left w:val="nil"/>
              <w:bottom w:val="single" w:sz="4" w:space="0" w:color="auto"/>
              <w:right w:val="single" w:sz="4" w:space="0" w:color="auto"/>
            </w:tcBorders>
            <w:shd w:val="clear" w:color="auto" w:fill="auto"/>
            <w:noWrap/>
            <w:vAlign w:val="center"/>
            <w:hideMark/>
          </w:tcPr>
          <w:p w14:paraId="4CCEBB01"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97,4</w:t>
            </w:r>
          </w:p>
        </w:tc>
      </w:tr>
      <w:tr w:rsidR="00E16DD0" w:rsidRPr="00375059" w14:paraId="090B93C0" w14:textId="77777777" w:rsidTr="00452B82">
        <w:trPr>
          <w:trHeight w:val="315"/>
          <w:jc w:val="center"/>
        </w:trPr>
        <w:tc>
          <w:tcPr>
            <w:tcW w:w="1666" w:type="pct"/>
            <w:tcBorders>
              <w:top w:val="nil"/>
              <w:left w:val="single" w:sz="4" w:space="0" w:color="auto"/>
              <w:bottom w:val="single" w:sz="4" w:space="0" w:color="auto"/>
              <w:right w:val="single" w:sz="4" w:space="0" w:color="auto"/>
            </w:tcBorders>
            <w:shd w:val="clear" w:color="auto" w:fill="auto"/>
            <w:noWrap/>
            <w:vAlign w:val="bottom"/>
            <w:hideMark/>
          </w:tcPr>
          <w:p w14:paraId="4E8F822F" w14:textId="77777777" w:rsidR="00E16DD0" w:rsidRPr="00375059" w:rsidRDefault="00E16DD0" w:rsidP="004E7A46">
            <w:pPr>
              <w:spacing w:after="0" w:line="240" w:lineRule="auto"/>
              <w:rPr>
                <w:rFonts w:ascii="Times New Roman" w:hAnsi="Times New Roman"/>
                <w:color w:val="000000"/>
                <w:sz w:val="24"/>
                <w:szCs w:val="24"/>
              </w:rPr>
            </w:pPr>
            <w:r w:rsidRPr="00375059">
              <w:rPr>
                <w:rFonts w:ascii="Times New Roman" w:hAnsi="Times New Roman"/>
                <w:color w:val="000000"/>
                <w:sz w:val="24"/>
                <w:szCs w:val="24"/>
              </w:rPr>
              <w:t>Полиграфическая промышленность</w:t>
            </w:r>
          </w:p>
        </w:tc>
        <w:tc>
          <w:tcPr>
            <w:tcW w:w="758" w:type="pct"/>
            <w:tcBorders>
              <w:top w:val="nil"/>
              <w:left w:val="nil"/>
              <w:bottom w:val="single" w:sz="4" w:space="0" w:color="auto"/>
              <w:right w:val="single" w:sz="4" w:space="0" w:color="auto"/>
            </w:tcBorders>
            <w:shd w:val="clear" w:color="auto" w:fill="auto"/>
            <w:noWrap/>
            <w:vAlign w:val="center"/>
            <w:hideMark/>
          </w:tcPr>
          <w:p w14:paraId="72823072"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24,9</w:t>
            </w:r>
          </w:p>
        </w:tc>
        <w:tc>
          <w:tcPr>
            <w:tcW w:w="683" w:type="pct"/>
            <w:tcBorders>
              <w:top w:val="nil"/>
              <w:left w:val="nil"/>
              <w:bottom w:val="single" w:sz="4" w:space="0" w:color="auto"/>
              <w:right w:val="single" w:sz="4" w:space="0" w:color="auto"/>
            </w:tcBorders>
            <w:shd w:val="clear" w:color="auto" w:fill="auto"/>
            <w:noWrap/>
            <w:vAlign w:val="center"/>
            <w:hideMark/>
          </w:tcPr>
          <w:p w14:paraId="07896A6C"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96,8</w:t>
            </w:r>
          </w:p>
        </w:tc>
        <w:tc>
          <w:tcPr>
            <w:tcW w:w="683" w:type="pct"/>
            <w:tcBorders>
              <w:top w:val="nil"/>
              <w:left w:val="nil"/>
              <w:bottom w:val="single" w:sz="4" w:space="0" w:color="auto"/>
              <w:right w:val="single" w:sz="4" w:space="0" w:color="auto"/>
            </w:tcBorders>
            <w:shd w:val="clear" w:color="auto" w:fill="auto"/>
            <w:noWrap/>
            <w:vAlign w:val="center"/>
            <w:hideMark/>
          </w:tcPr>
          <w:p w14:paraId="3DC45F04"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0,1</w:t>
            </w:r>
          </w:p>
        </w:tc>
        <w:tc>
          <w:tcPr>
            <w:tcW w:w="606" w:type="pct"/>
            <w:tcBorders>
              <w:top w:val="nil"/>
              <w:left w:val="nil"/>
              <w:bottom w:val="single" w:sz="4" w:space="0" w:color="auto"/>
              <w:right w:val="single" w:sz="4" w:space="0" w:color="auto"/>
            </w:tcBorders>
            <w:shd w:val="clear" w:color="auto" w:fill="auto"/>
            <w:noWrap/>
            <w:vAlign w:val="center"/>
            <w:hideMark/>
          </w:tcPr>
          <w:p w14:paraId="317DF59E" w14:textId="77777777"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24,5</w:t>
            </w:r>
          </w:p>
        </w:tc>
        <w:tc>
          <w:tcPr>
            <w:tcW w:w="604" w:type="pct"/>
            <w:tcBorders>
              <w:top w:val="nil"/>
              <w:left w:val="nil"/>
              <w:bottom w:val="single" w:sz="4" w:space="0" w:color="auto"/>
              <w:right w:val="single" w:sz="4" w:space="0" w:color="auto"/>
            </w:tcBorders>
            <w:shd w:val="clear" w:color="auto" w:fill="auto"/>
            <w:noWrap/>
            <w:vAlign w:val="center"/>
            <w:hideMark/>
          </w:tcPr>
          <w:p w14:paraId="48448E15" w14:textId="3446067A" w:rsidR="00E16DD0" w:rsidRPr="00375059" w:rsidRDefault="00E16DD0" w:rsidP="00452B82">
            <w:pPr>
              <w:spacing w:after="0" w:line="240" w:lineRule="auto"/>
              <w:jc w:val="right"/>
              <w:rPr>
                <w:rFonts w:ascii="Times New Roman" w:hAnsi="Times New Roman"/>
                <w:color w:val="000000"/>
                <w:sz w:val="24"/>
                <w:szCs w:val="24"/>
              </w:rPr>
            </w:pPr>
            <w:r w:rsidRPr="00375059">
              <w:rPr>
                <w:rFonts w:ascii="Times New Roman" w:hAnsi="Times New Roman"/>
                <w:color w:val="000000"/>
                <w:sz w:val="24"/>
                <w:szCs w:val="24"/>
              </w:rPr>
              <w:t>96</w:t>
            </w:r>
            <w:r w:rsidR="001463C8">
              <w:rPr>
                <w:rFonts w:ascii="Times New Roman" w:hAnsi="Times New Roman"/>
                <w:color w:val="000000"/>
                <w:sz w:val="24"/>
                <w:szCs w:val="24"/>
              </w:rPr>
              <w:t>,0</w:t>
            </w:r>
          </w:p>
        </w:tc>
      </w:tr>
      <w:tr w:rsidR="00E16DD0" w:rsidRPr="00375059" w14:paraId="63E73F38" w14:textId="77777777" w:rsidTr="00452B82">
        <w:trPr>
          <w:trHeight w:val="315"/>
          <w:jc w:val="center"/>
        </w:trPr>
        <w:tc>
          <w:tcPr>
            <w:tcW w:w="1666" w:type="pct"/>
            <w:tcBorders>
              <w:top w:val="nil"/>
              <w:left w:val="single" w:sz="4" w:space="0" w:color="auto"/>
              <w:bottom w:val="single" w:sz="4" w:space="0" w:color="auto"/>
              <w:right w:val="single" w:sz="4" w:space="0" w:color="auto"/>
            </w:tcBorders>
            <w:shd w:val="clear" w:color="auto" w:fill="auto"/>
            <w:noWrap/>
            <w:vAlign w:val="bottom"/>
            <w:hideMark/>
          </w:tcPr>
          <w:p w14:paraId="1C2FD13E" w14:textId="77777777" w:rsidR="00E16DD0" w:rsidRPr="00375059" w:rsidRDefault="00E16DD0" w:rsidP="004E7A46">
            <w:pPr>
              <w:spacing w:after="0" w:line="240" w:lineRule="auto"/>
              <w:rPr>
                <w:rFonts w:ascii="Times New Roman" w:hAnsi="Times New Roman"/>
                <w:b/>
                <w:bCs/>
                <w:color w:val="000000"/>
                <w:sz w:val="24"/>
                <w:szCs w:val="24"/>
              </w:rPr>
            </w:pPr>
            <w:r w:rsidRPr="00375059">
              <w:rPr>
                <w:rFonts w:ascii="Times New Roman" w:hAnsi="Times New Roman"/>
                <w:b/>
                <w:bCs/>
                <w:color w:val="000000"/>
                <w:sz w:val="24"/>
                <w:szCs w:val="24"/>
              </w:rPr>
              <w:t>ИТОГО</w:t>
            </w:r>
          </w:p>
        </w:tc>
        <w:tc>
          <w:tcPr>
            <w:tcW w:w="758" w:type="pct"/>
            <w:tcBorders>
              <w:top w:val="nil"/>
              <w:left w:val="nil"/>
              <w:bottom w:val="single" w:sz="4" w:space="0" w:color="auto"/>
              <w:right w:val="single" w:sz="4" w:space="0" w:color="auto"/>
            </w:tcBorders>
            <w:shd w:val="clear" w:color="auto" w:fill="auto"/>
            <w:noWrap/>
            <w:vAlign w:val="center"/>
            <w:hideMark/>
          </w:tcPr>
          <w:p w14:paraId="717AFC9B" w14:textId="77777777" w:rsidR="00E16DD0" w:rsidRPr="00375059" w:rsidRDefault="00E16DD0" w:rsidP="00452B82">
            <w:pPr>
              <w:spacing w:after="0" w:line="240" w:lineRule="auto"/>
              <w:jc w:val="right"/>
              <w:rPr>
                <w:rFonts w:ascii="Times New Roman" w:hAnsi="Times New Roman"/>
                <w:b/>
                <w:bCs/>
                <w:color w:val="000000"/>
                <w:sz w:val="24"/>
                <w:szCs w:val="24"/>
              </w:rPr>
            </w:pPr>
            <w:r w:rsidRPr="00375059">
              <w:rPr>
                <w:rFonts w:ascii="Times New Roman" w:hAnsi="Times New Roman"/>
                <w:b/>
                <w:bCs/>
                <w:color w:val="000000"/>
                <w:sz w:val="24"/>
                <w:szCs w:val="24"/>
              </w:rPr>
              <w:t>16 666,1</w:t>
            </w:r>
          </w:p>
        </w:tc>
        <w:tc>
          <w:tcPr>
            <w:tcW w:w="683" w:type="pct"/>
            <w:tcBorders>
              <w:top w:val="nil"/>
              <w:left w:val="nil"/>
              <w:bottom w:val="single" w:sz="4" w:space="0" w:color="auto"/>
              <w:right w:val="single" w:sz="4" w:space="0" w:color="auto"/>
            </w:tcBorders>
            <w:shd w:val="clear" w:color="auto" w:fill="auto"/>
            <w:noWrap/>
            <w:vAlign w:val="center"/>
            <w:hideMark/>
          </w:tcPr>
          <w:p w14:paraId="1639B248" w14:textId="77777777" w:rsidR="00E16DD0" w:rsidRPr="00375059" w:rsidRDefault="00E16DD0" w:rsidP="00452B82">
            <w:pPr>
              <w:spacing w:after="0" w:line="240" w:lineRule="auto"/>
              <w:jc w:val="right"/>
              <w:rPr>
                <w:rFonts w:ascii="Times New Roman" w:hAnsi="Times New Roman"/>
                <w:b/>
                <w:bCs/>
                <w:color w:val="000000"/>
                <w:sz w:val="24"/>
                <w:szCs w:val="24"/>
              </w:rPr>
            </w:pPr>
            <w:r w:rsidRPr="00375059">
              <w:rPr>
                <w:rFonts w:ascii="Times New Roman" w:hAnsi="Times New Roman"/>
                <w:b/>
                <w:bCs/>
                <w:color w:val="000000"/>
                <w:sz w:val="24"/>
                <w:szCs w:val="24"/>
              </w:rPr>
              <w:t>136,8</w:t>
            </w:r>
          </w:p>
        </w:tc>
        <w:tc>
          <w:tcPr>
            <w:tcW w:w="683" w:type="pct"/>
            <w:tcBorders>
              <w:top w:val="nil"/>
              <w:left w:val="nil"/>
              <w:bottom w:val="single" w:sz="4" w:space="0" w:color="auto"/>
              <w:right w:val="single" w:sz="4" w:space="0" w:color="auto"/>
            </w:tcBorders>
            <w:shd w:val="clear" w:color="auto" w:fill="auto"/>
            <w:noWrap/>
            <w:vAlign w:val="center"/>
            <w:hideMark/>
          </w:tcPr>
          <w:p w14:paraId="3E794441" w14:textId="77777777" w:rsidR="00E16DD0" w:rsidRPr="00375059" w:rsidRDefault="00E16DD0" w:rsidP="00452B82">
            <w:pPr>
              <w:spacing w:after="0" w:line="240" w:lineRule="auto"/>
              <w:jc w:val="right"/>
              <w:rPr>
                <w:rFonts w:ascii="Times New Roman" w:hAnsi="Times New Roman"/>
                <w:b/>
                <w:bCs/>
                <w:color w:val="000000"/>
                <w:sz w:val="24"/>
                <w:szCs w:val="24"/>
              </w:rPr>
            </w:pPr>
            <w:r w:rsidRPr="00375059">
              <w:rPr>
                <w:rFonts w:ascii="Times New Roman" w:hAnsi="Times New Roman"/>
                <w:b/>
                <w:bCs/>
                <w:color w:val="000000"/>
                <w:sz w:val="24"/>
                <w:szCs w:val="24"/>
              </w:rPr>
              <w:t>100,0</w:t>
            </w:r>
          </w:p>
        </w:tc>
        <w:tc>
          <w:tcPr>
            <w:tcW w:w="606" w:type="pct"/>
            <w:tcBorders>
              <w:top w:val="nil"/>
              <w:left w:val="nil"/>
              <w:bottom w:val="single" w:sz="4" w:space="0" w:color="auto"/>
              <w:right w:val="single" w:sz="4" w:space="0" w:color="auto"/>
            </w:tcBorders>
            <w:shd w:val="clear" w:color="auto" w:fill="auto"/>
            <w:noWrap/>
            <w:vAlign w:val="center"/>
            <w:hideMark/>
          </w:tcPr>
          <w:p w14:paraId="4D3C521F" w14:textId="77777777" w:rsidR="00E16DD0" w:rsidRPr="00375059" w:rsidRDefault="00E16DD0" w:rsidP="00452B82">
            <w:pPr>
              <w:spacing w:after="0" w:line="240" w:lineRule="auto"/>
              <w:jc w:val="right"/>
              <w:rPr>
                <w:rFonts w:ascii="Times New Roman" w:hAnsi="Times New Roman"/>
                <w:b/>
                <w:bCs/>
                <w:color w:val="000000"/>
                <w:sz w:val="24"/>
                <w:szCs w:val="24"/>
              </w:rPr>
            </w:pPr>
            <w:r w:rsidRPr="00375059">
              <w:rPr>
                <w:rFonts w:ascii="Times New Roman" w:hAnsi="Times New Roman"/>
                <w:b/>
                <w:bCs/>
                <w:color w:val="000000"/>
                <w:sz w:val="24"/>
                <w:szCs w:val="24"/>
              </w:rPr>
              <w:t>16 597,4</w:t>
            </w:r>
          </w:p>
        </w:tc>
        <w:tc>
          <w:tcPr>
            <w:tcW w:w="604" w:type="pct"/>
            <w:tcBorders>
              <w:top w:val="nil"/>
              <w:left w:val="nil"/>
              <w:bottom w:val="single" w:sz="4" w:space="0" w:color="auto"/>
              <w:right w:val="single" w:sz="4" w:space="0" w:color="auto"/>
            </w:tcBorders>
            <w:shd w:val="clear" w:color="auto" w:fill="auto"/>
            <w:noWrap/>
            <w:vAlign w:val="center"/>
            <w:hideMark/>
          </w:tcPr>
          <w:p w14:paraId="1E27474E" w14:textId="77777777" w:rsidR="00E16DD0" w:rsidRPr="00375059" w:rsidRDefault="00E16DD0" w:rsidP="00452B82">
            <w:pPr>
              <w:spacing w:after="0" w:line="240" w:lineRule="auto"/>
              <w:jc w:val="right"/>
              <w:rPr>
                <w:rFonts w:ascii="Times New Roman" w:hAnsi="Times New Roman"/>
                <w:b/>
                <w:bCs/>
                <w:color w:val="000000"/>
                <w:sz w:val="24"/>
                <w:szCs w:val="24"/>
              </w:rPr>
            </w:pPr>
            <w:r w:rsidRPr="00375059">
              <w:rPr>
                <w:rFonts w:ascii="Times New Roman" w:hAnsi="Times New Roman"/>
                <w:b/>
                <w:bCs/>
                <w:color w:val="000000"/>
                <w:sz w:val="24"/>
                <w:szCs w:val="24"/>
              </w:rPr>
              <w:t>137,5</w:t>
            </w:r>
          </w:p>
        </w:tc>
      </w:tr>
    </w:tbl>
    <w:p w14:paraId="397136EA" w14:textId="77777777" w:rsidR="00E16DD0" w:rsidRPr="00375059" w:rsidRDefault="00E16DD0" w:rsidP="00E16DD0">
      <w:pPr>
        <w:rPr>
          <w:rFonts w:ascii="Times New Roman" w:hAnsi="Times New Roman"/>
        </w:rPr>
      </w:pPr>
    </w:p>
    <w:p w14:paraId="794A5B58" w14:textId="76E160EF" w:rsidR="00E16DD0" w:rsidRPr="00375059" w:rsidRDefault="00E16DD0">
      <w:pPr>
        <w:spacing w:after="160" w:line="259" w:lineRule="auto"/>
        <w:rPr>
          <w:rFonts w:ascii="Times New Roman" w:hAnsi="Times New Roman"/>
        </w:rPr>
      </w:pPr>
    </w:p>
    <w:p w14:paraId="50EFA2DA" w14:textId="17964D80" w:rsidR="005A3669" w:rsidRDefault="005A3669">
      <w:pPr>
        <w:spacing w:after="160" w:line="259" w:lineRule="auto"/>
        <w:rPr>
          <w:rFonts w:ascii="Times New Roman" w:hAnsi="Times New Roman"/>
        </w:rPr>
      </w:pPr>
      <w:r>
        <w:rPr>
          <w:rFonts w:ascii="Times New Roman" w:hAnsi="Times New Roman"/>
        </w:rPr>
        <w:br w:type="page"/>
      </w:r>
    </w:p>
    <w:p w14:paraId="22069D4F" w14:textId="16F5DBB8" w:rsidR="005A3669" w:rsidRPr="00BF5787" w:rsidRDefault="005A3669" w:rsidP="00BF5787">
      <w:pPr>
        <w:keepNext/>
        <w:keepLines/>
        <w:spacing w:after="0" w:line="360" w:lineRule="auto"/>
        <w:ind w:firstLine="567"/>
        <w:jc w:val="right"/>
        <w:outlineLvl w:val="1"/>
        <w:rPr>
          <w:rFonts w:ascii="Times New Roman" w:hAnsi="Times New Roman"/>
          <w:b/>
          <w:sz w:val="28"/>
          <w:szCs w:val="26"/>
        </w:rPr>
      </w:pPr>
      <w:bookmarkStart w:id="59" w:name="_Toc82074362"/>
      <w:bookmarkStart w:id="60" w:name="_Toc101441797"/>
      <w:r w:rsidRPr="00BF5787">
        <w:rPr>
          <w:rFonts w:ascii="Times New Roman" w:hAnsi="Times New Roman"/>
          <w:b/>
          <w:sz w:val="28"/>
          <w:szCs w:val="26"/>
        </w:rPr>
        <w:lastRenderedPageBreak/>
        <w:t>Приложение 3</w:t>
      </w:r>
      <w:bookmarkEnd w:id="59"/>
      <w:bookmarkEnd w:id="60"/>
    </w:p>
    <w:p w14:paraId="72CD92DF" w14:textId="77777777" w:rsidR="005A3669" w:rsidRPr="00BF5787" w:rsidRDefault="005A3669" w:rsidP="00BF5787">
      <w:pPr>
        <w:spacing w:after="0" w:line="240" w:lineRule="auto"/>
        <w:jc w:val="center"/>
        <w:rPr>
          <w:rFonts w:ascii="Times New Roman" w:hAnsi="Times New Roman"/>
          <w:b/>
          <w:sz w:val="28"/>
        </w:rPr>
      </w:pPr>
      <w:bookmarkStart w:id="61" w:name="_Toc82074363"/>
      <w:r w:rsidRPr="008F71F6">
        <w:rPr>
          <w:rFonts w:ascii="Times New Roman" w:hAnsi="Times New Roman"/>
          <w:b/>
          <w:sz w:val="28"/>
        </w:rPr>
        <w:t>Основные показатели развития малого предпринимательства</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1054"/>
        <w:gridCol w:w="1381"/>
        <w:gridCol w:w="1389"/>
        <w:gridCol w:w="822"/>
      </w:tblGrid>
      <w:tr w:rsidR="005A3669" w:rsidRPr="005A178C" w14:paraId="5CCAA5C2" w14:textId="77777777" w:rsidTr="001336DB">
        <w:trPr>
          <w:trHeight w:val="775"/>
        </w:trPr>
        <w:tc>
          <w:tcPr>
            <w:tcW w:w="2513" w:type="pct"/>
            <w:shd w:val="clear" w:color="auto" w:fill="D9D9D9" w:themeFill="background1" w:themeFillShade="D9"/>
            <w:vAlign w:val="center"/>
            <w:hideMark/>
          </w:tcPr>
          <w:p w14:paraId="53887789" w14:textId="06F58EFA" w:rsidR="005A3669" w:rsidRPr="00151B7A" w:rsidRDefault="005A3669" w:rsidP="00BE48CC">
            <w:pPr>
              <w:widowControl w:val="0"/>
              <w:spacing w:after="0" w:line="240" w:lineRule="auto"/>
              <w:jc w:val="center"/>
              <w:rPr>
                <w:rFonts w:ascii="Times New Roman" w:hAnsi="Times New Roman"/>
                <w:b/>
                <w:bCs/>
                <w:color w:val="000000"/>
                <w:sz w:val="24"/>
                <w:szCs w:val="24"/>
              </w:rPr>
            </w:pPr>
            <w:r w:rsidRPr="00151B7A">
              <w:rPr>
                <w:rFonts w:ascii="Times New Roman" w:hAnsi="Times New Roman"/>
                <w:b/>
                <w:bCs/>
                <w:color w:val="000000"/>
                <w:sz w:val="24"/>
                <w:szCs w:val="24"/>
              </w:rPr>
              <w:t>Показател</w:t>
            </w:r>
            <w:r>
              <w:rPr>
                <w:rFonts w:ascii="Times New Roman" w:hAnsi="Times New Roman"/>
                <w:b/>
                <w:bCs/>
                <w:color w:val="000000"/>
                <w:sz w:val="24"/>
                <w:szCs w:val="24"/>
              </w:rPr>
              <w:t>ь</w:t>
            </w:r>
          </w:p>
        </w:tc>
        <w:tc>
          <w:tcPr>
            <w:tcW w:w="564" w:type="pct"/>
            <w:shd w:val="clear" w:color="auto" w:fill="D9D9D9" w:themeFill="background1" w:themeFillShade="D9"/>
            <w:vAlign w:val="center"/>
            <w:hideMark/>
          </w:tcPr>
          <w:p w14:paraId="355EACCB" w14:textId="77777777" w:rsidR="005A3669" w:rsidRPr="00151B7A" w:rsidRDefault="005A3669" w:rsidP="00BE48CC">
            <w:pPr>
              <w:widowControl w:val="0"/>
              <w:spacing w:after="0" w:line="240" w:lineRule="auto"/>
              <w:ind w:left="-113" w:right="-113"/>
              <w:jc w:val="center"/>
              <w:rPr>
                <w:rFonts w:ascii="Times New Roman" w:hAnsi="Times New Roman"/>
                <w:b/>
                <w:bCs/>
                <w:color w:val="000000"/>
                <w:sz w:val="24"/>
                <w:szCs w:val="24"/>
              </w:rPr>
            </w:pPr>
            <w:r w:rsidRPr="00151B7A">
              <w:rPr>
                <w:rFonts w:ascii="Times New Roman" w:hAnsi="Times New Roman"/>
                <w:b/>
                <w:bCs/>
                <w:color w:val="000000"/>
                <w:sz w:val="24"/>
                <w:szCs w:val="24"/>
              </w:rPr>
              <w:t>ед. изм.</w:t>
            </w:r>
          </w:p>
        </w:tc>
        <w:tc>
          <w:tcPr>
            <w:tcW w:w="739" w:type="pct"/>
            <w:shd w:val="clear" w:color="auto" w:fill="D9D9D9" w:themeFill="background1" w:themeFillShade="D9"/>
            <w:vAlign w:val="center"/>
            <w:hideMark/>
          </w:tcPr>
          <w:p w14:paraId="0C17C26A" w14:textId="77777777" w:rsidR="005A3669" w:rsidRPr="00DF3D8E" w:rsidRDefault="005A3669" w:rsidP="00BE48CC">
            <w:pPr>
              <w:widowControl w:val="0"/>
              <w:spacing w:after="0"/>
              <w:ind w:left="-198" w:right="-102"/>
              <w:jc w:val="center"/>
              <w:rPr>
                <w:rFonts w:ascii="Times New Roman" w:hAnsi="Times New Roman"/>
                <w:b/>
                <w:bCs/>
                <w:color w:val="000000"/>
                <w:sz w:val="24"/>
                <w:szCs w:val="24"/>
              </w:rPr>
            </w:pPr>
            <w:r w:rsidRPr="00DF3D8E">
              <w:rPr>
                <w:rFonts w:ascii="Times New Roman" w:hAnsi="Times New Roman"/>
                <w:b/>
                <w:bCs/>
                <w:color w:val="000000"/>
                <w:sz w:val="24"/>
                <w:szCs w:val="24"/>
              </w:rPr>
              <w:t>2020 год</w:t>
            </w:r>
          </w:p>
        </w:tc>
        <w:tc>
          <w:tcPr>
            <w:tcW w:w="743" w:type="pct"/>
            <w:shd w:val="clear" w:color="auto" w:fill="D9D9D9" w:themeFill="background1" w:themeFillShade="D9"/>
            <w:vAlign w:val="center"/>
          </w:tcPr>
          <w:p w14:paraId="068A07BF" w14:textId="77777777" w:rsidR="005A3669" w:rsidRPr="00DF3D8E" w:rsidRDefault="005A3669" w:rsidP="00BE48CC">
            <w:pPr>
              <w:widowControl w:val="0"/>
              <w:spacing w:after="0"/>
              <w:ind w:left="-197" w:right="-102"/>
              <w:jc w:val="center"/>
              <w:rPr>
                <w:rFonts w:ascii="Times New Roman" w:hAnsi="Times New Roman"/>
                <w:b/>
                <w:bCs/>
                <w:color w:val="000000"/>
                <w:sz w:val="24"/>
                <w:szCs w:val="24"/>
              </w:rPr>
            </w:pPr>
            <w:r w:rsidRPr="00DF3D8E">
              <w:rPr>
                <w:rFonts w:ascii="Times New Roman" w:hAnsi="Times New Roman"/>
                <w:b/>
                <w:bCs/>
                <w:color w:val="000000"/>
                <w:sz w:val="24"/>
                <w:szCs w:val="24"/>
              </w:rPr>
              <w:t>2021 год</w:t>
            </w:r>
          </w:p>
        </w:tc>
        <w:tc>
          <w:tcPr>
            <w:tcW w:w="440" w:type="pct"/>
            <w:shd w:val="clear" w:color="auto" w:fill="D9D9D9" w:themeFill="background1" w:themeFillShade="D9"/>
            <w:vAlign w:val="center"/>
            <w:hideMark/>
          </w:tcPr>
          <w:p w14:paraId="7857D671" w14:textId="02C31312" w:rsidR="005A3669" w:rsidRPr="005A178C" w:rsidRDefault="005A3669" w:rsidP="00BE48CC">
            <w:pPr>
              <w:widowControl w:val="0"/>
              <w:spacing w:after="0" w:line="240" w:lineRule="auto"/>
              <w:ind w:left="-84" w:right="-108"/>
              <w:jc w:val="center"/>
              <w:rPr>
                <w:rFonts w:ascii="Times New Roman" w:hAnsi="Times New Roman"/>
                <w:b/>
                <w:bCs/>
                <w:color w:val="000000"/>
                <w:sz w:val="24"/>
                <w:szCs w:val="24"/>
                <w:highlight w:val="yellow"/>
              </w:rPr>
            </w:pPr>
            <w:r w:rsidRPr="00477F2C">
              <w:rPr>
                <w:rFonts w:ascii="Times New Roman" w:hAnsi="Times New Roman"/>
                <w:b/>
                <w:bCs/>
                <w:color w:val="000000"/>
                <w:sz w:val="24"/>
                <w:szCs w:val="24"/>
              </w:rPr>
              <w:t xml:space="preserve">Темп роста </w:t>
            </w:r>
            <w:r w:rsidRPr="00477F2C">
              <w:rPr>
                <w:rFonts w:ascii="Times New Roman" w:hAnsi="Times New Roman"/>
                <w:b/>
                <w:bCs/>
                <w:color w:val="000000"/>
                <w:sz w:val="24"/>
                <w:szCs w:val="24"/>
              </w:rPr>
              <w:br/>
              <w:t>к 2020 году, %</w:t>
            </w:r>
          </w:p>
        </w:tc>
      </w:tr>
      <w:tr w:rsidR="005A3669" w:rsidRPr="005A178C" w14:paraId="6B72F70D" w14:textId="77777777" w:rsidTr="001336DB">
        <w:trPr>
          <w:trHeight w:val="303"/>
        </w:trPr>
        <w:tc>
          <w:tcPr>
            <w:tcW w:w="2513" w:type="pct"/>
            <w:hideMark/>
          </w:tcPr>
          <w:p w14:paraId="6545F54A" w14:textId="77777777" w:rsidR="005A3669" w:rsidRPr="00151B7A" w:rsidRDefault="005A3669" w:rsidP="00BE48CC">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Количество отчитавшихся предприятий</w:t>
            </w:r>
          </w:p>
        </w:tc>
        <w:tc>
          <w:tcPr>
            <w:tcW w:w="564" w:type="pct"/>
            <w:vAlign w:val="center"/>
            <w:hideMark/>
          </w:tcPr>
          <w:p w14:paraId="47E014B7"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ед.</w:t>
            </w:r>
          </w:p>
        </w:tc>
        <w:tc>
          <w:tcPr>
            <w:tcW w:w="739" w:type="pct"/>
            <w:vAlign w:val="bottom"/>
            <w:hideMark/>
          </w:tcPr>
          <w:p w14:paraId="7A877B7B"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243AFE">
              <w:rPr>
                <w:rFonts w:ascii="Times New Roman" w:hAnsi="Times New Roman"/>
                <w:color w:val="000000"/>
                <w:sz w:val="24"/>
                <w:szCs w:val="24"/>
              </w:rPr>
              <w:t xml:space="preserve">3 </w:t>
            </w:r>
            <w:r>
              <w:rPr>
                <w:rFonts w:ascii="Times New Roman" w:hAnsi="Times New Roman"/>
                <w:color w:val="000000"/>
                <w:sz w:val="24"/>
                <w:szCs w:val="24"/>
              </w:rPr>
              <w:t>924</w:t>
            </w:r>
          </w:p>
        </w:tc>
        <w:tc>
          <w:tcPr>
            <w:tcW w:w="743" w:type="pct"/>
            <w:vAlign w:val="bottom"/>
            <w:hideMark/>
          </w:tcPr>
          <w:p w14:paraId="3A991711"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243AFE">
              <w:rPr>
                <w:rFonts w:ascii="Times New Roman" w:hAnsi="Times New Roman"/>
                <w:color w:val="000000"/>
                <w:sz w:val="24"/>
                <w:szCs w:val="24"/>
              </w:rPr>
              <w:t xml:space="preserve">3 </w:t>
            </w:r>
            <w:r>
              <w:rPr>
                <w:rFonts w:ascii="Times New Roman" w:hAnsi="Times New Roman"/>
                <w:color w:val="000000"/>
                <w:sz w:val="24"/>
                <w:szCs w:val="24"/>
              </w:rPr>
              <w:t>857</w:t>
            </w:r>
          </w:p>
        </w:tc>
        <w:tc>
          <w:tcPr>
            <w:tcW w:w="440" w:type="pct"/>
            <w:shd w:val="clear" w:color="auto" w:fill="auto"/>
            <w:vAlign w:val="bottom"/>
          </w:tcPr>
          <w:p w14:paraId="1E16CAE8"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98,3</w:t>
            </w:r>
          </w:p>
        </w:tc>
      </w:tr>
      <w:tr w:rsidR="005A3669" w:rsidRPr="005A178C" w14:paraId="38143FF4" w14:textId="77777777" w:rsidTr="001336DB">
        <w:trPr>
          <w:trHeight w:val="262"/>
        </w:trPr>
        <w:tc>
          <w:tcPr>
            <w:tcW w:w="2513" w:type="pct"/>
            <w:hideMark/>
          </w:tcPr>
          <w:p w14:paraId="347CA695" w14:textId="77777777" w:rsidR="005A3669" w:rsidRPr="00151B7A" w:rsidRDefault="005A3669" w:rsidP="00BE48CC">
            <w:pPr>
              <w:widowControl w:val="0"/>
              <w:spacing w:after="0" w:line="240" w:lineRule="auto"/>
              <w:ind w:right="-108"/>
              <w:rPr>
                <w:rFonts w:ascii="Times New Roman" w:hAnsi="Times New Roman"/>
                <w:color w:val="000000"/>
                <w:sz w:val="24"/>
                <w:szCs w:val="24"/>
              </w:rPr>
            </w:pPr>
            <w:r w:rsidRPr="00151B7A">
              <w:rPr>
                <w:rFonts w:ascii="Times New Roman" w:hAnsi="Times New Roman"/>
                <w:sz w:val="24"/>
                <w:szCs w:val="24"/>
              </w:rPr>
              <w:t>Средняя численность работников (включая внешних совместителей и работающих по договорам гражданско-правового характера)</w:t>
            </w:r>
          </w:p>
        </w:tc>
        <w:tc>
          <w:tcPr>
            <w:tcW w:w="564" w:type="pct"/>
            <w:vAlign w:val="center"/>
            <w:hideMark/>
          </w:tcPr>
          <w:p w14:paraId="2D0F7B85"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чел.</w:t>
            </w:r>
          </w:p>
        </w:tc>
        <w:tc>
          <w:tcPr>
            <w:tcW w:w="739" w:type="pct"/>
            <w:vAlign w:val="bottom"/>
            <w:hideMark/>
          </w:tcPr>
          <w:p w14:paraId="46026B8B"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243AFE">
              <w:rPr>
                <w:rFonts w:ascii="Times New Roman" w:hAnsi="Times New Roman"/>
                <w:color w:val="000000"/>
                <w:sz w:val="24"/>
                <w:szCs w:val="24"/>
              </w:rPr>
              <w:t>1</w:t>
            </w:r>
            <w:r>
              <w:rPr>
                <w:rFonts w:ascii="Times New Roman" w:hAnsi="Times New Roman"/>
                <w:color w:val="000000"/>
                <w:sz w:val="24"/>
                <w:szCs w:val="24"/>
              </w:rPr>
              <w:t>9</w:t>
            </w:r>
            <w:r w:rsidRPr="00243AFE">
              <w:rPr>
                <w:rFonts w:ascii="Times New Roman" w:hAnsi="Times New Roman"/>
                <w:color w:val="000000"/>
                <w:sz w:val="24"/>
                <w:szCs w:val="24"/>
              </w:rPr>
              <w:t xml:space="preserve"> 9</w:t>
            </w:r>
            <w:r>
              <w:rPr>
                <w:rFonts w:ascii="Times New Roman" w:hAnsi="Times New Roman"/>
                <w:color w:val="000000"/>
                <w:sz w:val="24"/>
                <w:szCs w:val="24"/>
              </w:rPr>
              <w:t>18</w:t>
            </w:r>
          </w:p>
        </w:tc>
        <w:tc>
          <w:tcPr>
            <w:tcW w:w="743" w:type="pct"/>
            <w:vAlign w:val="bottom"/>
            <w:hideMark/>
          </w:tcPr>
          <w:p w14:paraId="65E47F3F"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Pr>
                <w:rFonts w:ascii="Times New Roman" w:hAnsi="Times New Roman"/>
                <w:color w:val="000000"/>
                <w:sz w:val="24"/>
                <w:szCs w:val="24"/>
              </w:rPr>
              <w:t>20</w:t>
            </w:r>
            <w:r w:rsidRPr="00243AFE">
              <w:rPr>
                <w:rFonts w:ascii="Times New Roman" w:hAnsi="Times New Roman"/>
                <w:color w:val="000000"/>
                <w:sz w:val="24"/>
                <w:szCs w:val="24"/>
              </w:rPr>
              <w:t xml:space="preserve"> </w:t>
            </w:r>
            <w:r>
              <w:rPr>
                <w:rFonts w:ascii="Times New Roman" w:hAnsi="Times New Roman"/>
                <w:color w:val="000000"/>
                <w:sz w:val="24"/>
                <w:szCs w:val="24"/>
              </w:rPr>
              <w:t>209</w:t>
            </w:r>
          </w:p>
        </w:tc>
        <w:tc>
          <w:tcPr>
            <w:tcW w:w="440" w:type="pct"/>
            <w:shd w:val="clear" w:color="auto" w:fill="auto"/>
            <w:vAlign w:val="bottom"/>
          </w:tcPr>
          <w:p w14:paraId="09F2863B"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101,5</w:t>
            </w:r>
          </w:p>
        </w:tc>
      </w:tr>
      <w:tr w:rsidR="005A3669" w:rsidRPr="005A178C" w14:paraId="0601C5BA" w14:textId="77777777" w:rsidTr="001336DB">
        <w:trPr>
          <w:trHeight w:val="272"/>
        </w:trPr>
        <w:tc>
          <w:tcPr>
            <w:tcW w:w="2513" w:type="pct"/>
            <w:hideMark/>
          </w:tcPr>
          <w:p w14:paraId="7BE64828" w14:textId="77777777" w:rsidR="005A3669" w:rsidRPr="00151B7A" w:rsidRDefault="005A3669" w:rsidP="00BE48CC">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Фонд начисленной заработной платы</w:t>
            </w:r>
          </w:p>
        </w:tc>
        <w:tc>
          <w:tcPr>
            <w:tcW w:w="564" w:type="pct"/>
            <w:vAlign w:val="center"/>
            <w:hideMark/>
          </w:tcPr>
          <w:p w14:paraId="4C6B228A"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center"/>
            <w:hideMark/>
          </w:tcPr>
          <w:p w14:paraId="4518D349"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603 397,6</w:t>
            </w:r>
          </w:p>
        </w:tc>
        <w:tc>
          <w:tcPr>
            <w:tcW w:w="743" w:type="pct"/>
            <w:vAlign w:val="center"/>
            <w:hideMark/>
          </w:tcPr>
          <w:p w14:paraId="646E787A"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695 248,9</w:t>
            </w:r>
          </w:p>
        </w:tc>
        <w:tc>
          <w:tcPr>
            <w:tcW w:w="440" w:type="pct"/>
            <w:shd w:val="clear" w:color="auto" w:fill="auto"/>
            <w:vAlign w:val="bottom"/>
            <w:hideMark/>
          </w:tcPr>
          <w:p w14:paraId="7D10BBCE"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115,2</w:t>
            </w:r>
          </w:p>
        </w:tc>
      </w:tr>
      <w:tr w:rsidR="005A3669" w:rsidRPr="005A178C" w14:paraId="4CE15FF8" w14:textId="77777777" w:rsidTr="001336DB">
        <w:trPr>
          <w:trHeight w:val="426"/>
        </w:trPr>
        <w:tc>
          <w:tcPr>
            <w:tcW w:w="2513" w:type="pct"/>
            <w:hideMark/>
          </w:tcPr>
          <w:p w14:paraId="0D0B15AA" w14:textId="77777777" w:rsidR="005A3669" w:rsidRPr="00151B7A" w:rsidRDefault="005A3669" w:rsidP="00BE48CC">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Среднемесячная номинальная начисленная заработная плата одного работника</w:t>
            </w:r>
          </w:p>
        </w:tc>
        <w:tc>
          <w:tcPr>
            <w:tcW w:w="564" w:type="pct"/>
            <w:vAlign w:val="center"/>
            <w:hideMark/>
          </w:tcPr>
          <w:p w14:paraId="7D4ACADC"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руб.</w:t>
            </w:r>
          </w:p>
        </w:tc>
        <w:tc>
          <w:tcPr>
            <w:tcW w:w="739" w:type="pct"/>
            <w:vAlign w:val="bottom"/>
            <w:hideMark/>
          </w:tcPr>
          <w:p w14:paraId="39554B4A"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4 234,4</w:t>
            </w:r>
          </w:p>
        </w:tc>
        <w:tc>
          <w:tcPr>
            <w:tcW w:w="743" w:type="pct"/>
            <w:vAlign w:val="bottom"/>
            <w:hideMark/>
          </w:tcPr>
          <w:p w14:paraId="183628FB"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4 599,3</w:t>
            </w:r>
          </w:p>
        </w:tc>
        <w:tc>
          <w:tcPr>
            <w:tcW w:w="440" w:type="pct"/>
            <w:shd w:val="clear" w:color="auto" w:fill="auto"/>
            <w:vAlign w:val="bottom"/>
            <w:hideMark/>
          </w:tcPr>
          <w:p w14:paraId="70CEE984"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108,6</w:t>
            </w:r>
          </w:p>
        </w:tc>
      </w:tr>
      <w:tr w:rsidR="005A3669" w:rsidRPr="005A178C" w14:paraId="1D0FB906" w14:textId="77777777" w:rsidTr="001336DB">
        <w:trPr>
          <w:trHeight w:val="283"/>
        </w:trPr>
        <w:tc>
          <w:tcPr>
            <w:tcW w:w="2513" w:type="pct"/>
            <w:hideMark/>
          </w:tcPr>
          <w:p w14:paraId="7D2B8009" w14:textId="77777777" w:rsidR="005A3669" w:rsidRPr="00151B7A" w:rsidRDefault="005A3669" w:rsidP="00BE48CC">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Доход от продаж (выручка)</w:t>
            </w:r>
          </w:p>
        </w:tc>
        <w:tc>
          <w:tcPr>
            <w:tcW w:w="564" w:type="pct"/>
            <w:vAlign w:val="center"/>
            <w:hideMark/>
          </w:tcPr>
          <w:p w14:paraId="08DBDC66"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hideMark/>
          </w:tcPr>
          <w:p w14:paraId="75A2E3BB"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5 144 376,9</w:t>
            </w:r>
          </w:p>
        </w:tc>
        <w:tc>
          <w:tcPr>
            <w:tcW w:w="743" w:type="pct"/>
            <w:vAlign w:val="bottom"/>
            <w:hideMark/>
          </w:tcPr>
          <w:p w14:paraId="0507835C"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6 924 243,1</w:t>
            </w:r>
          </w:p>
        </w:tc>
        <w:tc>
          <w:tcPr>
            <w:tcW w:w="440" w:type="pct"/>
            <w:shd w:val="clear" w:color="auto" w:fill="auto"/>
            <w:vAlign w:val="bottom"/>
          </w:tcPr>
          <w:p w14:paraId="0C470ECE"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134,6</w:t>
            </w:r>
          </w:p>
        </w:tc>
      </w:tr>
      <w:tr w:rsidR="005A3669" w:rsidRPr="005A178C" w14:paraId="23C49A3F" w14:textId="77777777" w:rsidTr="001336DB">
        <w:trPr>
          <w:trHeight w:val="283"/>
        </w:trPr>
        <w:tc>
          <w:tcPr>
            <w:tcW w:w="2513" w:type="pct"/>
            <w:hideMark/>
          </w:tcPr>
          <w:p w14:paraId="7F39D9E4"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из него по основным видам деятельности:</w:t>
            </w:r>
          </w:p>
        </w:tc>
        <w:tc>
          <w:tcPr>
            <w:tcW w:w="564" w:type="pct"/>
            <w:vAlign w:val="center"/>
          </w:tcPr>
          <w:p w14:paraId="6969014D"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p>
        </w:tc>
        <w:tc>
          <w:tcPr>
            <w:tcW w:w="739" w:type="pct"/>
            <w:vAlign w:val="bottom"/>
          </w:tcPr>
          <w:p w14:paraId="7C63E260"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651554">
              <w:rPr>
                <w:rFonts w:ascii="Times New Roman" w:hAnsi="Times New Roman"/>
                <w:color w:val="000000"/>
                <w:sz w:val="24"/>
                <w:szCs w:val="24"/>
              </w:rPr>
              <w:t> </w:t>
            </w:r>
          </w:p>
        </w:tc>
        <w:tc>
          <w:tcPr>
            <w:tcW w:w="743" w:type="pct"/>
            <w:vAlign w:val="bottom"/>
          </w:tcPr>
          <w:p w14:paraId="1EF0834C"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651554">
              <w:rPr>
                <w:rFonts w:ascii="Times New Roman" w:hAnsi="Times New Roman"/>
                <w:color w:val="000000"/>
                <w:sz w:val="24"/>
                <w:szCs w:val="24"/>
              </w:rPr>
              <w:t> </w:t>
            </w:r>
          </w:p>
        </w:tc>
        <w:tc>
          <w:tcPr>
            <w:tcW w:w="440" w:type="pct"/>
            <w:shd w:val="clear" w:color="auto" w:fill="auto"/>
            <w:vAlign w:val="bottom"/>
          </w:tcPr>
          <w:p w14:paraId="0BE9CF5B" w14:textId="77777777" w:rsidR="005A3669" w:rsidRPr="001B3540" w:rsidRDefault="005A3669" w:rsidP="00BE48CC">
            <w:pPr>
              <w:widowControl w:val="0"/>
              <w:spacing w:after="0" w:line="240" w:lineRule="auto"/>
              <w:ind w:left="-205" w:right="-18"/>
              <w:jc w:val="center"/>
              <w:rPr>
                <w:rFonts w:ascii="Times New Roman" w:hAnsi="Times New Roman"/>
                <w:color w:val="000000"/>
                <w:sz w:val="24"/>
                <w:szCs w:val="24"/>
                <w:highlight w:val="yellow"/>
              </w:rPr>
            </w:pPr>
          </w:p>
        </w:tc>
      </w:tr>
      <w:tr w:rsidR="005A3669" w:rsidRPr="005A178C" w14:paraId="31042925" w14:textId="77777777" w:rsidTr="001336DB">
        <w:trPr>
          <w:trHeight w:val="84"/>
        </w:trPr>
        <w:tc>
          <w:tcPr>
            <w:tcW w:w="2513" w:type="pct"/>
            <w:hideMark/>
          </w:tcPr>
          <w:p w14:paraId="485E219A"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промышленность</w:t>
            </w:r>
          </w:p>
        </w:tc>
        <w:tc>
          <w:tcPr>
            <w:tcW w:w="564" w:type="pct"/>
            <w:vAlign w:val="center"/>
            <w:hideMark/>
          </w:tcPr>
          <w:p w14:paraId="5E3BEC0E"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hideMark/>
          </w:tcPr>
          <w:p w14:paraId="3BDBD07E"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579 581,6</w:t>
            </w:r>
          </w:p>
        </w:tc>
        <w:tc>
          <w:tcPr>
            <w:tcW w:w="743" w:type="pct"/>
            <w:vAlign w:val="bottom"/>
          </w:tcPr>
          <w:p w14:paraId="7ADA51D4"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803 108,7</w:t>
            </w:r>
          </w:p>
        </w:tc>
        <w:tc>
          <w:tcPr>
            <w:tcW w:w="440" w:type="pct"/>
            <w:shd w:val="clear" w:color="auto" w:fill="auto"/>
            <w:vAlign w:val="bottom"/>
          </w:tcPr>
          <w:p w14:paraId="24822CFA"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138,6</w:t>
            </w:r>
          </w:p>
        </w:tc>
      </w:tr>
      <w:tr w:rsidR="005A3669" w:rsidRPr="005A178C" w14:paraId="0EE90B8A" w14:textId="77777777" w:rsidTr="001336DB">
        <w:trPr>
          <w:trHeight w:val="283"/>
        </w:trPr>
        <w:tc>
          <w:tcPr>
            <w:tcW w:w="2513" w:type="pct"/>
            <w:hideMark/>
          </w:tcPr>
          <w:p w14:paraId="07AB3E5F"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сельское хозяйство</w:t>
            </w:r>
          </w:p>
        </w:tc>
        <w:tc>
          <w:tcPr>
            <w:tcW w:w="564" w:type="pct"/>
            <w:vAlign w:val="center"/>
            <w:hideMark/>
          </w:tcPr>
          <w:p w14:paraId="4F847264"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tcPr>
          <w:p w14:paraId="272542CB"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603 483,6</w:t>
            </w:r>
          </w:p>
        </w:tc>
        <w:tc>
          <w:tcPr>
            <w:tcW w:w="743" w:type="pct"/>
          </w:tcPr>
          <w:p w14:paraId="5B801EC4"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1 114 595,9</w:t>
            </w:r>
          </w:p>
        </w:tc>
        <w:tc>
          <w:tcPr>
            <w:tcW w:w="440" w:type="pct"/>
            <w:shd w:val="clear" w:color="auto" w:fill="auto"/>
            <w:vAlign w:val="bottom"/>
          </w:tcPr>
          <w:p w14:paraId="5D2927CF"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184,7</w:t>
            </w:r>
          </w:p>
        </w:tc>
      </w:tr>
      <w:tr w:rsidR="005A3669" w:rsidRPr="005A178C" w14:paraId="458E2650" w14:textId="77777777" w:rsidTr="001336DB">
        <w:trPr>
          <w:trHeight w:val="283"/>
        </w:trPr>
        <w:tc>
          <w:tcPr>
            <w:tcW w:w="2513" w:type="pct"/>
            <w:hideMark/>
          </w:tcPr>
          <w:p w14:paraId="1D6C70B8"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транспорт</w:t>
            </w:r>
          </w:p>
        </w:tc>
        <w:tc>
          <w:tcPr>
            <w:tcW w:w="564" w:type="pct"/>
            <w:vAlign w:val="center"/>
            <w:hideMark/>
          </w:tcPr>
          <w:p w14:paraId="642D1689"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tcPr>
          <w:p w14:paraId="30C681DA"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81 555,3</w:t>
            </w:r>
          </w:p>
        </w:tc>
        <w:tc>
          <w:tcPr>
            <w:tcW w:w="743" w:type="pct"/>
          </w:tcPr>
          <w:p w14:paraId="4A705A3E"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104 501,7</w:t>
            </w:r>
          </w:p>
        </w:tc>
        <w:tc>
          <w:tcPr>
            <w:tcW w:w="440" w:type="pct"/>
            <w:shd w:val="clear" w:color="auto" w:fill="auto"/>
            <w:vAlign w:val="bottom"/>
          </w:tcPr>
          <w:p w14:paraId="5342D264"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128,1</w:t>
            </w:r>
          </w:p>
        </w:tc>
      </w:tr>
      <w:tr w:rsidR="005A3669" w:rsidRPr="005A178C" w14:paraId="5B1FF950" w14:textId="77777777" w:rsidTr="001336DB">
        <w:trPr>
          <w:trHeight w:val="283"/>
        </w:trPr>
        <w:tc>
          <w:tcPr>
            <w:tcW w:w="2513" w:type="pct"/>
            <w:hideMark/>
          </w:tcPr>
          <w:p w14:paraId="796098AF"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строительство</w:t>
            </w:r>
          </w:p>
        </w:tc>
        <w:tc>
          <w:tcPr>
            <w:tcW w:w="564" w:type="pct"/>
            <w:vAlign w:val="center"/>
            <w:hideMark/>
          </w:tcPr>
          <w:p w14:paraId="09CE78AC"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tcPr>
          <w:p w14:paraId="50F82524"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544 356,1</w:t>
            </w:r>
          </w:p>
        </w:tc>
        <w:tc>
          <w:tcPr>
            <w:tcW w:w="743" w:type="pct"/>
          </w:tcPr>
          <w:p w14:paraId="5AB5BAEE"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532 758,3</w:t>
            </w:r>
          </w:p>
        </w:tc>
        <w:tc>
          <w:tcPr>
            <w:tcW w:w="440" w:type="pct"/>
            <w:shd w:val="clear" w:color="auto" w:fill="auto"/>
            <w:vAlign w:val="bottom"/>
          </w:tcPr>
          <w:p w14:paraId="08D12909"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97,9</w:t>
            </w:r>
          </w:p>
        </w:tc>
      </w:tr>
      <w:tr w:rsidR="005A3669" w:rsidRPr="005A178C" w14:paraId="686043FA" w14:textId="77777777" w:rsidTr="001336DB">
        <w:trPr>
          <w:trHeight w:val="283"/>
        </w:trPr>
        <w:tc>
          <w:tcPr>
            <w:tcW w:w="2513" w:type="pct"/>
            <w:hideMark/>
          </w:tcPr>
          <w:p w14:paraId="74AC50FE"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торговля и общепит</w:t>
            </w:r>
          </w:p>
        </w:tc>
        <w:tc>
          <w:tcPr>
            <w:tcW w:w="564" w:type="pct"/>
            <w:vAlign w:val="center"/>
            <w:hideMark/>
          </w:tcPr>
          <w:p w14:paraId="11AC25CC"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tcPr>
          <w:p w14:paraId="1432D0F6"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2 748 076,4</w:t>
            </w:r>
          </w:p>
        </w:tc>
        <w:tc>
          <w:tcPr>
            <w:tcW w:w="743" w:type="pct"/>
          </w:tcPr>
          <w:p w14:paraId="7C873CA3"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3 650 636,0</w:t>
            </w:r>
          </w:p>
        </w:tc>
        <w:tc>
          <w:tcPr>
            <w:tcW w:w="440" w:type="pct"/>
            <w:shd w:val="clear" w:color="auto" w:fill="auto"/>
            <w:vAlign w:val="bottom"/>
          </w:tcPr>
          <w:p w14:paraId="6B2E4029"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132,8</w:t>
            </w:r>
          </w:p>
        </w:tc>
      </w:tr>
      <w:tr w:rsidR="005A3669" w:rsidRPr="005A178C" w14:paraId="563A0015" w14:textId="77777777" w:rsidTr="001336DB">
        <w:trPr>
          <w:trHeight w:val="283"/>
        </w:trPr>
        <w:tc>
          <w:tcPr>
            <w:tcW w:w="2513" w:type="pct"/>
            <w:hideMark/>
          </w:tcPr>
          <w:p w14:paraId="501CBAFD"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общая коммерческая деятельность</w:t>
            </w:r>
          </w:p>
        </w:tc>
        <w:tc>
          <w:tcPr>
            <w:tcW w:w="564" w:type="pct"/>
            <w:vAlign w:val="center"/>
            <w:hideMark/>
          </w:tcPr>
          <w:p w14:paraId="793E6EB2"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6B29AD5B"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72 244,0</w:t>
            </w:r>
          </w:p>
        </w:tc>
        <w:tc>
          <w:tcPr>
            <w:tcW w:w="743" w:type="pct"/>
            <w:vAlign w:val="bottom"/>
          </w:tcPr>
          <w:p w14:paraId="38EC5E4A"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77 494,5</w:t>
            </w:r>
          </w:p>
        </w:tc>
        <w:tc>
          <w:tcPr>
            <w:tcW w:w="440" w:type="pct"/>
            <w:shd w:val="clear" w:color="auto" w:fill="auto"/>
            <w:vAlign w:val="bottom"/>
          </w:tcPr>
          <w:p w14:paraId="5EEA1BD1"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107,3</w:t>
            </w:r>
          </w:p>
        </w:tc>
      </w:tr>
      <w:tr w:rsidR="005A3669" w:rsidRPr="005A178C" w14:paraId="4DD1105A" w14:textId="77777777" w:rsidTr="001336DB">
        <w:trPr>
          <w:trHeight w:val="283"/>
        </w:trPr>
        <w:tc>
          <w:tcPr>
            <w:tcW w:w="2513" w:type="pct"/>
            <w:hideMark/>
          </w:tcPr>
          <w:p w14:paraId="0A2219B2"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xml:space="preserve">- </w:t>
            </w:r>
            <w:r>
              <w:rPr>
                <w:rFonts w:ascii="Times New Roman" w:hAnsi="Times New Roman"/>
                <w:color w:val="000000"/>
                <w:sz w:val="24"/>
                <w:szCs w:val="24"/>
              </w:rPr>
              <w:t xml:space="preserve">физкультура, </w:t>
            </w:r>
            <w:r w:rsidRPr="00151B7A">
              <w:rPr>
                <w:rFonts w:ascii="Times New Roman" w:hAnsi="Times New Roman"/>
                <w:color w:val="000000"/>
                <w:sz w:val="24"/>
                <w:szCs w:val="24"/>
              </w:rPr>
              <w:t>отдых и туризм</w:t>
            </w:r>
          </w:p>
        </w:tc>
        <w:tc>
          <w:tcPr>
            <w:tcW w:w="564" w:type="pct"/>
            <w:vAlign w:val="center"/>
            <w:hideMark/>
          </w:tcPr>
          <w:p w14:paraId="59408300"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1AEE7FD4"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39 159,3</w:t>
            </w:r>
          </w:p>
        </w:tc>
        <w:tc>
          <w:tcPr>
            <w:tcW w:w="743" w:type="pct"/>
            <w:vAlign w:val="bottom"/>
          </w:tcPr>
          <w:p w14:paraId="4AAA9FE9"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87 683,1</w:t>
            </w:r>
          </w:p>
        </w:tc>
        <w:tc>
          <w:tcPr>
            <w:tcW w:w="440" w:type="pct"/>
            <w:shd w:val="clear" w:color="auto" w:fill="auto"/>
            <w:vAlign w:val="bottom"/>
          </w:tcPr>
          <w:p w14:paraId="0EC59AD2" w14:textId="77DB106A" w:rsidR="005A3669" w:rsidRPr="001B3540" w:rsidRDefault="00163D5F" w:rsidP="00163D5F">
            <w:pPr>
              <w:widowControl w:val="0"/>
              <w:spacing w:after="0" w:line="240" w:lineRule="auto"/>
              <w:ind w:left="-205" w:right="-18"/>
              <w:jc w:val="right"/>
              <w:rPr>
                <w:rFonts w:ascii="Times New Roman" w:hAnsi="Times New Roman"/>
                <w:color w:val="000000"/>
                <w:sz w:val="24"/>
                <w:szCs w:val="24"/>
                <w:highlight w:val="yellow"/>
              </w:rPr>
            </w:pPr>
            <w:r>
              <w:rPr>
                <w:rFonts w:ascii="Times New Roman" w:hAnsi="Times New Roman"/>
                <w:color w:val="000000"/>
                <w:sz w:val="24"/>
                <w:szCs w:val="24"/>
              </w:rPr>
              <w:t>в 2,2 р.</w:t>
            </w:r>
          </w:p>
        </w:tc>
      </w:tr>
      <w:tr w:rsidR="005A3669" w:rsidRPr="005A178C" w14:paraId="44BFD4BD" w14:textId="77777777" w:rsidTr="001336DB">
        <w:trPr>
          <w:trHeight w:val="283"/>
        </w:trPr>
        <w:tc>
          <w:tcPr>
            <w:tcW w:w="2513" w:type="pct"/>
            <w:hideMark/>
          </w:tcPr>
          <w:p w14:paraId="686D3106" w14:textId="77777777" w:rsidR="005A3669" w:rsidRPr="00151B7A" w:rsidRDefault="005A3669" w:rsidP="00BE48CC">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Об</w:t>
            </w:r>
            <w:r>
              <w:rPr>
                <w:rFonts w:ascii="Times New Roman" w:hAnsi="Times New Roman"/>
                <w:color w:val="000000"/>
                <w:sz w:val="24"/>
                <w:szCs w:val="24"/>
              </w:rPr>
              <w:t>орот</w:t>
            </w:r>
            <w:r w:rsidRPr="00151B7A">
              <w:rPr>
                <w:rFonts w:ascii="Times New Roman" w:hAnsi="Times New Roman"/>
                <w:color w:val="000000"/>
                <w:sz w:val="24"/>
                <w:szCs w:val="24"/>
              </w:rPr>
              <w:t xml:space="preserve"> рознично</w:t>
            </w:r>
            <w:r>
              <w:rPr>
                <w:rFonts w:ascii="Times New Roman" w:hAnsi="Times New Roman"/>
                <w:color w:val="000000"/>
                <w:sz w:val="24"/>
                <w:szCs w:val="24"/>
              </w:rPr>
              <w:t>й торговли</w:t>
            </w:r>
          </w:p>
        </w:tc>
        <w:tc>
          <w:tcPr>
            <w:tcW w:w="564" w:type="pct"/>
            <w:vAlign w:val="center"/>
            <w:hideMark/>
          </w:tcPr>
          <w:p w14:paraId="3FFE9556"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24B3DC23"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1 064 634,4</w:t>
            </w:r>
          </w:p>
        </w:tc>
        <w:tc>
          <w:tcPr>
            <w:tcW w:w="743" w:type="pct"/>
            <w:vAlign w:val="bottom"/>
          </w:tcPr>
          <w:p w14:paraId="2310E0AA"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1 444 114,1</w:t>
            </w:r>
          </w:p>
        </w:tc>
        <w:tc>
          <w:tcPr>
            <w:tcW w:w="440" w:type="pct"/>
            <w:shd w:val="clear" w:color="auto" w:fill="auto"/>
            <w:vAlign w:val="bottom"/>
          </w:tcPr>
          <w:p w14:paraId="5987AB34"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135,6</w:t>
            </w:r>
          </w:p>
        </w:tc>
      </w:tr>
      <w:tr w:rsidR="005A3669" w:rsidRPr="005A178C" w14:paraId="09228F93" w14:textId="77777777" w:rsidTr="001336DB">
        <w:trPr>
          <w:trHeight w:val="283"/>
        </w:trPr>
        <w:tc>
          <w:tcPr>
            <w:tcW w:w="2513" w:type="pct"/>
            <w:hideMark/>
          </w:tcPr>
          <w:p w14:paraId="0E513140" w14:textId="77777777" w:rsidR="005A3669" w:rsidRPr="00151B7A" w:rsidRDefault="005A3669" w:rsidP="00BE48CC">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Оборот общественного питания</w:t>
            </w:r>
          </w:p>
        </w:tc>
        <w:tc>
          <w:tcPr>
            <w:tcW w:w="564" w:type="pct"/>
            <w:vAlign w:val="center"/>
            <w:hideMark/>
          </w:tcPr>
          <w:p w14:paraId="5BDB2EE1"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02A24449"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66 883,9</w:t>
            </w:r>
          </w:p>
        </w:tc>
        <w:tc>
          <w:tcPr>
            <w:tcW w:w="743" w:type="pct"/>
            <w:vAlign w:val="bottom"/>
          </w:tcPr>
          <w:p w14:paraId="26225021"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91 697,2</w:t>
            </w:r>
          </w:p>
        </w:tc>
        <w:tc>
          <w:tcPr>
            <w:tcW w:w="440" w:type="pct"/>
            <w:shd w:val="clear" w:color="auto" w:fill="auto"/>
            <w:vAlign w:val="bottom"/>
          </w:tcPr>
          <w:p w14:paraId="0D68D0E5"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137,1</w:t>
            </w:r>
          </w:p>
        </w:tc>
      </w:tr>
      <w:tr w:rsidR="005A3669" w:rsidRPr="005A178C" w14:paraId="7A0BAE96" w14:textId="77777777" w:rsidTr="001336DB">
        <w:trPr>
          <w:trHeight w:val="283"/>
        </w:trPr>
        <w:tc>
          <w:tcPr>
            <w:tcW w:w="2513" w:type="pct"/>
            <w:hideMark/>
          </w:tcPr>
          <w:p w14:paraId="0DEABE97" w14:textId="77777777" w:rsidR="005A3669" w:rsidRPr="00151B7A" w:rsidRDefault="005A3669" w:rsidP="00BE48CC">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Объем платных услуг</w:t>
            </w:r>
          </w:p>
        </w:tc>
        <w:tc>
          <w:tcPr>
            <w:tcW w:w="564" w:type="pct"/>
            <w:vAlign w:val="center"/>
            <w:hideMark/>
          </w:tcPr>
          <w:p w14:paraId="019E6593"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34AB6D27" w14:textId="77777777" w:rsidR="005A3669" w:rsidRPr="00CE7E6C" w:rsidRDefault="005A3669" w:rsidP="00BE48CC">
            <w:pPr>
              <w:widowControl w:val="0"/>
              <w:spacing w:after="0" w:line="240" w:lineRule="auto"/>
              <w:ind w:left="-56" w:right="-19"/>
              <w:jc w:val="right"/>
              <w:rPr>
                <w:rFonts w:ascii="Times New Roman" w:hAnsi="Times New Roman"/>
                <w:sz w:val="24"/>
                <w:szCs w:val="24"/>
                <w:highlight w:val="yellow"/>
              </w:rPr>
            </w:pPr>
            <w:r w:rsidRPr="0070168A">
              <w:rPr>
                <w:rFonts w:ascii="Times New Roman" w:hAnsi="Times New Roman"/>
                <w:sz w:val="24"/>
                <w:szCs w:val="24"/>
              </w:rPr>
              <w:t>203 760,6</w:t>
            </w:r>
          </w:p>
        </w:tc>
        <w:tc>
          <w:tcPr>
            <w:tcW w:w="743" w:type="pct"/>
            <w:vAlign w:val="bottom"/>
          </w:tcPr>
          <w:p w14:paraId="2F874637" w14:textId="77777777" w:rsidR="005A3669" w:rsidRPr="00CE7E6C" w:rsidRDefault="005A3669" w:rsidP="00BE48CC">
            <w:pPr>
              <w:widowControl w:val="0"/>
              <w:spacing w:after="0" w:line="240" w:lineRule="auto"/>
              <w:ind w:left="-55"/>
              <w:jc w:val="right"/>
              <w:rPr>
                <w:rFonts w:ascii="Times New Roman" w:hAnsi="Times New Roman"/>
                <w:sz w:val="24"/>
                <w:szCs w:val="24"/>
                <w:highlight w:val="yellow"/>
              </w:rPr>
            </w:pPr>
            <w:r w:rsidRPr="0070168A">
              <w:rPr>
                <w:rFonts w:ascii="Times New Roman" w:hAnsi="Times New Roman"/>
                <w:sz w:val="24"/>
                <w:szCs w:val="24"/>
              </w:rPr>
              <w:t>281 317,7</w:t>
            </w:r>
          </w:p>
        </w:tc>
        <w:tc>
          <w:tcPr>
            <w:tcW w:w="440" w:type="pct"/>
            <w:shd w:val="clear" w:color="auto" w:fill="auto"/>
            <w:vAlign w:val="bottom"/>
          </w:tcPr>
          <w:p w14:paraId="739D712D" w14:textId="77777777" w:rsidR="005A3669" w:rsidRPr="001B3540" w:rsidRDefault="005A3669" w:rsidP="00BE48CC">
            <w:pPr>
              <w:widowControl w:val="0"/>
              <w:spacing w:after="0" w:line="240" w:lineRule="auto"/>
              <w:ind w:left="-205" w:right="-18"/>
              <w:jc w:val="right"/>
              <w:rPr>
                <w:rFonts w:ascii="Times New Roman" w:hAnsi="Times New Roman"/>
                <w:sz w:val="24"/>
                <w:szCs w:val="24"/>
                <w:highlight w:val="yellow"/>
              </w:rPr>
            </w:pPr>
            <w:r w:rsidRPr="001B3540">
              <w:rPr>
                <w:rFonts w:ascii="Times New Roman" w:hAnsi="Times New Roman"/>
                <w:color w:val="000000"/>
                <w:sz w:val="24"/>
                <w:szCs w:val="24"/>
              </w:rPr>
              <w:t>138,1</w:t>
            </w:r>
          </w:p>
        </w:tc>
      </w:tr>
      <w:tr w:rsidR="005A3669" w:rsidRPr="005A178C" w14:paraId="6B2B8037" w14:textId="77777777" w:rsidTr="001336DB">
        <w:trPr>
          <w:trHeight w:val="283"/>
        </w:trPr>
        <w:tc>
          <w:tcPr>
            <w:tcW w:w="2513" w:type="pct"/>
            <w:hideMark/>
          </w:tcPr>
          <w:p w14:paraId="2D35B3FE" w14:textId="77777777" w:rsidR="005A3669" w:rsidRPr="00151B7A" w:rsidRDefault="005A3669" w:rsidP="00BE48CC">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Инвестиции в основной капитал</w:t>
            </w:r>
          </w:p>
        </w:tc>
        <w:tc>
          <w:tcPr>
            <w:tcW w:w="564" w:type="pct"/>
            <w:vAlign w:val="center"/>
            <w:hideMark/>
          </w:tcPr>
          <w:p w14:paraId="0046E8BA"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3B5AC5B1"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70168A">
              <w:rPr>
                <w:rFonts w:ascii="Times New Roman" w:hAnsi="Times New Roman"/>
                <w:color w:val="000000"/>
                <w:sz w:val="24"/>
                <w:szCs w:val="24"/>
              </w:rPr>
              <w:t>328 790,1</w:t>
            </w:r>
          </w:p>
        </w:tc>
        <w:tc>
          <w:tcPr>
            <w:tcW w:w="743" w:type="pct"/>
            <w:vAlign w:val="bottom"/>
          </w:tcPr>
          <w:p w14:paraId="245EF1E4"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70168A">
              <w:rPr>
                <w:rFonts w:ascii="Times New Roman" w:hAnsi="Times New Roman"/>
                <w:color w:val="000000"/>
                <w:sz w:val="24"/>
                <w:szCs w:val="24"/>
              </w:rPr>
              <w:t>423 785,8</w:t>
            </w:r>
          </w:p>
        </w:tc>
        <w:tc>
          <w:tcPr>
            <w:tcW w:w="440" w:type="pct"/>
            <w:shd w:val="clear" w:color="auto" w:fill="auto"/>
            <w:vAlign w:val="bottom"/>
          </w:tcPr>
          <w:p w14:paraId="697290D7" w14:textId="77777777" w:rsidR="005A3669" w:rsidRPr="001B3540" w:rsidRDefault="005A3669" w:rsidP="00BE48CC">
            <w:pPr>
              <w:widowControl w:val="0"/>
              <w:spacing w:after="0" w:line="240" w:lineRule="auto"/>
              <w:ind w:left="-205" w:right="-18"/>
              <w:jc w:val="right"/>
              <w:rPr>
                <w:rFonts w:ascii="Times New Roman" w:hAnsi="Times New Roman"/>
                <w:color w:val="000000"/>
                <w:sz w:val="24"/>
                <w:szCs w:val="24"/>
                <w:highlight w:val="yellow"/>
              </w:rPr>
            </w:pPr>
            <w:r w:rsidRPr="001B3540">
              <w:rPr>
                <w:rFonts w:ascii="Times New Roman" w:hAnsi="Times New Roman"/>
                <w:color w:val="000000"/>
                <w:sz w:val="24"/>
                <w:szCs w:val="24"/>
              </w:rPr>
              <w:t>128,9</w:t>
            </w:r>
          </w:p>
        </w:tc>
      </w:tr>
      <w:tr w:rsidR="005A3669" w:rsidRPr="005A178C" w14:paraId="6AAB7638" w14:textId="77777777" w:rsidTr="001336DB">
        <w:trPr>
          <w:trHeight w:val="157"/>
        </w:trPr>
        <w:tc>
          <w:tcPr>
            <w:tcW w:w="2513" w:type="pct"/>
            <w:hideMark/>
          </w:tcPr>
          <w:p w14:paraId="7EE29E56" w14:textId="77777777" w:rsidR="005A3669" w:rsidRPr="00151B7A" w:rsidRDefault="005A3669" w:rsidP="00BE48CC">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Платежи в бюджет и внебюджетные фонды (фактически внесено), в том числе:</w:t>
            </w:r>
          </w:p>
        </w:tc>
        <w:tc>
          <w:tcPr>
            <w:tcW w:w="564" w:type="pct"/>
            <w:vAlign w:val="center"/>
            <w:hideMark/>
          </w:tcPr>
          <w:p w14:paraId="56E139DC"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19758710"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1B3540">
              <w:rPr>
                <w:rFonts w:ascii="Times New Roman" w:hAnsi="Times New Roman"/>
                <w:color w:val="000000"/>
                <w:sz w:val="24"/>
                <w:szCs w:val="24"/>
              </w:rPr>
              <w:t>394 547,4</w:t>
            </w:r>
          </w:p>
        </w:tc>
        <w:tc>
          <w:tcPr>
            <w:tcW w:w="743" w:type="pct"/>
            <w:vAlign w:val="bottom"/>
          </w:tcPr>
          <w:p w14:paraId="4CCB37FE"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1B3540">
              <w:rPr>
                <w:rFonts w:ascii="Times New Roman" w:hAnsi="Times New Roman"/>
                <w:color w:val="000000"/>
                <w:sz w:val="24"/>
                <w:szCs w:val="24"/>
              </w:rPr>
              <w:t>494 234,5</w:t>
            </w:r>
          </w:p>
        </w:tc>
        <w:tc>
          <w:tcPr>
            <w:tcW w:w="440" w:type="pct"/>
            <w:shd w:val="clear" w:color="auto" w:fill="auto"/>
            <w:vAlign w:val="bottom"/>
          </w:tcPr>
          <w:p w14:paraId="2B2FFA8B" w14:textId="77777777" w:rsidR="005A3669" w:rsidRPr="001B3540" w:rsidRDefault="005A3669" w:rsidP="00BE48CC">
            <w:pPr>
              <w:widowControl w:val="0"/>
              <w:spacing w:after="0" w:line="240" w:lineRule="auto"/>
              <w:ind w:left="-205"/>
              <w:jc w:val="right"/>
              <w:rPr>
                <w:rFonts w:ascii="Times New Roman" w:hAnsi="Times New Roman"/>
                <w:color w:val="000000"/>
                <w:sz w:val="24"/>
                <w:szCs w:val="24"/>
                <w:highlight w:val="yellow"/>
              </w:rPr>
            </w:pPr>
            <w:r w:rsidRPr="001B3540">
              <w:rPr>
                <w:rFonts w:ascii="Times New Roman" w:hAnsi="Times New Roman"/>
                <w:color w:val="000000"/>
                <w:sz w:val="24"/>
                <w:szCs w:val="24"/>
              </w:rPr>
              <w:t>125,3</w:t>
            </w:r>
          </w:p>
        </w:tc>
      </w:tr>
      <w:tr w:rsidR="005A3669" w:rsidRPr="005A178C" w14:paraId="29DE65A1" w14:textId="77777777" w:rsidTr="001336DB">
        <w:trPr>
          <w:trHeight w:val="157"/>
        </w:trPr>
        <w:tc>
          <w:tcPr>
            <w:tcW w:w="2513" w:type="pct"/>
            <w:hideMark/>
          </w:tcPr>
          <w:p w14:paraId="4EE3265F"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налог на доходы организаций</w:t>
            </w:r>
          </w:p>
        </w:tc>
        <w:tc>
          <w:tcPr>
            <w:tcW w:w="564" w:type="pct"/>
            <w:vAlign w:val="center"/>
            <w:hideMark/>
          </w:tcPr>
          <w:p w14:paraId="7B43F728"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796DA1E7"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1B3540">
              <w:rPr>
                <w:rFonts w:ascii="Times New Roman" w:hAnsi="Times New Roman"/>
                <w:color w:val="000000"/>
                <w:sz w:val="24"/>
                <w:szCs w:val="24"/>
              </w:rPr>
              <w:t>148 438,1</w:t>
            </w:r>
          </w:p>
        </w:tc>
        <w:tc>
          <w:tcPr>
            <w:tcW w:w="743" w:type="pct"/>
            <w:vAlign w:val="bottom"/>
          </w:tcPr>
          <w:p w14:paraId="7DE91C2A"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1B3540">
              <w:rPr>
                <w:rFonts w:ascii="Times New Roman" w:hAnsi="Times New Roman"/>
                <w:color w:val="000000"/>
                <w:sz w:val="24"/>
                <w:szCs w:val="24"/>
              </w:rPr>
              <w:t>172 616,7</w:t>
            </w:r>
          </w:p>
        </w:tc>
        <w:tc>
          <w:tcPr>
            <w:tcW w:w="440" w:type="pct"/>
            <w:shd w:val="clear" w:color="auto" w:fill="auto"/>
            <w:vAlign w:val="bottom"/>
          </w:tcPr>
          <w:p w14:paraId="72EA8432" w14:textId="77777777" w:rsidR="005A3669" w:rsidRPr="001B3540" w:rsidRDefault="005A3669" w:rsidP="00BE48CC">
            <w:pPr>
              <w:widowControl w:val="0"/>
              <w:spacing w:after="0" w:line="240" w:lineRule="auto"/>
              <w:ind w:left="-205"/>
              <w:jc w:val="right"/>
              <w:rPr>
                <w:rFonts w:ascii="Times New Roman" w:hAnsi="Times New Roman"/>
                <w:color w:val="000000"/>
                <w:sz w:val="24"/>
                <w:szCs w:val="24"/>
                <w:highlight w:val="yellow"/>
              </w:rPr>
            </w:pPr>
            <w:r w:rsidRPr="001B3540">
              <w:rPr>
                <w:rFonts w:ascii="Times New Roman" w:hAnsi="Times New Roman"/>
                <w:color w:val="000000"/>
                <w:sz w:val="24"/>
                <w:szCs w:val="24"/>
              </w:rPr>
              <w:t>116,3</w:t>
            </w:r>
          </w:p>
        </w:tc>
      </w:tr>
      <w:tr w:rsidR="005A3669" w:rsidRPr="005A178C" w14:paraId="5EED3C13" w14:textId="77777777" w:rsidTr="001336DB">
        <w:trPr>
          <w:trHeight w:val="157"/>
        </w:trPr>
        <w:tc>
          <w:tcPr>
            <w:tcW w:w="2513" w:type="pct"/>
            <w:hideMark/>
          </w:tcPr>
          <w:p w14:paraId="53EDA7E1"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единый социальный налог</w:t>
            </w:r>
          </w:p>
        </w:tc>
        <w:tc>
          <w:tcPr>
            <w:tcW w:w="564" w:type="pct"/>
            <w:vAlign w:val="center"/>
            <w:hideMark/>
          </w:tcPr>
          <w:p w14:paraId="5F4E4D23"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59F20EDB"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1B3540">
              <w:rPr>
                <w:rFonts w:ascii="Times New Roman" w:hAnsi="Times New Roman"/>
                <w:color w:val="000000"/>
                <w:sz w:val="24"/>
                <w:szCs w:val="24"/>
              </w:rPr>
              <w:t>98 266,4</w:t>
            </w:r>
          </w:p>
        </w:tc>
        <w:tc>
          <w:tcPr>
            <w:tcW w:w="743" w:type="pct"/>
            <w:vAlign w:val="bottom"/>
          </w:tcPr>
          <w:p w14:paraId="3630CAEA"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1B3540">
              <w:rPr>
                <w:rFonts w:ascii="Times New Roman" w:hAnsi="Times New Roman"/>
                <w:color w:val="000000"/>
                <w:sz w:val="24"/>
                <w:szCs w:val="24"/>
              </w:rPr>
              <w:t>112 128,3</w:t>
            </w:r>
          </w:p>
        </w:tc>
        <w:tc>
          <w:tcPr>
            <w:tcW w:w="440" w:type="pct"/>
            <w:shd w:val="clear" w:color="auto" w:fill="auto"/>
            <w:vAlign w:val="bottom"/>
          </w:tcPr>
          <w:p w14:paraId="08E5474E" w14:textId="77777777" w:rsidR="005A3669" w:rsidRPr="001B3540" w:rsidRDefault="005A3669" w:rsidP="00BE48CC">
            <w:pPr>
              <w:widowControl w:val="0"/>
              <w:spacing w:after="0" w:line="240" w:lineRule="auto"/>
              <w:ind w:left="-205"/>
              <w:jc w:val="right"/>
              <w:rPr>
                <w:rFonts w:ascii="Times New Roman" w:hAnsi="Times New Roman"/>
                <w:color w:val="000000"/>
                <w:sz w:val="24"/>
                <w:szCs w:val="24"/>
                <w:highlight w:val="yellow"/>
              </w:rPr>
            </w:pPr>
            <w:r w:rsidRPr="001B3540">
              <w:rPr>
                <w:rFonts w:ascii="Times New Roman" w:hAnsi="Times New Roman"/>
                <w:color w:val="000000"/>
                <w:sz w:val="24"/>
                <w:szCs w:val="24"/>
              </w:rPr>
              <w:t>114,1</w:t>
            </w:r>
          </w:p>
        </w:tc>
      </w:tr>
      <w:tr w:rsidR="005A3669" w:rsidRPr="005A178C" w14:paraId="526E75E5" w14:textId="77777777" w:rsidTr="001336DB">
        <w:trPr>
          <w:trHeight w:val="157"/>
        </w:trPr>
        <w:tc>
          <w:tcPr>
            <w:tcW w:w="2513" w:type="pct"/>
            <w:hideMark/>
          </w:tcPr>
          <w:p w14:paraId="4E267C58"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подоходный налог с физических лиц</w:t>
            </w:r>
          </w:p>
        </w:tc>
        <w:tc>
          <w:tcPr>
            <w:tcW w:w="564" w:type="pct"/>
            <w:vAlign w:val="center"/>
            <w:hideMark/>
          </w:tcPr>
          <w:p w14:paraId="357D14D6"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1A95198E"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1B3540">
              <w:rPr>
                <w:rFonts w:ascii="Times New Roman" w:hAnsi="Times New Roman"/>
                <w:color w:val="000000"/>
                <w:sz w:val="24"/>
                <w:szCs w:val="24"/>
              </w:rPr>
              <w:t>41 769,8</w:t>
            </w:r>
          </w:p>
        </w:tc>
        <w:tc>
          <w:tcPr>
            <w:tcW w:w="743" w:type="pct"/>
            <w:vAlign w:val="bottom"/>
          </w:tcPr>
          <w:p w14:paraId="65021ED2"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1B3540">
              <w:rPr>
                <w:rFonts w:ascii="Times New Roman" w:hAnsi="Times New Roman"/>
                <w:color w:val="000000"/>
                <w:sz w:val="24"/>
                <w:szCs w:val="24"/>
              </w:rPr>
              <w:t>50 566,7</w:t>
            </w:r>
          </w:p>
        </w:tc>
        <w:tc>
          <w:tcPr>
            <w:tcW w:w="440" w:type="pct"/>
            <w:shd w:val="clear" w:color="auto" w:fill="auto"/>
            <w:vAlign w:val="bottom"/>
          </w:tcPr>
          <w:p w14:paraId="1D654E02" w14:textId="77777777" w:rsidR="005A3669" w:rsidRPr="001B3540" w:rsidRDefault="005A3669" w:rsidP="00BE48CC">
            <w:pPr>
              <w:widowControl w:val="0"/>
              <w:spacing w:after="0" w:line="240" w:lineRule="auto"/>
              <w:ind w:left="-205"/>
              <w:jc w:val="right"/>
              <w:rPr>
                <w:rFonts w:ascii="Times New Roman" w:hAnsi="Times New Roman"/>
                <w:color w:val="000000"/>
                <w:sz w:val="24"/>
                <w:szCs w:val="24"/>
                <w:highlight w:val="yellow"/>
              </w:rPr>
            </w:pPr>
            <w:r w:rsidRPr="001B3540">
              <w:rPr>
                <w:rFonts w:ascii="Times New Roman" w:hAnsi="Times New Roman"/>
                <w:color w:val="000000"/>
                <w:sz w:val="24"/>
                <w:szCs w:val="24"/>
              </w:rPr>
              <w:t>121,1</w:t>
            </w:r>
          </w:p>
        </w:tc>
      </w:tr>
      <w:tr w:rsidR="005A3669" w:rsidRPr="005A178C" w14:paraId="76F134A8" w14:textId="77777777" w:rsidTr="001336DB">
        <w:trPr>
          <w:trHeight w:val="157"/>
        </w:trPr>
        <w:tc>
          <w:tcPr>
            <w:tcW w:w="2513" w:type="pct"/>
            <w:hideMark/>
          </w:tcPr>
          <w:p w14:paraId="72ADC3DB"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земельный налог</w:t>
            </w:r>
          </w:p>
        </w:tc>
        <w:tc>
          <w:tcPr>
            <w:tcW w:w="564" w:type="pct"/>
            <w:vAlign w:val="center"/>
            <w:hideMark/>
          </w:tcPr>
          <w:p w14:paraId="0F3F9775"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15A21064"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1B3540">
              <w:rPr>
                <w:rFonts w:ascii="Times New Roman" w:hAnsi="Times New Roman"/>
                <w:color w:val="000000"/>
                <w:sz w:val="24"/>
                <w:szCs w:val="24"/>
              </w:rPr>
              <w:t>22 899,9</w:t>
            </w:r>
          </w:p>
        </w:tc>
        <w:tc>
          <w:tcPr>
            <w:tcW w:w="743" w:type="pct"/>
            <w:vAlign w:val="bottom"/>
          </w:tcPr>
          <w:p w14:paraId="055B783D"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1B3540">
              <w:rPr>
                <w:rFonts w:ascii="Times New Roman" w:hAnsi="Times New Roman"/>
                <w:color w:val="000000"/>
                <w:sz w:val="24"/>
                <w:szCs w:val="24"/>
              </w:rPr>
              <w:t>39 503,4</w:t>
            </w:r>
          </w:p>
        </w:tc>
        <w:tc>
          <w:tcPr>
            <w:tcW w:w="440" w:type="pct"/>
            <w:shd w:val="clear" w:color="auto" w:fill="auto"/>
            <w:vAlign w:val="bottom"/>
          </w:tcPr>
          <w:p w14:paraId="21208092" w14:textId="77777777" w:rsidR="005A3669" w:rsidRPr="001B3540" w:rsidRDefault="005A3669" w:rsidP="00BE48CC">
            <w:pPr>
              <w:widowControl w:val="0"/>
              <w:spacing w:after="0" w:line="240" w:lineRule="auto"/>
              <w:ind w:left="-205"/>
              <w:jc w:val="right"/>
              <w:rPr>
                <w:rFonts w:ascii="Times New Roman" w:hAnsi="Times New Roman"/>
                <w:color w:val="000000"/>
                <w:sz w:val="24"/>
                <w:szCs w:val="24"/>
                <w:highlight w:val="yellow"/>
              </w:rPr>
            </w:pPr>
            <w:r w:rsidRPr="001B3540">
              <w:rPr>
                <w:rFonts w:ascii="Times New Roman" w:hAnsi="Times New Roman"/>
                <w:color w:val="000000"/>
                <w:sz w:val="24"/>
                <w:szCs w:val="24"/>
              </w:rPr>
              <w:t>172,5</w:t>
            </w:r>
          </w:p>
        </w:tc>
      </w:tr>
      <w:tr w:rsidR="005A3669" w:rsidRPr="00CB462C" w14:paraId="4B0422C4" w14:textId="77777777" w:rsidTr="001336DB">
        <w:trPr>
          <w:trHeight w:val="157"/>
        </w:trPr>
        <w:tc>
          <w:tcPr>
            <w:tcW w:w="2513" w:type="pct"/>
            <w:hideMark/>
          </w:tcPr>
          <w:p w14:paraId="1E7E0626" w14:textId="77777777" w:rsidR="005A3669" w:rsidRPr="00151B7A" w:rsidRDefault="005A3669" w:rsidP="00BE48CC">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акцизы</w:t>
            </w:r>
          </w:p>
        </w:tc>
        <w:tc>
          <w:tcPr>
            <w:tcW w:w="564" w:type="pct"/>
            <w:vAlign w:val="center"/>
            <w:hideMark/>
          </w:tcPr>
          <w:p w14:paraId="63BE8FAF" w14:textId="77777777" w:rsidR="005A3669" w:rsidRPr="00151B7A" w:rsidRDefault="005A3669" w:rsidP="001432F9">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739" w:type="pct"/>
            <w:vAlign w:val="bottom"/>
          </w:tcPr>
          <w:p w14:paraId="209B090A" w14:textId="77777777" w:rsidR="005A3669" w:rsidRPr="005A178C" w:rsidRDefault="005A3669" w:rsidP="00BE48CC">
            <w:pPr>
              <w:widowControl w:val="0"/>
              <w:spacing w:after="0" w:line="240" w:lineRule="auto"/>
              <w:ind w:left="-56" w:right="-19"/>
              <w:jc w:val="right"/>
              <w:rPr>
                <w:rFonts w:ascii="Times New Roman" w:hAnsi="Times New Roman"/>
                <w:color w:val="000000"/>
                <w:sz w:val="24"/>
                <w:szCs w:val="24"/>
                <w:highlight w:val="yellow"/>
              </w:rPr>
            </w:pPr>
            <w:r w:rsidRPr="001B3540">
              <w:rPr>
                <w:rFonts w:ascii="Times New Roman" w:hAnsi="Times New Roman"/>
                <w:color w:val="000000"/>
                <w:sz w:val="24"/>
                <w:szCs w:val="24"/>
              </w:rPr>
              <w:t>2 935,1</w:t>
            </w:r>
          </w:p>
        </w:tc>
        <w:tc>
          <w:tcPr>
            <w:tcW w:w="743" w:type="pct"/>
            <w:vAlign w:val="bottom"/>
          </w:tcPr>
          <w:p w14:paraId="76B67DA6" w14:textId="77777777" w:rsidR="005A3669" w:rsidRPr="005A178C" w:rsidRDefault="005A3669" w:rsidP="00BE48CC">
            <w:pPr>
              <w:widowControl w:val="0"/>
              <w:spacing w:after="0" w:line="240" w:lineRule="auto"/>
              <w:ind w:left="-55"/>
              <w:jc w:val="right"/>
              <w:rPr>
                <w:rFonts w:ascii="Times New Roman" w:hAnsi="Times New Roman"/>
                <w:color w:val="000000"/>
                <w:sz w:val="24"/>
                <w:szCs w:val="24"/>
                <w:highlight w:val="yellow"/>
              </w:rPr>
            </w:pPr>
            <w:r w:rsidRPr="001B3540">
              <w:rPr>
                <w:rFonts w:ascii="Times New Roman" w:hAnsi="Times New Roman"/>
                <w:color w:val="000000"/>
                <w:sz w:val="24"/>
                <w:szCs w:val="24"/>
              </w:rPr>
              <w:t>2 382,7</w:t>
            </w:r>
          </w:p>
        </w:tc>
        <w:tc>
          <w:tcPr>
            <w:tcW w:w="440" w:type="pct"/>
            <w:shd w:val="clear" w:color="auto" w:fill="auto"/>
            <w:vAlign w:val="bottom"/>
          </w:tcPr>
          <w:p w14:paraId="51FF5246" w14:textId="77777777" w:rsidR="005A3669" w:rsidRPr="001B3540" w:rsidRDefault="005A3669" w:rsidP="00BE48CC">
            <w:pPr>
              <w:widowControl w:val="0"/>
              <w:spacing w:after="0" w:line="240" w:lineRule="auto"/>
              <w:ind w:left="-205"/>
              <w:jc w:val="right"/>
              <w:rPr>
                <w:rFonts w:ascii="Times New Roman" w:hAnsi="Times New Roman"/>
                <w:color w:val="000000"/>
                <w:sz w:val="24"/>
                <w:szCs w:val="24"/>
              </w:rPr>
            </w:pPr>
            <w:r w:rsidRPr="001B3540">
              <w:rPr>
                <w:rFonts w:ascii="Times New Roman" w:hAnsi="Times New Roman"/>
                <w:color w:val="000000"/>
                <w:sz w:val="24"/>
                <w:szCs w:val="24"/>
              </w:rPr>
              <w:t>81,2</w:t>
            </w:r>
          </w:p>
        </w:tc>
      </w:tr>
    </w:tbl>
    <w:p w14:paraId="78B6A326" w14:textId="77777777" w:rsidR="005A3669" w:rsidRDefault="005A3669" w:rsidP="005A3669">
      <w:pPr>
        <w:widowControl w:val="0"/>
        <w:spacing w:after="0" w:line="240" w:lineRule="auto"/>
        <w:jc w:val="center"/>
        <w:rPr>
          <w:rFonts w:ascii="Times New Roman" w:hAnsi="Times New Roman"/>
          <w:b/>
          <w:sz w:val="20"/>
          <w:szCs w:val="20"/>
        </w:rPr>
      </w:pPr>
    </w:p>
    <w:p w14:paraId="119DE2DE" w14:textId="77777777" w:rsidR="005A3669" w:rsidRPr="00DF3D8E" w:rsidRDefault="005A3669" w:rsidP="005A3669">
      <w:pPr>
        <w:widowControl w:val="0"/>
        <w:spacing w:after="0" w:line="240" w:lineRule="auto"/>
        <w:jc w:val="both"/>
        <w:rPr>
          <w:rFonts w:ascii="Times New Roman" w:hAnsi="Times New Roman"/>
          <w:sz w:val="20"/>
          <w:szCs w:val="20"/>
        </w:rPr>
      </w:pPr>
      <w:r w:rsidRPr="00DF3D8E">
        <w:rPr>
          <w:rFonts w:ascii="Times New Roman" w:hAnsi="Times New Roman"/>
          <w:sz w:val="20"/>
          <w:szCs w:val="20"/>
        </w:rPr>
        <w:t xml:space="preserve">Примечание: Информация по 2020 году представлена в соответствии с уточненной статистической информацией </w:t>
      </w:r>
    </w:p>
    <w:p w14:paraId="71150E13" w14:textId="77777777" w:rsidR="005A3669" w:rsidRPr="00546F8A" w:rsidRDefault="005A3669" w:rsidP="005A3669"/>
    <w:p w14:paraId="7C27F57F" w14:textId="77777777" w:rsidR="002B169F" w:rsidRPr="00375059" w:rsidRDefault="002B169F">
      <w:pPr>
        <w:rPr>
          <w:rFonts w:ascii="Times New Roman" w:hAnsi="Times New Roman"/>
        </w:rPr>
      </w:pPr>
    </w:p>
    <w:sectPr w:rsidR="002B169F" w:rsidRPr="00375059" w:rsidSect="009775B3">
      <w:headerReference w:type="even" r:id="rId79"/>
      <w:headerReference w:type="default" r:id="rId80"/>
      <w:pgSz w:w="11906" w:h="16838"/>
      <w:pgMar w:top="1134" w:right="850" w:bottom="1134" w:left="170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7835A" w14:textId="77777777" w:rsidR="00540656" w:rsidRDefault="00540656" w:rsidP="002B169F">
      <w:pPr>
        <w:spacing w:after="0" w:line="240" w:lineRule="auto"/>
      </w:pPr>
      <w:r>
        <w:separator/>
      </w:r>
    </w:p>
  </w:endnote>
  <w:endnote w:type="continuationSeparator" w:id="0">
    <w:p w14:paraId="67D43108" w14:textId="77777777" w:rsidR="00540656" w:rsidRDefault="00540656" w:rsidP="002B1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Black">
    <w:altName w:val="Calibri"/>
    <w:charset w:val="CC"/>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CC"/>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277BC" w14:textId="77777777" w:rsidR="00540656" w:rsidRDefault="00540656" w:rsidP="002B169F">
      <w:pPr>
        <w:spacing w:after="0" w:line="240" w:lineRule="auto"/>
      </w:pPr>
      <w:r>
        <w:separator/>
      </w:r>
    </w:p>
  </w:footnote>
  <w:footnote w:type="continuationSeparator" w:id="0">
    <w:p w14:paraId="1E2B0FCA" w14:textId="77777777" w:rsidR="00540656" w:rsidRDefault="00540656" w:rsidP="002B169F">
      <w:pPr>
        <w:spacing w:after="0" w:line="240" w:lineRule="auto"/>
      </w:pPr>
      <w:r>
        <w:continuationSeparator/>
      </w:r>
    </w:p>
  </w:footnote>
  <w:footnote w:id="1">
    <w:p w14:paraId="2852AF45" w14:textId="77777777" w:rsidR="00540656" w:rsidRPr="00371B19" w:rsidRDefault="00540656" w:rsidP="00C25166">
      <w:pPr>
        <w:pStyle w:val="a4"/>
        <w:rPr>
          <w:rFonts w:ascii="Times New Roman" w:hAnsi="Times New Roman"/>
        </w:rPr>
      </w:pPr>
      <w:r w:rsidRPr="00371B19">
        <w:rPr>
          <w:rStyle w:val="a6"/>
          <w:rFonts w:ascii="Times New Roman" w:hAnsi="Times New Roman"/>
        </w:rPr>
        <w:footnoteRef/>
      </w:r>
      <w:r w:rsidRPr="00371B19">
        <w:rPr>
          <w:rFonts w:ascii="Times New Roman" w:hAnsi="Times New Roman"/>
        </w:rPr>
        <w:t xml:space="preserve"> с учетом субъектов малого предпринимательства и некоммерческих организаций без силовых структур и таможенных органов республики </w:t>
      </w:r>
    </w:p>
  </w:footnote>
  <w:footnote w:id="2">
    <w:p w14:paraId="39D9259E" w14:textId="77777777" w:rsidR="00540656" w:rsidRPr="00317D8E" w:rsidRDefault="00540656" w:rsidP="00CC680C">
      <w:pPr>
        <w:spacing w:after="0" w:line="240" w:lineRule="auto"/>
        <w:jc w:val="both"/>
        <w:rPr>
          <w:rFonts w:ascii="Times New Roman" w:hAnsi="Times New Roman"/>
        </w:rPr>
      </w:pPr>
      <w:r>
        <w:rPr>
          <w:rStyle w:val="a6"/>
        </w:rPr>
        <w:footnoteRef/>
      </w:r>
      <w:r w:rsidRPr="00317D8E">
        <w:rPr>
          <w:rFonts w:ascii="Times New Roman" w:hAnsi="Times New Roman"/>
        </w:rPr>
        <w:t>операции физических и юридических лиц (кроме кредитных организаций) по покупке и продаже иностранной валюты, включая обязательную продажу части валютной выручки в ПРБ, продажу валюты коммерческими банками за счёт валютных интервенций ПРБ. Обновлённые данные</w:t>
      </w:r>
    </w:p>
    <w:p w14:paraId="5A8501FA" w14:textId="77777777" w:rsidR="00540656" w:rsidRPr="00CC680C" w:rsidRDefault="00540656" w:rsidP="00CC680C">
      <w:pPr>
        <w:pStyle w:val="a4"/>
        <w:rPr>
          <w:sz w:val="14"/>
        </w:rPr>
      </w:pPr>
    </w:p>
  </w:footnote>
  <w:footnote w:id="3">
    <w:p w14:paraId="3BA9BD05" w14:textId="77777777" w:rsidR="00540656" w:rsidRPr="00C5473D" w:rsidRDefault="00540656" w:rsidP="00CC680C">
      <w:pPr>
        <w:autoSpaceDE w:val="0"/>
        <w:autoSpaceDN w:val="0"/>
        <w:adjustRightInd w:val="0"/>
        <w:spacing w:after="0" w:line="240" w:lineRule="auto"/>
        <w:jc w:val="both"/>
        <w:rPr>
          <w:color w:val="000000"/>
        </w:rPr>
      </w:pPr>
      <w:r>
        <w:rPr>
          <w:rStyle w:val="a6"/>
        </w:rPr>
        <w:footnoteRef/>
      </w:r>
      <w:r w:rsidRPr="007F7AAD">
        <w:rPr>
          <w:rFonts w:ascii="Times New Roman" w:hAnsi="Times New Roman"/>
          <w:color w:val="000000"/>
        </w:rPr>
        <w:t>юридические лица без учёта Правительства и бюджетных организаций и физические лица, далее по тексту</w:t>
      </w:r>
    </w:p>
    <w:p w14:paraId="79C5438D" w14:textId="77777777" w:rsidR="00540656" w:rsidRDefault="00540656" w:rsidP="00201041">
      <w:pPr>
        <w:pStyle w:val="a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540656" w:rsidRPr="004F65D3" w14:paraId="0084DE1E" w14:textId="77777777" w:rsidTr="00540656">
      <w:trPr>
        <w:trHeight w:val="424"/>
      </w:trPr>
      <w:tc>
        <w:tcPr>
          <w:tcW w:w="417" w:type="pct"/>
        </w:tcPr>
        <w:p w14:paraId="3554B046" w14:textId="77777777" w:rsidR="00540656" w:rsidRPr="00786F7F" w:rsidRDefault="00540656" w:rsidP="00955C44">
          <w:pPr>
            <w:pStyle w:val="af6"/>
            <w:rPr>
              <w:sz w:val="20"/>
            </w:rPr>
          </w:pPr>
          <w:r>
            <w:rPr>
              <w:noProof/>
              <w:sz w:val="20"/>
            </w:rPr>
            <mc:AlternateContent>
              <mc:Choice Requires="wpg">
                <w:drawing>
                  <wp:anchor distT="0" distB="0" distL="114300" distR="114300" simplePos="0" relativeHeight="251698176" behindDoc="0" locked="0" layoutInCell="1" allowOverlap="1" wp14:anchorId="0449C246" wp14:editId="1CAEB2B4">
                    <wp:simplePos x="0" y="0"/>
                    <wp:positionH relativeFrom="column">
                      <wp:posOffset>52003</wp:posOffset>
                    </wp:positionH>
                    <wp:positionV relativeFrom="paragraph">
                      <wp:posOffset>26114</wp:posOffset>
                    </wp:positionV>
                    <wp:extent cx="284480" cy="266700"/>
                    <wp:effectExtent l="0" t="0" r="1270" b="0"/>
                    <wp:wrapNone/>
                    <wp:docPr id="5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56"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57"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8CAFA94" id="Group 41" o:spid="_x0000_s1026" style="position:absolute;margin-left:4.1pt;margin-top:2.05pt;width:22.4pt;height:21pt;z-index:251698176"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auogIAAKwHAAAOAAAAZHJzL2Uyb0RvYy54bWzcVdlu3CAUfa/Uf0C8N17Gs9SKJ4qyqVKX&#10;qGk/gMF4UW2gF2Y86df3AvZkmkaqlKp5qB8s4C7ce84BTs/2fUd2AkyrZEGTk5gSIbkqW1kX9OuX&#10;6zcrSoxlsmSdkqKg98LQs/XrV6eDzkWqGtWVAggmkSYfdEEba3UeRYY3omfmRGkh0Vgp6JnFKdRR&#10;CWzA7H0XpXG8iAYFpQbFhTG4ehmMdO3zV5Xg9lNVGWFJV1Cszfo/+P/G/aP1KctrYLpp+VgGe0YV&#10;PWslbnpIdcksI1tof0vVtxyUUZU94aqPVFW1XPgesJskftTNDait9r3U+VDrA0wI7SOcnp2Wf9zd&#10;AmnLgs7nlEjWI0d+W5IlDpxB1zn63IC+07cQOsThe8W/GTRHj+1uXgdnshk+qBLzsa1VHpx9Bb1L&#10;gW2Tvefg/sCB2FvCcTFdZdkKmeJoSheLZTxyxBsk0kUlSbycUYLmZBFni8Agb67GeIwOwVnqIyOW&#10;h219qWNpri/Um3mA1PwdpHcN08IzZRxcE6SLCdLPKEQm606QLA2wer8JUxMAJVJdNOgmzgHU0AhW&#10;YlmeBiz+KMBNDNLxR4SfxGpCepaNMLuB43JCiuUajL0RqiduUFDA6j2BbPfe2OA6uTg+jera8rrt&#10;Oj+BenPRAdkxd+Su02x2NWb/xa2TzlkqFxYyuhXfp2stMLRR5T22CSqcW7xncNAo+EHJgGe2oOb7&#10;loGgpHsnEaq3SeZ6sn6SzZeoAALHls2xhUmOqQpqKQnDCxsuhq2Gtm5wp8Q3LdU5CrhqfeMO+lDV&#10;WCyK6KXUtHxCTbMXVVOySsaTl6TjyfvXanIPgTjoaVMHTrptj3dL0Ng8xm+S2OTu5fz/Cs5fZvgk&#10;+DbH58u9OcdzL9CHR3b9EwAA//8DAFBLAwQUAAYACAAAACEALKaX7dwAAAAFAQAADwAAAGRycy9k&#10;b3ducmV2LnhtbEyPQWvCQBSE74X+h+UVequb1SoSsxGRticpVAvF25p9JsHs25Bdk/jv+3qqx2GG&#10;mW+y9ega0WMXak8a1CQBgVR4W1Op4fvw/rIEEaIhaxpPqOGGAdb540NmUusH+sJ+H0vBJRRSo6GK&#10;sU2lDEWFzoSJb5HYO/vOmciyK6XtzMDlrpHTJFlIZ2rihcq0uK2wuOyvTsPHYIbNTL31u8t5ezse&#10;5p8/O4VaPz+NmxWIiGP8D8MfPqNDzkwnfyUbRKNhOeWghlcFgt35jI+dWC4UyDyT9/T5LwAAAP//&#10;AwBQSwECLQAUAAYACAAAACEAtoM4kv4AAADhAQAAEwAAAAAAAAAAAAAAAAAAAAAAW0NvbnRlbnRf&#10;VHlwZXNdLnhtbFBLAQItABQABgAIAAAAIQA4/SH/1gAAAJQBAAALAAAAAAAAAAAAAAAAAC8BAABf&#10;cmVscy8ucmVsc1BLAQItABQABgAIAAAAIQDmfKauogIAAKwHAAAOAAAAAAAAAAAAAAAAAC4CAABk&#10;cnMvZTJvRG9jLnhtbFBLAQItABQABgAIAAAAIQAsppft3AAAAAUBAAAPAAAAAAAAAAAAAAAAAPwE&#10;AABkcnMvZG93bnJldi54bWxQSwUGAAAAAAQABADzAAAABQY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QcwQAAANsAAAAPAAAAZHJzL2Rvd25yZXYueG1sRI9Bi8Iw&#10;FITvgv8hPMGbpgqVtRpFBFFkD2714PHRPNti81KaaOu/3wiCx2FmvmGW685U4kmNKy0rmIwjEMSZ&#10;1SXnCi7n3egHhPPIGivLpOBFDtarfm+JibYt/9Ez9bkIEHYJKii8rxMpXVaQQTe2NXHwbrYx6INs&#10;cqkbbAPcVHIaRTNpsOSwUGBN24Kye/owCo77OJeb6yHa/jo8xa4185uZKjUcdJsFCE+d/4Y/7YNW&#10;EM/g/SX8ALn6BwAA//8DAFBLAQItABQABgAIAAAAIQDb4fbL7gAAAIUBAAATAAAAAAAAAAAAAAAA&#10;AAAAAABbQ29udGVudF9UeXBlc10ueG1sUEsBAi0AFAAGAAgAAAAhAFr0LFu/AAAAFQEAAAsAAAAA&#10;AAAAAAAAAAAAHwEAAF9yZWxzLy5yZWxzUEsBAi0AFAAGAAgAAAAhALuIhBzBAAAA2wAAAA8AAAAA&#10;AAAAAAAAAAAABwIAAGRycy9kb3ducmV2LnhtbFBLBQYAAAAAAwADALcAAAD1Ag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DGwwAAANsAAAAPAAAAZHJzL2Rvd25yZXYueG1sRI9Pi8Iw&#10;FMTvwn6H8Bb2pukKW6WaFlnwz0VB3QWPz+bZFpuX0kSt394IgsdhZn7DTLPO1OJKrassK/geRCCI&#10;c6srLhT87ef9MQjnkTXWlknBnRxk6Udviom2N97SdecLESDsElRQet8kUrq8JINuYBvi4J1sa9AH&#10;2RZSt3gLcFPLYRTF0mDFYaHEhn5Lys+7i1EQu0PsljN5tIt8v/Wbf5Lrw0Wpr89uNgHhqfPv8Ku9&#10;0gp+RvD8En6ATB8AAAD//wMAUEsBAi0AFAAGAAgAAAAhANvh9svuAAAAhQEAABMAAAAAAAAAAAAA&#10;AAAAAAAAAFtDb250ZW50X1R5cGVzXS54bWxQSwECLQAUAAYACAAAACEAWvQsW78AAAAVAQAACwAA&#10;AAAAAAAAAAAAAAAfAQAAX3JlbHMvLnJlbHNQSwECLQAUAAYACAAAACEAm+LAxsMAAADbAAAADwAA&#10;AAAAAAAAAAAAAAAHAgAAZHJzL2Rvd25yZXYueG1sUEsFBgAAAAADAAMAtwAAAPcCAAAAAA==&#10;" fillcolor="#7f7f7f [1612]" stroked="f"/>
                  </v:group>
                </w:pict>
              </mc:Fallback>
            </mc:AlternateContent>
          </w:r>
        </w:p>
      </w:tc>
      <w:tc>
        <w:tcPr>
          <w:tcW w:w="4106" w:type="pct"/>
          <w:shd w:val="clear" w:color="auto" w:fill="auto"/>
          <w:vAlign w:val="bottom"/>
        </w:tcPr>
        <w:p w14:paraId="0CFB452D" w14:textId="77777777" w:rsidR="00540656" w:rsidRPr="00963998" w:rsidRDefault="00540656" w:rsidP="00955C44">
          <w:pPr>
            <w:pStyle w:val="af6"/>
            <w:rPr>
              <w:b/>
              <w:color w:val="808080" w:themeColor="background1" w:themeShade="80"/>
            </w:rPr>
          </w:pPr>
          <w:r>
            <w:rPr>
              <w:rFonts w:ascii="Times New Roman" w:hAnsi="Times New Roman"/>
              <w:b/>
              <w:color w:val="808080" w:themeColor="background1" w:themeShade="80"/>
              <w:szCs w:val="24"/>
            </w:rPr>
            <w:t>Основные тенденции развития экономики</w:t>
          </w:r>
        </w:p>
      </w:tc>
      <w:tc>
        <w:tcPr>
          <w:tcW w:w="477" w:type="pct"/>
          <w:shd w:val="clear" w:color="auto" w:fill="808080" w:themeFill="background1" w:themeFillShade="80"/>
          <w:vAlign w:val="center"/>
        </w:tcPr>
        <w:p w14:paraId="1E99775D" w14:textId="77777777" w:rsidR="00540656" w:rsidRPr="00963998" w:rsidRDefault="00540656" w:rsidP="00955C44">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sidRPr="00963998">
            <w:rPr>
              <w:rFonts w:ascii="Times New Roman" w:hAnsi="Times New Roman"/>
              <w:b/>
              <w:noProof/>
            </w:rPr>
            <w:t>3</w:t>
          </w:r>
          <w:r w:rsidRPr="00963998">
            <w:rPr>
              <w:rFonts w:ascii="Times New Roman" w:hAnsi="Times New Roman"/>
              <w:b/>
            </w:rPr>
            <w:fldChar w:fldCharType="end"/>
          </w:r>
        </w:p>
      </w:tc>
    </w:tr>
  </w:tbl>
  <w:p w14:paraId="7143FE85" w14:textId="4F28ADFA" w:rsidR="00540656" w:rsidRDefault="00540656">
    <w:pPr>
      <w:pStyle w:val="af4"/>
    </w:pPr>
    <w:r>
      <w:rPr>
        <w:noProof/>
      </w:rPr>
      <mc:AlternateContent>
        <mc:Choice Requires="wps">
          <w:drawing>
            <wp:anchor distT="0" distB="0" distL="114300" distR="114300" simplePos="0" relativeHeight="251668480" behindDoc="0" locked="0" layoutInCell="1" allowOverlap="1" wp14:anchorId="260DA2A8" wp14:editId="78744798">
              <wp:simplePos x="0" y="0"/>
              <wp:positionH relativeFrom="margin">
                <wp:align>right</wp:align>
              </wp:positionH>
              <wp:positionV relativeFrom="paragraph">
                <wp:posOffset>70267</wp:posOffset>
              </wp:positionV>
              <wp:extent cx="5983112" cy="0"/>
              <wp:effectExtent l="0" t="0" r="0" b="0"/>
              <wp:wrapNone/>
              <wp:docPr id="103" name="Прямая соединительная линия 103"/>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597F8DA4" id="Прямая соединительная линия 103" o:spid="_x0000_s1026" style="position:absolute;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52EwIAAE0EAAAOAAAAZHJzL2Uyb0RvYy54bWysVEuO1DAQ3SNxB8t7OkmPBg1Rp2cxo2HD&#10;p8XnAG7H7ljyT7anPztgjdRH4AosQBppgDMkN5qyk06PACGByMJx/V5Vvapkdr5VEq2Z88LoCheT&#10;HCOmqamFXlX47ZurR2cY+UB0TaTRrMI75vH5/OGD2caWbGoaI2vmEIBoX25shZsQbJllnjZMET8x&#10;lmkwcuMUCSC6VVY7sgF0JbNpnj/ONsbV1hnKvAftZW/E84TPOaPhJeeeBSQrDLWFdLp0LuOZzWek&#10;XDliG0GHMsg/VKGI0JB0hLokgaBrJ36BUoI64w0PE2pUZjgXlKUeoJsi/6mb1w2xLPUC5Hg70uT/&#10;Hyx9sV44JGqYXX6CkSYKhtR+6t51+/Zb+7nbo+59+6P92n5pb9rv7U33Ae633Ue4R2N7O6j3KMYD&#10;mxvrSwC90As3SN4uXKRmy52Kb2gabdMEduME2DYgCsrTJ2cnRTHFiB5s2THQOh+eMqNQvFRYCh3J&#10;ISVZP/MBkoHrwSWqpY6nN1LUV0LKJMS1YhfSoTWBhViuigQgr9VzU/e60xye2AigpS2M7r10RAJb&#10;RM9is3176RZ2kvWZXzEOpEJDfYIRqM9BKGU6FEMWqcE7hnGocgzMU2V/DBz8YyhLq/43wWNEymx0&#10;GIOV0Mb9LnvYHkrmvf+Bgb7vSMHS1Ls0+EQN7Gxibvi+4kdxX07hx7/A/A4AAP//AwBQSwMEFAAG&#10;AAgAAAAhAOSwQtPZAAAABgEAAA8AAABkcnMvZG93bnJldi54bWxMj0FPg0AQhe8m/ofNmHizC6Qx&#10;iixNg3rwprRpPE5hBFJ2lrALxX/vGA/2+N6bvPdNtllsr2YafefYQLyKQBFXru64MbDfvd49gPIB&#10;ucbeMRn4Jg+b/Poqw7R2Z/6guQyNkhL2KRpoQxhSrX3VkkW/cgOxZF9utBhEjo2uRzxLue11EkX3&#10;2mLHstDiQEVL1amcrAH7XLwcdtNczgWt35fPJtnj28GY25tl+wQq0BL+j+EXX9AhF6ajm7j2qjcg&#10;jwRx4xiUpI/rJAF1/DN0nulL/PwHAAD//wMAUEsBAi0AFAAGAAgAAAAhALaDOJL+AAAA4QEAABMA&#10;AAAAAAAAAAAAAAAAAAAAAFtDb250ZW50X1R5cGVzXS54bWxQSwECLQAUAAYACAAAACEAOP0h/9YA&#10;AACUAQAACwAAAAAAAAAAAAAAAAAvAQAAX3JlbHMvLnJlbHNQSwECLQAUAAYACAAAACEAmOOudhMC&#10;AABNBAAADgAAAAAAAAAAAAAAAAAuAgAAZHJzL2Uyb0RvYy54bWxQSwECLQAUAAYACAAAACEA5LBC&#10;09kAAAAGAQAADwAAAAAAAAAAAAAAAABtBAAAZHJzL2Rvd25yZXYueG1sUEsFBgAAAAAEAAQA8wAA&#10;AHMFAAAAAA==&#10;" strokecolor="#7f7f7f [1612]" strokeweight=".5pt">
              <v:stroke joinstyle="miter"/>
              <w10:wrap anchorx="margin"/>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540656" w:rsidRPr="004F65D3" w14:paraId="08C2A1D3" w14:textId="77777777" w:rsidTr="00540656">
      <w:trPr>
        <w:trHeight w:val="424"/>
      </w:trPr>
      <w:tc>
        <w:tcPr>
          <w:tcW w:w="417" w:type="pct"/>
        </w:tcPr>
        <w:p w14:paraId="0804A16F" w14:textId="77777777" w:rsidR="00540656" w:rsidRPr="00786F7F" w:rsidRDefault="00540656" w:rsidP="00955C44">
          <w:pPr>
            <w:pStyle w:val="af6"/>
            <w:rPr>
              <w:sz w:val="20"/>
            </w:rPr>
          </w:pPr>
          <w:r>
            <w:rPr>
              <w:noProof/>
              <w:sz w:val="20"/>
            </w:rPr>
            <mc:AlternateContent>
              <mc:Choice Requires="wpg">
                <w:drawing>
                  <wp:anchor distT="0" distB="0" distL="114300" distR="114300" simplePos="0" relativeHeight="251701248" behindDoc="0" locked="0" layoutInCell="1" allowOverlap="1" wp14:anchorId="3E35FFF9" wp14:editId="38A9C2A8">
                    <wp:simplePos x="0" y="0"/>
                    <wp:positionH relativeFrom="column">
                      <wp:posOffset>52003</wp:posOffset>
                    </wp:positionH>
                    <wp:positionV relativeFrom="paragraph">
                      <wp:posOffset>26114</wp:posOffset>
                    </wp:positionV>
                    <wp:extent cx="284480" cy="266700"/>
                    <wp:effectExtent l="0" t="0" r="1270" b="0"/>
                    <wp:wrapNone/>
                    <wp:docPr id="18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81"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82"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7F077CF" id="Group 41" o:spid="_x0000_s1026" style="position:absolute;margin-left:4.1pt;margin-top:2.05pt;width:22.4pt;height:21pt;z-index:251701248"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KAowIAAK8HAAAOAAAAZHJzL2Uyb0RvYy54bWzcVdtu3CAQfa/Uf0C8N76ss9la8UZRbqqU&#10;tlHTfgCL8UW1gQ7setOvzwD2ZruNVClV81A/WMBcmDnnAKdn274jGwGmVbKgyVFMiZBcla2sC/rt&#10;6/W7BSXGMlmyTklR0Adh6Nny7ZvTQeciVY3qSgEEk0iTD7qgjbU6jyLDG9Ezc6S0kGisFPTM4hTq&#10;qAQ2YPa+i9I4nkeDglKD4sIYXL0MRrr0+atKcPu5qoywpCso1mb9H/x/5f7R8pTlNTDdtHwsg72g&#10;ip61EjfdpbpklpE1tL+l6lsOyqjKHnHVR6qqWi58D9hNEh90cwNqrX0vdT7UegcTQnuA04vT8k+b&#10;OyBtidwtEB/JeiTJ70uyxKEz6DpHpxvQ9/oOQos4vFX8u0FzdGh38zo4k9XwUZWYj62t8uhsK+hd&#10;CuybbD0JDzsSxNYSjovpIstcKRxN6Xx+Eo8k8QaZdFFJEp/MKEFzMo+zeaCQN1djPEaH4Cz1kRHL&#10;w7a+1LE01xcKzjxhav4O0/uGaeGpMg6uHabJhOkXlCKTdSdIlgZcveMEqgmIEqkuGnQT5wBqaAQr&#10;sS7PA1a/F+AmBvn4I8TPgjVBPctGnN3AkTlBxXINxt4I1RM3KChg9Z5Btrk1NrhOLo5Qo7q2vG67&#10;zk+gXl10QDbMHbrrNJtdjdl/ceukc5bKhYWMbsX36VoLFK1U+YBtggonF28aHDQKflIy4KktqPmx&#10;ZiAo6T5IhOp9krmerJ9kxycoAQL7ltW+hUmOqQpqKQnDCxuuhrWGtm5wp8Q3LdU5KrhqfeMO+lDV&#10;WCyq6NXklD4jp9mryilZoKT92UvS8ez9azm5t0DsBLWqAyndusfbJYjsOMZv0tjk7vX8/yrOX2f4&#10;Kvg2xxfMPTv7c6/Qp3d2+QgAAP//AwBQSwMEFAAGAAgAAAAhACyml+3cAAAABQEAAA8AAABkcnMv&#10;ZG93bnJldi54bWxMj0FrwkAUhO+F/oflFXqrm9UqErMRkbYnKVQLxduafSbB7NuQXZP47/t6qsdh&#10;hplvsvXoGtFjF2pPGtQkAYFUeFtTqeH78P6yBBGiIWsaT6jhhgHW+eNDZlLrB/rCfh9LwSUUUqOh&#10;irFNpQxFhc6EiW+R2Dv7zpnIsiul7czA5a6R0yRZSGdq4oXKtLitsLjsr07Dx2CGzUy99bvLeXs7&#10;HuafPzuFWj8/jZsViIhj/A/DHz6jQ85MJ38lG0SjYTnloIZXBYLd+YyPnVguFMg8k/f0+S8AAAD/&#10;/wMAUEsBAi0AFAAGAAgAAAAhALaDOJL+AAAA4QEAABMAAAAAAAAAAAAAAAAAAAAAAFtDb250ZW50&#10;X1R5cGVzXS54bWxQSwECLQAUAAYACAAAACEAOP0h/9YAAACUAQAACwAAAAAAAAAAAAAAAAAvAQAA&#10;X3JlbHMvLnJlbHNQSwECLQAUAAYACAAAACEAi2kigKMCAACvBwAADgAAAAAAAAAAAAAAAAAuAgAA&#10;ZHJzL2Uyb0RvYy54bWxQSwECLQAUAAYACAAAACEALKaX7dwAAAAFAQAADwAAAAAAAAAAAAAAAAD9&#10;BAAAZHJzL2Rvd25yZXYueG1sUEsFBgAAAAAEAAQA8wAAAAYGA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umvgAAANwAAAAPAAAAZHJzL2Rvd25yZXYueG1sRE9LCsIw&#10;EN0L3iGM4E5TBUWrUUQQRVz4W7gcmrEtNpPSRFtvbwTB3Tzed+bLxhTiRZXLLSsY9CMQxInVOacK&#10;rpdNbwLCeWSNhWVS8CYHy0W7NcdY25pP9Dr7VIQQdjEqyLwvYyldkpFB17clceDutjLoA6xSqSus&#10;Q7gp5DCKxtJgzqEhw5LWGSWP89Mo2G9HqVzddtH64PA4crWZ3s1QqW6nWc1AeGr8X/xz73SYPxnA&#10;95lwgVx8AAAA//8DAFBLAQItABQABgAIAAAAIQDb4fbL7gAAAIUBAAATAAAAAAAAAAAAAAAAAAAA&#10;AABbQ29udGVudF9UeXBlc10ueG1sUEsBAi0AFAAGAAgAAAAhAFr0LFu/AAAAFQEAAAsAAAAAAAAA&#10;AAAAAAAAHwEAAF9yZWxzLy5yZWxzUEsBAi0AFAAGAAgAAAAhAPu5e6a+AAAA3AAAAA8AAAAAAAAA&#10;AAAAAAAABwIAAGRycy9kb3ducmV2LnhtbFBLBQYAAAAAAwADALcAAADyAg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c3vgAAANwAAAAPAAAAZHJzL2Rvd25yZXYueG1sRE/JCsIw&#10;EL0L/kMYwZumeihSjSKCy0XBDTyOzdgWm0lpota/N4LgbR5vncmsMaV4Uu0KywoG/QgEcWp1wZmC&#10;03HZG4FwHlljaZkUvMnBbNpuTTDR9sV7eh58JkIIuwQV5N5XiZQuzcmg69uKOHA3Wxv0AdaZ1DW+&#10;Qrgp5TCKYmmw4NCQY0WLnNL74WEUxO4Su/VcXu0qPe797kxye3ko1e008zEIT43/i3/ujQ7zR0P4&#10;PhMukNMPAAAA//8DAFBLAQItABQABgAIAAAAIQDb4fbL7gAAAIUBAAATAAAAAAAAAAAAAAAAAAAA&#10;AABbQ29udGVudF9UeXBlc10ueG1sUEsBAi0AFAAGAAgAAAAhAFr0LFu/AAAAFQEAAAsAAAAAAAAA&#10;AAAAAAAAHwEAAF9yZWxzLy5yZWxzUEsBAi0AFAAGAAgAAAAhACzWxze+AAAA3AAAAA8AAAAAAAAA&#10;AAAAAAAABwIAAGRycy9kb3ducmV2LnhtbFBLBQYAAAAAAwADALcAAADyAgAAAAA=&#10;" fillcolor="#7f7f7f [1612]" stroked="f"/>
                  </v:group>
                </w:pict>
              </mc:Fallback>
            </mc:AlternateContent>
          </w:r>
        </w:p>
      </w:tc>
      <w:tc>
        <w:tcPr>
          <w:tcW w:w="4106" w:type="pct"/>
          <w:shd w:val="clear" w:color="auto" w:fill="auto"/>
          <w:vAlign w:val="bottom"/>
        </w:tcPr>
        <w:p w14:paraId="34B1DBB8" w14:textId="24E0A9EA" w:rsidR="00540656" w:rsidRPr="00963998" w:rsidRDefault="00540656" w:rsidP="00955C44">
          <w:pPr>
            <w:pStyle w:val="af6"/>
            <w:rPr>
              <w:b/>
              <w:color w:val="808080" w:themeColor="background1" w:themeShade="80"/>
            </w:rPr>
          </w:pPr>
          <w:r>
            <w:rPr>
              <w:rFonts w:ascii="Times New Roman" w:hAnsi="Times New Roman"/>
              <w:b/>
              <w:color w:val="808080" w:themeColor="background1" w:themeShade="80"/>
              <w:szCs w:val="24"/>
            </w:rPr>
            <w:t>Состояние социальной сферы</w:t>
          </w:r>
        </w:p>
      </w:tc>
      <w:tc>
        <w:tcPr>
          <w:tcW w:w="477" w:type="pct"/>
          <w:shd w:val="clear" w:color="auto" w:fill="808080" w:themeFill="background1" w:themeFillShade="80"/>
          <w:vAlign w:val="center"/>
        </w:tcPr>
        <w:p w14:paraId="2646E4C2" w14:textId="77777777" w:rsidR="00540656" w:rsidRPr="00963998" w:rsidRDefault="00540656" w:rsidP="00955C44">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Pr>
              <w:rFonts w:ascii="Times New Roman" w:hAnsi="Times New Roman"/>
              <w:b/>
            </w:rPr>
            <w:t>45</w:t>
          </w:r>
          <w:r w:rsidRPr="00963998">
            <w:rPr>
              <w:rFonts w:ascii="Times New Roman" w:hAnsi="Times New Roman"/>
              <w:b/>
            </w:rPr>
            <w:fldChar w:fldCharType="end"/>
          </w:r>
        </w:p>
      </w:tc>
    </w:tr>
  </w:tbl>
  <w:p w14:paraId="54D27666" w14:textId="3241B7A7" w:rsidR="00540656" w:rsidRPr="001D3299" w:rsidRDefault="00540656" w:rsidP="00955C44">
    <w:pPr>
      <w:pStyle w:val="af4"/>
    </w:pPr>
    <w:r>
      <w:rPr>
        <w:noProof/>
      </w:rPr>
      <mc:AlternateContent>
        <mc:Choice Requires="wps">
          <w:drawing>
            <wp:anchor distT="0" distB="0" distL="114300" distR="114300" simplePos="0" relativeHeight="251700224" behindDoc="0" locked="0" layoutInCell="1" allowOverlap="1" wp14:anchorId="639D80A5" wp14:editId="2C5D1D13">
              <wp:simplePos x="0" y="0"/>
              <wp:positionH relativeFrom="margin">
                <wp:align>right</wp:align>
              </wp:positionH>
              <wp:positionV relativeFrom="paragraph">
                <wp:posOffset>70267</wp:posOffset>
              </wp:positionV>
              <wp:extent cx="5983112" cy="0"/>
              <wp:effectExtent l="0" t="0" r="0" b="0"/>
              <wp:wrapNone/>
              <wp:docPr id="183" name="Прямая соединительная линия 183"/>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4CA374A8" id="Прямая соединительная линия 183" o:spid="_x0000_s1026" style="position:absolute;z-index:2517002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eXEwIAAE0EAAAOAAAAZHJzL2Uyb0RvYy54bWysVEuO1DAQ3SNxB8t7OkmPBjVRp2cxo2HD&#10;p8XnAG7H7ljyT7anPztgjdRH4AosQBppgDMkN6LspNMIEBKILBzX71XVq0rmFzsl0YY5L4yucDHJ&#10;MWKamlrodYVfv7p+MMPIB6JrIo1mFd4zjy8W9+/Nt7ZkU9MYWTOHAET7cmsr3IRgyyzztGGK+Imx&#10;TIORG6dIANGts9qRLaArmU3z/GG2Na62zlDmPWiveiNeJHzOGQ3POfcsIFlhqC2k06VzFc9sMSfl&#10;2hHbCDqUQf6hCkWEhqQj1BUJBN048QuUEtQZb3iYUKMyw7mgLPUA3RT5T928bIhlqRcgx9uRJv//&#10;YOmzzdIhUcPsZmcYaaJgSO2H7k13aL+0H7sD6t6239rP7af2tv3a3nbv4H7XvYd7NLZ3g/qAYjyw&#10;ubW+BNBLvXSD5O3SRWp23Kn4hqbRLk1gP06A7QKioDx/NDsriilG9GjLToHW+fCYGYXipcJS6EgO&#10;KcnmiQ+QDFyPLlEtdTy9kaK+FlImIa4Vu5QObQgsxGpdJAB5o56auted5/DERgAtbWF076UTEtgi&#10;ehab7dtLt7CXrM/8gnEgFRrqE4xAfQ5CKdOhGLJIDd4xjEOVY2CeKvtj4OAfQ1la9b8JHiNSZqPD&#10;GKyENu532cPuWDLv/Y8M9H1HClam3qfBJ2pgZxNzw/cVP4of5RR++gssvgMAAP//AwBQSwMEFAAG&#10;AAgAAAAhAOSwQtPZAAAABgEAAA8AAABkcnMvZG93bnJldi54bWxMj0FPg0AQhe8m/ofNmHizC6Qx&#10;iixNg3rwprRpPE5hBFJ2lrALxX/vGA/2+N6bvPdNtllsr2YafefYQLyKQBFXru64MbDfvd49gPIB&#10;ucbeMRn4Jg+b/Poqw7R2Z/6guQyNkhL2KRpoQxhSrX3VkkW/cgOxZF9utBhEjo2uRzxLue11EkX3&#10;2mLHstDiQEVL1amcrAH7XLwcdtNczgWt35fPJtnj28GY25tl+wQq0BL+j+EXX9AhF6ajm7j2qjcg&#10;jwRx4xiUpI/rJAF1/DN0nulL/PwHAAD//wMAUEsBAi0AFAAGAAgAAAAhALaDOJL+AAAA4QEAABMA&#10;AAAAAAAAAAAAAAAAAAAAAFtDb250ZW50X1R5cGVzXS54bWxQSwECLQAUAAYACAAAACEAOP0h/9YA&#10;AACUAQAACwAAAAAAAAAAAAAAAAAvAQAAX3JlbHMvLnJlbHNQSwECLQAUAAYACAAAACEAn5OnlxMC&#10;AABNBAAADgAAAAAAAAAAAAAAAAAuAgAAZHJzL2Uyb0RvYy54bWxQSwECLQAUAAYACAAAACEA5LBC&#10;09kAAAAGAQAADwAAAAAAAAAAAAAAAABtBAAAZHJzL2Rvd25yZXYueG1sUEsFBgAAAAAEAAQA8wAA&#10;AHMFAAAAAA==&#10;" strokecolor="#7f7f7f [1612]" strokeweight=".5pt">
              <v:stroke joinstyle="miter"/>
              <w10:wrap anchorx="margin"/>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558" w:type="pc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80"/>
      <w:gridCol w:w="3009"/>
      <w:gridCol w:w="6410"/>
    </w:tblGrid>
    <w:tr w:rsidR="00540656" w:rsidRPr="004F65D3" w14:paraId="2787E637" w14:textId="77777777" w:rsidTr="00540656">
      <w:trPr>
        <w:trHeight w:val="425"/>
      </w:trPr>
      <w:tc>
        <w:tcPr>
          <w:tcW w:w="471" w:type="pct"/>
          <w:shd w:val="clear" w:color="auto" w:fill="808080" w:themeFill="background1" w:themeFillShade="80"/>
          <w:vAlign w:val="center"/>
        </w:tcPr>
        <w:p w14:paraId="1ED0D13C" w14:textId="77777777" w:rsidR="00540656" w:rsidRPr="009940AD" w:rsidRDefault="00540656" w:rsidP="00955C44">
          <w:pPr>
            <w:pStyle w:val="af6"/>
            <w:ind w:left="-144"/>
            <w:jc w:val="right"/>
            <w:rPr>
              <w:rFonts w:ascii="Times New Roman" w:hAnsi="Times New Roman"/>
              <w:b/>
              <w:sz w:val="24"/>
            </w:rPr>
          </w:pPr>
          <w:r w:rsidRPr="009940AD">
            <w:rPr>
              <w:rFonts w:ascii="Times New Roman" w:hAnsi="Times New Roman"/>
              <w:b/>
            </w:rPr>
            <w:fldChar w:fldCharType="begin"/>
          </w:r>
          <w:r w:rsidRPr="009940AD">
            <w:rPr>
              <w:rFonts w:ascii="Times New Roman" w:hAnsi="Times New Roman"/>
              <w:b/>
            </w:rPr>
            <w:instrText xml:space="preserve"> PAGE   \* MERGEFORMAT </w:instrText>
          </w:r>
          <w:r w:rsidRPr="009940AD">
            <w:rPr>
              <w:rFonts w:ascii="Times New Roman" w:hAnsi="Times New Roman"/>
              <w:b/>
            </w:rPr>
            <w:fldChar w:fldCharType="separate"/>
          </w:r>
          <w:r>
            <w:rPr>
              <w:rFonts w:ascii="Times New Roman" w:hAnsi="Times New Roman"/>
              <w:b/>
            </w:rPr>
            <w:t>46</w:t>
          </w:r>
          <w:r w:rsidRPr="009940AD">
            <w:rPr>
              <w:rFonts w:ascii="Times New Roman" w:hAnsi="Times New Roman"/>
              <w:b/>
            </w:rPr>
            <w:fldChar w:fldCharType="end"/>
          </w:r>
        </w:p>
      </w:tc>
      <w:tc>
        <w:tcPr>
          <w:tcW w:w="1447" w:type="pct"/>
          <w:vAlign w:val="center"/>
        </w:tcPr>
        <w:p w14:paraId="4BF7A4DE" w14:textId="77777777" w:rsidR="00540656" w:rsidRPr="002A0F90" w:rsidRDefault="00540656" w:rsidP="00955C44">
          <w:pPr>
            <w:pStyle w:val="af6"/>
            <w:tabs>
              <w:tab w:val="clear" w:pos="9355"/>
              <w:tab w:val="right" w:pos="9534"/>
            </w:tabs>
            <w:ind w:firstLine="319"/>
            <w:jc w:val="right"/>
            <w:rPr>
              <w:rFonts w:ascii="Montserrat" w:hAnsi="Montserrat"/>
              <w:b/>
              <w:color w:val="2F5496" w:themeColor="accent1" w:themeShade="BF"/>
              <w:sz w:val="16"/>
              <w:szCs w:val="18"/>
            </w:rPr>
          </w:pPr>
        </w:p>
      </w:tc>
      <w:tc>
        <w:tcPr>
          <w:tcW w:w="3082" w:type="pct"/>
          <w:vAlign w:val="bottom"/>
        </w:tcPr>
        <w:p w14:paraId="767CA9B8" w14:textId="3C2846F4" w:rsidR="00540656" w:rsidRDefault="00540656" w:rsidP="00955C44">
          <w:pPr>
            <w:pStyle w:val="af6"/>
            <w:ind w:right="127"/>
            <w:jc w:val="right"/>
          </w:pPr>
          <w:r>
            <w:rPr>
              <w:rFonts w:ascii="Times New Roman" w:hAnsi="Times New Roman"/>
              <w:b/>
              <w:color w:val="808080" w:themeColor="background1" w:themeShade="80"/>
            </w:rPr>
            <w:t>Финансы</w:t>
          </w:r>
        </w:p>
      </w:tc>
    </w:tr>
  </w:tbl>
  <w:p w14:paraId="239794E3" w14:textId="77777777" w:rsidR="00540656" w:rsidRPr="00955C44" w:rsidRDefault="00540656" w:rsidP="00955C44">
    <w:pPr>
      <w:pStyle w:val="af4"/>
    </w:pPr>
    <w:r>
      <w:rPr>
        <w:noProof/>
      </w:rPr>
      <mc:AlternateContent>
        <mc:Choice Requires="wpg">
          <w:drawing>
            <wp:anchor distT="0" distB="0" distL="114300" distR="114300" simplePos="0" relativeHeight="251715584" behindDoc="0" locked="0" layoutInCell="1" allowOverlap="1" wp14:anchorId="09379831" wp14:editId="34D64D78">
              <wp:simplePos x="0" y="0"/>
              <wp:positionH relativeFrom="rightMargin">
                <wp:align>left</wp:align>
              </wp:positionH>
              <wp:positionV relativeFrom="paragraph">
                <wp:posOffset>-242570</wp:posOffset>
              </wp:positionV>
              <wp:extent cx="284480" cy="266700"/>
              <wp:effectExtent l="0" t="0" r="1270" b="0"/>
              <wp:wrapNone/>
              <wp:docPr id="20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210" name="Rectangle 14"/>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211" name="Rectangle 15"/>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9B013C3" id="Group 16" o:spid="_x0000_s1026" style="position:absolute;margin-left:0;margin-top:-19.1pt;width:22.4pt;height:21pt;z-index:251715584;mso-position-horizontal:left;mso-position-horizontal-relative:right-margin-area"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HApwIAAK8HAAAOAAAAZHJzL2Uyb0RvYy54bWzcVdtu3CAQfa/Uf0C8NzaOs9lY8UZRbqqU&#10;tlHTfgCL8UW1gQ7setOv7wDezTaNVClV81A/WMBcmHPmAKdnm6Enawm206qk7CClRCqhq041Jf36&#10;5frdnBLruKp4r5Us6YO09Gzx9s3paAqZ6Vb3lQSCSZQtRlPS1jlTJIkVrRy4PdBGKjTWGgbucApN&#10;UgEfMfvQJ1mazpJRQ2VAC2ktrl5GI12E/HUthftU11Y60pcUa3PhD+G/9P9kccqLBrhpOzGVwV9Q&#10;xcA7hZvuUl1yx8kKut9SDZ0AbXXtDoQeEl3XnZABA6Jh6RM0N6BXJmBpirExO5qQ2ic8vTit+Li+&#10;A9JVJc3SE0oUH7BJYV/CZp6d0TQFOt2AuTd3ECHi8FaLbxbNyVO7nzfRmSzHD7rCfHzldGBnU8Pg&#10;UyBusglNeNg1QW4cEbiYzfN8jq0SaMpms+N0apJosZM+irH0+JASNLNZmocieSHaqykeo2NwnoXI&#10;hBdx21DqVJrHhYKzj5zav+P0vuVGhlZZT9eWU4ZAIqefUYpcNb0kLI+8BsctqTYySpS+aNFNngPo&#10;sZW8wrqY98fq9wL8xGI//kjxs2RtqT7MJ579wO+xpYoXBqy7kXogflBSwOpDB/n61rrounXxDbW6&#10;76rrru/DBJrlRQ9kzf2hu87yw6sp+y9uvfLOSvuwmNGvBJweWmzRUlcPCBN0PLl40+Cg1fCDkhFP&#10;bUnt9xUHSUn/XiFVJyz3mFyY5EfHKAEC+5blvoUrgalK6iiJwwsXr4aVga5pcScWQCt9jgquuwDc&#10;Ux+rmopFFb2anNgzcjp6VTmxOdYQzh7LprP3r+Xk3wK5E9SyiU3pVwPeLlFkRyl+W41t3YOe/1/F&#10;hesMX4UAc3rB/LOzPw8KfXxnFz8BAAD//wMAUEsDBBQABgAIAAAAIQANoQaz3QAAAAUBAAAPAAAA&#10;ZHJzL2Rvd25yZXYueG1sTI9Ba8JAFITvhf6H5Qm96SbGlhDzIiJtT1KoFkpva/aZBLO7Ibsm8d/3&#10;9VSPwwwz3+SbybRioN43ziLEiwgE2dLpxlYIX8e3eQrCB2W1ap0lhBt52BSPD7nKtBvtJw2HUAku&#10;sT5TCHUIXSalL2syyi9cR5a9s+uNCiz7SupejVxuWrmMohdpVGN5oVYd7WoqL4erQXgf1bhN4tdh&#10;fznvbj/H54/vfUyIT7NpuwYRaAr/YfjDZ3QomOnkrlZ70SLwkYAwT9IlCLZXKz5yQkhSkEUu7+mL&#10;XwAAAP//AwBQSwECLQAUAAYACAAAACEAtoM4kv4AAADhAQAAEwAAAAAAAAAAAAAAAAAAAAAAW0Nv&#10;bnRlbnRfVHlwZXNdLnhtbFBLAQItABQABgAIAAAAIQA4/SH/1gAAAJQBAAALAAAAAAAAAAAAAAAA&#10;AC8BAABfcmVscy8ucmVsc1BLAQItABQABgAIAAAAIQCsYxHApwIAAK8HAAAOAAAAAAAAAAAAAAAA&#10;AC4CAABkcnMvZTJvRG9jLnhtbFBLAQItABQABgAIAAAAIQANoQaz3QAAAAUBAAAPAAAAAAAAAAAA&#10;AAAAAAEFAABkcnMvZG93bnJldi54bWxQSwUGAAAAAAQABADzAAAACwYAAAAA&#10;">
              <v:rect id="Rectangle 14"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rGvQAAANwAAAAPAAAAZHJzL2Rvd25yZXYueG1sRE+7CsIw&#10;FN0F/yFcwU1TC4pWo4ggijj4GhwvzbUtNjelibb+vRkEx8N5L1atKcWbaldYVjAaRiCIU6sLzhTc&#10;rtvBFITzyBpLy6TgQw5Wy25ngYm2DZ/pffGZCCHsElSQe18lUro0J4NuaCviwD1sbdAHWGdS19iE&#10;cFPKOIom0mDBoSHHijY5pc/Lyyg47MaZXN/30ebo8DR2jZk9TKxUv9eu5yA8tf4v/rn3WkE8CvPD&#10;mXAE5PILAAD//wMAUEsBAi0AFAAGAAgAAAAhANvh9svuAAAAhQEAABMAAAAAAAAAAAAAAAAAAAAA&#10;AFtDb250ZW50X1R5cGVzXS54bWxQSwECLQAUAAYACAAAACEAWvQsW78AAAAVAQAACwAAAAAAAAAA&#10;AAAAAAAfAQAAX3JlbHMvLnJlbHNQSwECLQAUAAYACAAAACEAp9oqxr0AAADcAAAADwAAAAAAAAAA&#10;AAAAAAAHAgAAZHJzL2Rvd25yZXYueG1sUEsFBgAAAAADAAMAtwAAAPECAAAAAA==&#10;" fillcolor="#0f243e" stroked="f"/>
              <v:rect id="Rectangle 15"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27xAAAANwAAAAPAAAAZHJzL2Rvd25yZXYueG1sRI9Ba8JA&#10;FITvQv/D8gq9mU08BEldRQS1lwpJFDy+Zl+T0OzbkF1N+u9dodDjMDPfMKvNZDpxp8G1lhUkUQyC&#10;uLK65VrBudzPlyCcR9bYWSYFv+Rgs36ZrTDTduSc7oWvRYCwy1BB432fSemqhgy6yPbEwfu2g0Ef&#10;5FBLPeAY4KaTizhOpcGWw0KDPe0aqn6Km1GQumvqjlv5ZQ9VmfvTheTn9abU2+u0fQfhafL/4b/2&#10;h1awSBJ4nglHQK4fAAAA//8DAFBLAQItABQABgAIAAAAIQDb4fbL7gAAAIUBAAATAAAAAAAAAAAA&#10;AAAAAAAAAABbQ29udGVudF9UeXBlc10ueG1sUEsBAi0AFAAGAAgAAAAhAFr0LFu/AAAAFQEAAAsA&#10;AAAAAAAAAAAAAAAAHwEAAF9yZWxzLy5yZWxzUEsBAi0AFAAGAAgAAAAhAO8rrbvEAAAA3AAAAA8A&#10;AAAAAAAAAAAAAAAABwIAAGRycy9kb3ducmV2LnhtbFBLBQYAAAAAAwADALcAAAD4AgAAAAA=&#10;" fillcolor="#7f7f7f [1612]" stroked="f"/>
              <w10:wrap anchorx="margin"/>
            </v:group>
          </w:pict>
        </mc:Fallback>
      </mc:AlternateContent>
    </w:r>
    <w:r>
      <w:rPr>
        <w:noProof/>
      </w:rPr>
      <mc:AlternateContent>
        <mc:Choice Requires="wps">
          <w:drawing>
            <wp:anchor distT="0" distB="0" distL="114300" distR="114300" simplePos="0" relativeHeight="251716608" behindDoc="0" locked="0" layoutInCell="1" allowOverlap="1" wp14:anchorId="1C66BAE1" wp14:editId="2C1C0BC0">
              <wp:simplePos x="0" y="0"/>
              <wp:positionH relativeFrom="column">
                <wp:posOffset>15135</wp:posOffset>
              </wp:positionH>
              <wp:positionV relativeFrom="paragraph">
                <wp:posOffset>58950</wp:posOffset>
              </wp:positionV>
              <wp:extent cx="5878349" cy="0"/>
              <wp:effectExtent l="0" t="0" r="0" b="0"/>
              <wp:wrapNone/>
              <wp:docPr id="212" name="Прямая соединительная линия 212"/>
              <wp:cNvGraphicFramePr/>
              <a:graphic xmlns:a="http://schemas.openxmlformats.org/drawingml/2006/main">
                <a:graphicData uri="http://schemas.microsoft.com/office/word/2010/wordprocessingShape">
                  <wps:wsp>
                    <wps:cNvCnPr/>
                    <wps:spPr>
                      <a:xfrm>
                        <a:off x="0" y="0"/>
                        <a:ext cx="587834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1CB317FC" id="Прямая соединительная линия 212"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65pt" to="46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MXFgIAAE0EAAAOAAAAZHJzL2Uyb0RvYy54bWysVEuO1DAQ3SNxB8t7OknDQBN1ehYzGjZ8&#10;WnwO4Hbsbkv+yfb0ZweskfoIXGEWII00zJwhuRFlJ51GgJBAZOG4yvVe1StXMj3dKonWzHlhdIWL&#10;UY4R09TUQi8r/O7txYMJRj4QXRNpNKvwjnl8Ort/b7qxJRublZE1cwhItC83tsKrEGyZZZ6umCJ+&#10;ZCzTcMiNUySA6ZZZ7cgG2JXMxnn+ONsYV1tnKPMevOfdIZ4lfs4ZDa849ywgWWGoLaTVpXUR12w2&#10;JeXSEbsStC+D/EMViggNSQeqcxIIunTiFyolqDPe8DCiRmWGc0FZ0gBqivwnNW9WxLKkBZrj7dAm&#10;//9o6cv13CFRV3hcjDHSRMElNZ/b9+2++dZctXvUfmjumq/Nl+a6uW2u24+wv2k/wT4eNje9e48i&#10;Hrq5sb4E0jM9d73l7dzF1my5U/ENotE23cBuuAG2DYiC82TyZPLw0VOM6OEsOwKt8+EZMwrFTYWl&#10;0LE5pCTr5z5AMgg9hES31HH1Ror6QkiZjDhW7Ew6tCYwEItlkQjkpXph6s53ksMThQBbmsIY3llH&#10;JjiL7FkU28lLu7CTrMv8mnFoKgjqEgxEXQ5CKdOh6LNIDdERxqHKAZinyv4I7OMjlKVR/xvwgEiZ&#10;jQ4DWAlt3O+yh+2hZN7FHzrQ6Y4tWJh6ly4+tQZmNnWu/77iR/GjneDHv8DsOwAAAP//AwBQSwME&#10;FAAGAAgAAAAhAAWWLrTaAAAABQEAAA8AAABkcnMvZG93bnJldi54bWxMjsFOwzAQRO9I/QdrK3Gj&#10;TkOF2hCnQgEO3CCtKo7beJtEjddR7KTh73F7geNoRm9eup1MK0bqXWNZwXIRgSAurW64UrDfvT+s&#10;QTiPrLG1TAp+yME2m92lmGh74S8aC1+JAGGXoILa+y6R0pU1GXQL2xGH7mR7gz7EvpK6x0uAm1bG&#10;UfQkDTYcHmrsKK+pPBeDUWBe87fDbhiLMafV5/RdxXv8OCh1P59enkF4mvzfGK76QR2y4HS0A2sn&#10;WgXxKgwVbB5BhHYTr5cgjrcss1T+t89+AQAA//8DAFBLAQItABQABgAIAAAAIQC2gziS/gAAAOEB&#10;AAATAAAAAAAAAAAAAAAAAAAAAABbQ29udGVudF9UeXBlc10ueG1sUEsBAi0AFAAGAAgAAAAhADj9&#10;If/WAAAAlAEAAAsAAAAAAAAAAAAAAAAALwEAAF9yZWxzLy5yZWxzUEsBAi0AFAAGAAgAAAAhAAbh&#10;cxcWAgAATQQAAA4AAAAAAAAAAAAAAAAALgIAAGRycy9lMm9Eb2MueG1sUEsBAi0AFAAGAAgAAAAh&#10;AAWWLrTaAAAABQEAAA8AAAAAAAAAAAAAAAAAcAQAAGRycy9kb3ducmV2LnhtbFBLBQYAAAAABAAE&#10;APMAAAB3BQAAAAA=&#10;" strokecolor="#7f7f7f [1612]" strokeweight=".5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540656" w:rsidRPr="004F65D3" w14:paraId="5D095C98" w14:textId="77777777" w:rsidTr="00540656">
      <w:trPr>
        <w:trHeight w:val="424"/>
      </w:trPr>
      <w:tc>
        <w:tcPr>
          <w:tcW w:w="417" w:type="pct"/>
        </w:tcPr>
        <w:p w14:paraId="6FAE3DCF" w14:textId="77777777" w:rsidR="00540656" w:rsidRPr="00786F7F" w:rsidRDefault="00540656" w:rsidP="00955C44">
          <w:pPr>
            <w:pStyle w:val="af6"/>
            <w:rPr>
              <w:sz w:val="20"/>
            </w:rPr>
          </w:pPr>
          <w:r>
            <w:rPr>
              <w:noProof/>
              <w:sz w:val="20"/>
            </w:rPr>
            <mc:AlternateContent>
              <mc:Choice Requires="wpg">
                <w:drawing>
                  <wp:anchor distT="0" distB="0" distL="114300" distR="114300" simplePos="0" relativeHeight="251712512" behindDoc="0" locked="0" layoutInCell="1" allowOverlap="1" wp14:anchorId="5CE36AD3" wp14:editId="1B85FA32">
                    <wp:simplePos x="0" y="0"/>
                    <wp:positionH relativeFrom="column">
                      <wp:posOffset>52003</wp:posOffset>
                    </wp:positionH>
                    <wp:positionV relativeFrom="paragraph">
                      <wp:posOffset>26114</wp:posOffset>
                    </wp:positionV>
                    <wp:extent cx="284480" cy="266700"/>
                    <wp:effectExtent l="0" t="0" r="1270" b="0"/>
                    <wp:wrapNone/>
                    <wp:docPr id="20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206"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207"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C183793" id="Group 41" o:spid="_x0000_s1026" style="position:absolute;margin-left:4.1pt;margin-top:2.05pt;width:22.4pt;height:21pt;z-index:251712512"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X/pAIAAK8HAAAOAAAAZHJzL2Uyb0RvYy54bWzcVdtu3CAQfa/Uf0C8N76ss7u14o2i3FQp&#10;baOm/QAW44tqAx3Y9aZfnwHszTaNVClV81A/WMBcmDnnACenu74jWwGmVbKgyVFMiZBcla2sC/rt&#10;69W7JSXGMlmyTklR0Hth6Onq7ZuTQeciVY3qSgEEk0iTD7qgjbU6jyLDG9Ezc6S0kGisFPTM4hTq&#10;qAQ2YPa+i9I4nkeDglKD4sIYXL0IRrry+atKcPu5qoywpCso1mb9H/x/7f7R6oTlNTDdtHwsg72g&#10;ip61Ejfdp7pglpENtL+l6lsOyqjKHnHVR6qqWi58D9hNEj/p5hrURvte6nyo9R4mhPYJTi9Oyz9t&#10;b4G0ZUHT+JgSyXokye9LssShM+g6R6dr0Hf6FkKLOLxR/LtBc/TU7uZ1cCbr4aMqMR/bWOXR2VXQ&#10;uxTYN9l5Eu73JIidJRwX02WWLZEqjqZ0Pl/EI0m8QSZdVJLEixklaE7mcTYPFPLmcozH6BCcpT4y&#10;YnnY1pc6lub6QsGZR0zN32F61zAtPFXGwbXHdD5h+gWlyGTdCZKlAVfvOIFqAqJEqvMG3cQZgBoa&#10;wUqsy/OA1R8EuIlBPv4I8bNgTVDPshFnN3BkTlCxXIOx10L1xA0KCli9Z5Btb4wNrpOLI9Sori2v&#10;2q7zE6jX5x2QLXOH7irNZpdj9l/cOumcpXJhIaNb8X261gJFa1XeY5ugwsnFmwYHjYKflAx4agtq&#10;fmwYCEq6DxKhep9krifrJ9nxAiVA4NCyPrQwyTFVQS0lYXhuw9Ww0dDWDe6U+KalOkMFV61v3EEf&#10;qhqLRRW9mpwWz8hp9qpySpbJePaSdDx7/1pO7i0Qe0Gt60BKt+nxdgkiO47xmzQ2uXs9/7+K89cZ&#10;vgq+zfEFc8/O4dwr9PGdXT0AAAD//wMAUEsDBBQABgAIAAAAIQAsppft3AAAAAUBAAAPAAAAZHJz&#10;L2Rvd25yZXYueG1sTI9Ba8JAFITvhf6H5RV6q5vVKhKzEZG2JylUC8Xbmn0mwezbkF2T+O/7eqrH&#10;YYaZb7L16BrRYxdqTxrUJAGBVHhbU6nh+/D+sgQRoiFrGk+o4YYB1vnjQ2ZS6wf6wn4fS8ElFFKj&#10;oYqxTaUMRYXOhIlvkdg7+86ZyLIrpe3MwOWukdMkWUhnauKFyrS4rbC47K9Ow8dghs1MvfW7y3l7&#10;Ox7mnz87hVo/P42bFYiIY/wPwx8+o0POTCd/JRtEo2E55aCGVwWC3fmMj51YLhTIPJP39PkvAAAA&#10;//8DAFBLAQItABQABgAIAAAAIQC2gziS/gAAAOEBAAATAAAAAAAAAAAAAAAAAAAAAABbQ29udGVu&#10;dF9UeXBlc10ueG1sUEsBAi0AFAAGAAgAAAAhADj9If/WAAAAlAEAAAsAAAAAAAAAAAAAAAAALwEA&#10;AF9yZWxzLy5yZWxzUEsBAi0AFAAGAAgAAAAhABExxf+kAgAArwcAAA4AAAAAAAAAAAAAAAAALgIA&#10;AGRycy9lMm9Eb2MueG1sUEsBAi0AFAAGAAgAAAAhACyml+3cAAAABQEAAA8AAAAAAAAAAAAAAAAA&#10;/gQAAGRycy9kb3ducmV2LnhtbFBLBQYAAAAABAAEAPMAAAAHBg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H0xAAAANwAAAAPAAAAZHJzL2Rvd25yZXYueG1sRI9Ba8JA&#10;FITvBf/D8oTe6q4BpY2uIQjSID202oPHR/aZBLNvQ3ZN4r/vFgo9DjPzDbPNJtuKgXrfONawXCgQ&#10;xKUzDVcavs+Hl1cQPiAbbB2Thgd5yHazpy2mxo38RcMpVCJC2KeooQ6hS6X0ZU0W/cJ1xNG7ut5i&#10;iLKvpOlxjHDbykSptbTYcFyosaN9TeXtdLcaju+rSuaXQu0/PH6u/GjfrjbR+nk+5RsQgabwH/5r&#10;F0ZDotbweyYeAbn7AQAA//8DAFBLAQItABQABgAIAAAAIQDb4fbL7gAAAIUBAAATAAAAAAAAAAAA&#10;AAAAAAAAAABbQ29udGVudF9UeXBlc10ueG1sUEsBAi0AFAAGAAgAAAAhAFr0LFu/AAAAFQEAAAsA&#10;AAAAAAAAAAAAAAAAHwEAAF9yZWxzLy5yZWxzUEsBAi0AFAAGAAgAAAAhAMKmgfTEAAAA3AAAAA8A&#10;AAAAAAAAAAAAAAAABwIAAGRycy9kb3ducmV2LnhtbFBLBQYAAAAAAwADALcAAAD4Ag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aJxAAAANwAAAAPAAAAZHJzL2Rvd25yZXYueG1sRI9Pi8Iw&#10;FMTvgt8hPMGbpnqo0m0qIvjnoqDdBY9vm7dt2ealNFHrtzcLCx6HmfkNk65604g7da62rGA2jUAQ&#10;F1bXXCr4zLeTJQjnkTU2lknBkxyssuEgxUTbB5/pfvGlCBB2CSqovG8TKV1RkUE3tS1x8H5sZ9AH&#10;2ZVSd/gIcNPIeRTF0mDNYaHCljYVFb+Xm1EQu2vs9mv5bXdFfvanL5LH602p8ahff4Dw1Pt3+L99&#10;0Arm0QL+zoQjILMXAAAA//8DAFBLAQItABQABgAIAAAAIQDb4fbL7gAAAIUBAAATAAAAAAAAAAAA&#10;AAAAAAAAAABbQ29udGVudF9UeXBlc10ueG1sUEsBAi0AFAAGAAgAAAAhAFr0LFu/AAAAFQEAAAsA&#10;AAAAAAAAAAAAAAAAHwEAAF9yZWxzLy5yZWxzUEsBAi0AFAAGAAgAAAAhAIpXBonEAAAA3AAAAA8A&#10;AAAAAAAAAAAAAAAABwIAAGRycy9kb3ducmV2LnhtbFBLBQYAAAAAAwADALcAAAD4AgAAAAA=&#10;" fillcolor="#7f7f7f [1612]" stroked="f"/>
                  </v:group>
                </w:pict>
              </mc:Fallback>
            </mc:AlternateContent>
          </w:r>
        </w:p>
      </w:tc>
      <w:tc>
        <w:tcPr>
          <w:tcW w:w="4106" w:type="pct"/>
          <w:shd w:val="clear" w:color="auto" w:fill="auto"/>
          <w:vAlign w:val="bottom"/>
        </w:tcPr>
        <w:p w14:paraId="0A862E55" w14:textId="4983AB92" w:rsidR="00540656" w:rsidRPr="00963998" w:rsidRDefault="00540656" w:rsidP="00955C44">
          <w:pPr>
            <w:pStyle w:val="af6"/>
            <w:rPr>
              <w:b/>
              <w:color w:val="808080" w:themeColor="background1" w:themeShade="80"/>
            </w:rPr>
          </w:pPr>
          <w:r>
            <w:rPr>
              <w:rFonts w:ascii="Times New Roman" w:hAnsi="Times New Roman"/>
              <w:b/>
              <w:color w:val="808080" w:themeColor="background1" w:themeShade="80"/>
              <w:szCs w:val="24"/>
            </w:rPr>
            <w:t>Финансы</w:t>
          </w:r>
        </w:p>
      </w:tc>
      <w:tc>
        <w:tcPr>
          <w:tcW w:w="477" w:type="pct"/>
          <w:shd w:val="clear" w:color="auto" w:fill="808080" w:themeFill="background1" w:themeFillShade="80"/>
          <w:vAlign w:val="center"/>
        </w:tcPr>
        <w:p w14:paraId="58AC175E" w14:textId="77777777" w:rsidR="00540656" w:rsidRPr="00963998" w:rsidRDefault="00540656" w:rsidP="00955C44">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Pr>
              <w:rFonts w:ascii="Times New Roman" w:hAnsi="Times New Roman"/>
              <w:b/>
            </w:rPr>
            <w:t>47</w:t>
          </w:r>
          <w:r w:rsidRPr="00963998">
            <w:rPr>
              <w:rFonts w:ascii="Times New Roman" w:hAnsi="Times New Roman"/>
              <w:b/>
            </w:rPr>
            <w:fldChar w:fldCharType="end"/>
          </w:r>
        </w:p>
      </w:tc>
    </w:tr>
  </w:tbl>
  <w:p w14:paraId="4B321F31" w14:textId="77777777" w:rsidR="00540656" w:rsidRPr="00955C44" w:rsidRDefault="00540656" w:rsidP="00955C44">
    <w:pPr>
      <w:pStyle w:val="af4"/>
    </w:pPr>
    <w:r>
      <w:rPr>
        <w:noProof/>
      </w:rPr>
      <mc:AlternateContent>
        <mc:Choice Requires="wps">
          <w:drawing>
            <wp:anchor distT="0" distB="0" distL="114300" distR="114300" simplePos="0" relativeHeight="251713536" behindDoc="0" locked="0" layoutInCell="1" allowOverlap="1" wp14:anchorId="7DDC05F6" wp14:editId="7CDD983D">
              <wp:simplePos x="0" y="0"/>
              <wp:positionH relativeFrom="margin">
                <wp:align>right</wp:align>
              </wp:positionH>
              <wp:positionV relativeFrom="paragraph">
                <wp:posOffset>70267</wp:posOffset>
              </wp:positionV>
              <wp:extent cx="5983112" cy="0"/>
              <wp:effectExtent l="0" t="0" r="0" b="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44816E4D" id="Прямая соединительная линия 208" o:spid="_x0000_s1026" style="position:absolute;z-index:251713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BEEwIAAE0EAAAOAAAAZHJzL2Uyb0RvYy54bWysVEuO1DAQ3SNxB8t7OkmjQUPU6VnMaNjw&#10;afE5gNuxO5b8k+3pzw5YI/URuAILRhppYM6Q3GjKTjqNACGByMJx/V5VvapkdrZVEq2Z88LoCheT&#10;HCOmqamFXlX43dvLR6cY+UB0TaTRrMI75vHZ/OGD2caWbGoaI2vmEIBoX25shZsQbJllnjZMET8x&#10;lmkwcuMUCSC6VVY7sgF0JbNpnj/JNsbV1hnKvAftRW/E84TPOaPhFeeeBSQrDLWFdLp0LuOZzWek&#10;XDliG0GHMsg/VKGI0JB0hLoggaArJ36BUoI64w0PE2pUZjgXlKUeoJsi/6mbNw2xLPUC5Hg70uT/&#10;Hyx9uV44JOoKT3MYlSYKhtR+7t53+/Zb+6Xbo+5De9det1/bm/Z7e9N9hPtt9wnu0djeDuo9ivHA&#10;5sb6EkDP9cINkrcLF6nZcqfiG5pG2zSB3TgBtg2IgvLk6enjophiRA+27BhonQ/PmFEoXioshY7k&#10;kJKsn/sAycD14BLVUsfTGynqSyFlEuJasXPp0JrAQixXRQKQV+qFqXvdSQ5PbATQ0hZG9146IoEt&#10;omex2b69dAs7yfrMrxkHUqGhPsEI1OcglDIdiiGL1OAdwzhUOQbmqbI/Bg7+MZSlVf+b4DEiZTY6&#10;jMFKaON+lz1sDyXz3v/AQN93pGBp6l0afKIGdjYxN3xf8aP4UU7hx7/A/B4AAP//AwBQSwMEFAAG&#10;AAgAAAAhAOSwQtPZAAAABgEAAA8AAABkcnMvZG93bnJldi54bWxMj0FPg0AQhe8m/ofNmHizC6Qx&#10;iixNg3rwprRpPE5hBFJ2lrALxX/vGA/2+N6bvPdNtllsr2YafefYQLyKQBFXru64MbDfvd49gPIB&#10;ucbeMRn4Jg+b/Poqw7R2Z/6guQyNkhL2KRpoQxhSrX3VkkW/cgOxZF9utBhEjo2uRzxLue11EkX3&#10;2mLHstDiQEVL1amcrAH7XLwcdtNczgWt35fPJtnj28GY25tl+wQq0BL+j+EXX9AhF6ajm7j2qjcg&#10;jwRx4xiUpI/rJAF1/DN0nulL/PwHAAD//wMAUEsBAi0AFAAGAAgAAAAhALaDOJL+AAAA4QEAABMA&#10;AAAAAAAAAAAAAAAAAAAAAFtDb250ZW50X1R5cGVzXS54bWxQSwECLQAUAAYACAAAACEAOP0h/9YA&#10;AACUAQAACwAAAAAAAAAAAAAAAAAvAQAAX3JlbHMvLnJlbHNQSwECLQAUAAYACAAAACEARiwwRBMC&#10;AABNBAAADgAAAAAAAAAAAAAAAAAuAgAAZHJzL2Uyb0RvYy54bWxQSwECLQAUAAYACAAAACEA5LBC&#10;09kAAAAGAQAADwAAAAAAAAAAAAAAAABtBAAAZHJzL2Rvd25yZXYueG1sUEsFBgAAAAAEAAQA8wAA&#10;AHMFAAAAAA==&#10;" strokecolor="#7f7f7f [1612]" strokeweight=".5pt">
              <v:stroke joinstyle="miter"/>
              <w10:wrap anchorx="margin"/>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558" w:type="pc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80"/>
      <w:gridCol w:w="3009"/>
      <w:gridCol w:w="6410"/>
    </w:tblGrid>
    <w:tr w:rsidR="00540656" w:rsidRPr="004F65D3" w14:paraId="3ACA9A37" w14:textId="77777777" w:rsidTr="00540656">
      <w:trPr>
        <w:trHeight w:val="425"/>
      </w:trPr>
      <w:tc>
        <w:tcPr>
          <w:tcW w:w="471" w:type="pct"/>
          <w:shd w:val="clear" w:color="auto" w:fill="808080" w:themeFill="background1" w:themeFillShade="80"/>
          <w:vAlign w:val="center"/>
        </w:tcPr>
        <w:p w14:paraId="70E3D917" w14:textId="77777777" w:rsidR="00540656" w:rsidRPr="009940AD" w:rsidRDefault="00540656" w:rsidP="005E1141">
          <w:pPr>
            <w:pStyle w:val="af6"/>
            <w:ind w:left="-144"/>
            <w:jc w:val="right"/>
            <w:rPr>
              <w:rFonts w:ascii="Times New Roman" w:hAnsi="Times New Roman"/>
              <w:b/>
              <w:sz w:val="24"/>
            </w:rPr>
          </w:pPr>
          <w:r w:rsidRPr="009940AD">
            <w:rPr>
              <w:rFonts w:ascii="Times New Roman" w:hAnsi="Times New Roman"/>
              <w:b/>
            </w:rPr>
            <w:fldChar w:fldCharType="begin"/>
          </w:r>
          <w:r w:rsidRPr="009940AD">
            <w:rPr>
              <w:rFonts w:ascii="Times New Roman" w:hAnsi="Times New Roman"/>
              <w:b/>
            </w:rPr>
            <w:instrText xml:space="preserve"> PAGE   \* MERGEFORMAT </w:instrText>
          </w:r>
          <w:r w:rsidRPr="009940AD">
            <w:rPr>
              <w:rFonts w:ascii="Times New Roman" w:hAnsi="Times New Roman"/>
              <w:b/>
            </w:rPr>
            <w:fldChar w:fldCharType="separate"/>
          </w:r>
          <w:r>
            <w:rPr>
              <w:rFonts w:ascii="Times New Roman" w:hAnsi="Times New Roman"/>
              <w:b/>
            </w:rPr>
            <w:t>56</w:t>
          </w:r>
          <w:r w:rsidRPr="009940AD">
            <w:rPr>
              <w:rFonts w:ascii="Times New Roman" w:hAnsi="Times New Roman"/>
              <w:b/>
            </w:rPr>
            <w:fldChar w:fldCharType="end"/>
          </w:r>
        </w:p>
      </w:tc>
      <w:tc>
        <w:tcPr>
          <w:tcW w:w="1447" w:type="pct"/>
          <w:vAlign w:val="center"/>
        </w:tcPr>
        <w:p w14:paraId="700C34F9" w14:textId="77777777" w:rsidR="00540656" w:rsidRPr="002A0F90" w:rsidRDefault="00540656" w:rsidP="005E1141">
          <w:pPr>
            <w:pStyle w:val="af6"/>
            <w:tabs>
              <w:tab w:val="clear" w:pos="9355"/>
              <w:tab w:val="right" w:pos="9534"/>
            </w:tabs>
            <w:ind w:firstLine="319"/>
            <w:jc w:val="right"/>
            <w:rPr>
              <w:rFonts w:ascii="Montserrat" w:hAnsi="Montserrat"/>
              <w:b/>
              <w:color w:val="2F5496" w:themeColor="accent1" w:themeShade="BF"/>
              <w:sz w:val="16"/>
              <w:szCs w:val="18"/>
            </w:rPr>
          </w:pPr>
        </w:p>
      </w:tc>
      <w:tc>
        <w:tcPr>
          <w:tcW w:w="3082" w:type="pct"/>
          <w:vAlign w:val="bottom"/>
        </w:tcPr>
        <w:p w14:paraId="1F592AC5" w14:textId="61D7AD2A" w:rsidR="00540656" w:rsidRDefault="00540656" w:rsidP="005E1141">
          <w:pPr>
            <w:pStyle w:val="af6"/>
            <w:ind w:right="127"/>
            <w:jc w:val="right"/>
          </w:pPr>
          <w:r>
            <w:rPr>
              <w:rFonts w:ascii="Times New Roman" w:hAnsi="Times New Roman"/>
              <w:b/>
              <w:color w:val="808080" w:themeColor="background1" w:themeShade="80"/>
            </w:rPr>
            <w:t>Финансы</w:t>
          </w:r>
        </w:p>
      </w:tc>
    </w:tr>
  </w:tbl>
  <w:p w14:paraId="098AF0DF" w14:textId="77777777" w:rsidR="00540656" w:rsidRPr="00955C44" w:rsidRDefault="00540656" w:rsidP="005E1141">
    <w:pPr>
      <w:pStyle w:val="af4"/>
    </w:pPr>
    <w:r>
      <w:rPr>
        <w:noProof/>
      </w:rPr>
      <mc:AlternateContent>
        <mc:Choice Requires="wpg">
          <w:drawing>
            <wp:anchor distT="0" distB="0" distL="114300" distR="114300" simplePos="0" relativeHeight="251709440" behindDoc="0" locked="0" layoutInCell="1" allowOverlap="1" wp14:anchorId="32475A07" wp14:editId="76558F2A">
              <wp:simplePos x="0" y="0"/>
              <wp:positionH relativeFrom="rightMargin">
                <wp:align>left</wp:align>
              </wp:positionH>
              <wp:positionV relativeFrom="paragraph">
                <wp:posOffset>-242570</wp:posOffset>
              </wp:positionV>
              <wp:extent cx="284480" cy="266700"/>
              <wp:effectExtent l="0" t="0" r="1270" b="0"/>
              <wp:wrapNone/>
              <wp:docPr id="20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202" name="Rectangle 14"/>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203" name="Rectangle 15"/>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BB1BC9A" id="Group 16" o:spid="_x0000_s1026" style="position:absolute;margin-left:0;margin-top:-19.1pt;width:22.4pt;height:21pt;z-index:251709440;mso-position-horizontal:left;mso-position-horizontal-relative:right-margin-area"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TqQIAAK8HAAAOAAAAZHJzL2Uyb0RvYy54bWzcVVtv0zAUfkfiP1h+p7ks60q0dJq6i5AG&#10;TAx+gOs4F5HY5thtOn49x3bSlYKENMQeyENk+1x8vu98ts8vdn1HtgJMq2RBk1lMiZBcla2sC/rl&#10;882bBSXGMlmyTklR0Edh6MXy9avzQeciVY3qSgEEk0iTD7qgjbU6jyLDG9EzM1NaSDRWCnpmcQp1&#10;VAIbMHvfRWkcz6NBQalBcWEMrl4FI136/FUluP1YVUZY0hUUa7P+D/6/dv9oec7yGphuWj6WwZ5R&#10;Rc9aiZvuU10xy8gG2l9S9S0HZVRlZ1z1kaqqlguPAdEk8RGaW1Ab7bHU+VDrPU1I7RFPz07LP2zv&#10;gbRlQXF/SiTrsUl+X5LMHTuDrnN0ugX9oO8hQMThneJfDZqjY7ub18GZrIf3qsR8bGOVZ2dXQe9S&#10;IG6y80143DdB7CzhuJgusmyBreJoSufzs3hsEm+wky4qSeKzE0rQnMzjzBfJct5cj/EYHYKz1EdG&#10;LA/b+lLH0hwuFJx54tT8HacPDdPCt8o4uvacphOnn1CKTNadIEkWePWOE6kmMEqkWjXoJi4B1NAI&#10;VmJdifPH6g8C3MRgP/5I8W/Jmqg+yUae3cDtMVHFcg3G3grVEzcoKGD1voNse2dscJ1cXEON6try&#10;pu06P4F6veqAbJk7dDdpdnI9Zv/JrZPOWSoXFjK6FY/TQQstWqvyEWGCCicXbxocNAq+UzLgqS2o&#10;+bZhICjp3kmk6m2SOUzWT7LTM5QAgUPL+tDCJMdUBbWUhOHKhqtho6GtG9wp8aClukQFV60H7qgP&#10;VY3FoopeTE6o+3BED+R0+qJyShZ4Tfizl6Tj2fvXcnJvgdgLal2HpnSbHm+XILLTGL9JY5O71/P/&#10;qzh/neGr4GGOL5h7dg7nXqFP7+zyBwAAAP//AwBQSwMEFAAGAAgAAAAhAA2hBrPdAAAABQEAAA8A&#10;AABkcnMvZG93bnJldi54bWxMj0FrwkAUhO+F/oflCb3pJsaWEPMiIm1PUqgWSm9r9pkEs7shuybx&#10;3/f1VI/DDDPf5JvJtGKg3jfOIsSLCATZ0unGVghfx7d5CsIHZbVqnSWEG3nYFI8Pucq0G+0nDYdQ&#10;CS6xPlMIdQhdJqUvazLKL1xHlr2z640KLPtK6l6NXG5auYyiF2lUY3mhVh3taiovh6tBeB/VuE3i&#10;12F/Oe9uP8fnj+99TIhPs2m7BhFoCv9h+MNndCiY6eSuVnvRIvCRgDBP0iUItlcrPnJCSFKQRS7v&#10;6YtfAAAA//8DAFBLAQItABQABgAIAAAAIQC2gziS/gAAAOEBAAATAAAAAAAAAAAAAAAAAAAAAABb&#10;Q29udGVudF9UeXBlc10ueG1sUEsBAi0AFAAGAAgAAAAhADj9If/WAAAAlAEAAAsAAAAAAAAAAAAA&#10;AAAALwEAAF9yZWxzLy5yZWxzUEsBAi0AFAAGAAgAAAAhAD7JmpOpAgAArwcAAA4AAAAAAAAAAAAA&#10;AAAALgIAAGRycy9lMm9Eb2MueG1sUEsBAi0AFAAGAAgAAAAhAA2hBrPdAAAABQEAAA8AAAAAAAAA&#10;AAAAAAAAAwUAAGRycy9kb3ducmV2LnhtbFBLBQYAAAAABAAEAPMAAAANBgAAAAA=&#10;">
              <v:rect id="Rectangle 14"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f3wwAAANwAAAAPAAAAZHJzL2Rvd25yZXYueG1sRI9Bi8Iw&#10;FITvgv8hvAVvmmxBcbtGEUFWxIN2PXh8NM+2bPNSmqyt/94IgsdhZr5hFqve1uJGra8ca/icKBDE&#10;uTMVFxrOv9vxHIQPyAZrx6ThTh5Wy+FggalxHZ/oloVCRAj7FDWUITSplD4vyaKfuIY4elfXWgxR&#10;toU0LXYRbmuZKDWTFiuOCyU2tCkp/8v+rYb9z7SQ68tObQ4ej1Pf2a+rTbQeffTrbxCB+vAOv9o7&#10;oyFRCTzPxCMglw8AAAD//wMAUEsBAi0AFAAGAAgAAAAhANvh9svuAAAAhQEAABMAAAAAAAAAAAAA&#10;AAAAAAAAAFtDb250ZW50X1R5cGVzXS54bWxQSwECLQAUAAYACAAAACEAWvQsW78AAAAVAQAACwAA&#10;AAAAAAAAAAAAAAAfAQAAX3JlbHMvLnJlbHNQSwECLQAUAAYACAAAACEAvZ2H98MAAADcAAAADwAA&#10;AAAAAAAAAAAAAAAHAgAAZHJzL2Rvd25yZXYueG1sUEsFBgAAAAADAAMAtwAAAPcCAAAAAA==&#10;" fillcolor="#0f243e" stroked="f"/>
              <v:rect id="Rectangle 15"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CKwwAAANwAAAAPAAAAZHJzL2Rvd25yZXYueG1sRI9Pi8Iw&#10;FMTvC36H8ARva6pCkW5TEcE/FwXtLnh827xtyzYvpYlav70RBI/DzPyGSRe9acSVOldbVjAZRyCI&#10;C6trLhV85+vPOQjnkTU2lknBnRwsssFHiom2Nz7S9eRLESDsElRQed8mUrqiIoNubFvi4P3ZzqAP&#10;siul7vAW4KaR0yiKpcGaw0KFLa0qKv5PF6MgdufYbZfy126K/OgPPyT354tSo2G//ALhqffv8Ku9&#10;0wqm0QyeZ8IRkNkDAAD//wMAUEsBAi0AFAAGAAgAAAAhANvh9svuAAAAhQEAABMAAAAAAAAAAAAA&#10;AAAAAAAAAFtDb250ZW50X1R5cGVzXS54bWxQSwECLQAUAAYACAAAACEAWvQsW78AAAAVAQAACwAA&#10;AAAAAAAAAAAAAAAfAQAAX3JlbHMvLnJlbHNQSwECLQAUAAYACAAAACEA9WwAisMAAADcAAAADwAA&#10;AAAAAAAAAAAAAAAHAgAAZHJzL2Rvd25yZXYueG1sUEsFBgAAAAADAAMAtwAAAPcCAAAAAA==&#10;" fillcolor="#7f7f7f [1612]" stroked="f"/>
              <w10:wrap anchorx="margin"/>
            </v:group>
          </w:pict>
        </mc:Fallback>
      </mc:AlternateContent>
    </w:r>
    <w:r>
      <w:rPr>
        <w:noProof/>
      </w:rPr>
      <mc:AlternateContent>
        <mc:Choice Requires="wps">
          <w:drawing>
            <wp:anchor distT="0" distB="0" distL="114300" distR="114300" simplePos="0" relativeHeight="251710464" behindDoc="0" locked="0" layoutInCell="1" allowOverlap="1" wp14:anchorId="4B62292E" wp14:editId="0FD2AB59">
              <wp:simplePos x="0" y="0"/>
              <wp:positionH relativeFrom="column">
                <wp:posOffset>15135</wp:posOffset>
              </wp:positionH>
              <wp:positionV relativeFrom="paragraph">
                <wp:posOffset>58950</wp:posOffset>
              </wp:positionV>
              <wp:extent cx="5878349" cy="0"/>
              <wp:effectExtent l="0" t="0" r="0" b="0"/>
              <wp:wrapNone/>
              <wp:docPr id="204" name="Прямая соединительная линия 204"/>
              <wp:cNvGraphicFramePr/>
              <a:graphic xmlns:a="http://schemas.openxmlformats.org/drawingml/2006/main">
                <a:graphicData uri="http://schemas.microsoft.com/office/word/2010/wordprocessingShape">
                  <wps:wsp>
                    <wps:cNvCnPr/>
                    <wps:spPr>
                      <a:xfrm>
                        <a:off x="0" y="0"/>
                        <a:ext cx="587834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24E336C6" id="Прямая соединительная линия 204"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65pt" to="46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rfFQIAAE0EAAAOAAAAZHJzL2Uyb0RvYy54bWysVM2O0zAQviPxDpbvNGnZhRI13cOulgs/&#10;FSwP4Dp2a8l/sr1tegPOSH0EXoEDSCstyzMkb8TYSVMECAlEDo5nPN83840nmZ3VSqINc14YXeLx&#10;KMeIaWoqoVclfnN1+WCKkQ9EV0QazUq8Yx6fze/fm21twSZmbWTFHAIS7YutLfE6BFtkmadrpogf&#10;Gcs0HHLjFAlgulVWObIFdiWzSZ4/yrbGVdYZyrwH70V3iOeJn3NGw0vOPQtIlhhqC2l1aV3GNZvP&#10;SLFyxK4F7csg/1CFIkJD0oHqggSCrp34hUoJ6ow3PIyoUZnhXFCWNICacf6TmtdrYlnSAs3xdmiT&#10;/3+09MVm4ZCoSjzJTzDSRMElNR/bt+2++dp8aveofdd8a740n5ub5q65ad/D/rb9APt42Nz27j2K&#10;eOjm1voCSM/1wvWWtwsXW1Nzp+IbRKM63cBuuAFWB0TBeTp9PH148gQjejjLjkDrfHjKjEJxU2Ip&#10;dGwOKcjmmQ+QDEIPIdEtdVy9kaK6FFImI44VO5cObQgMxHI1TgTyWj03Vec7zeGJQoAtTWEM76wj&#10;E5xF9iyK7eSlXdhJ1mV+xTg0FQR1CQaiLgehlOkw7rNIDdERxqHKAZinyv4I7OMjlKVR/xvwgEiZ&#10;jQ4DWAlt3O+yh/pQMu/iDx3odMcWLE21SxefWgMzmzrXf1/xo/jRTvDjX2D+HQAA//8DAFBLAwQU&#10;AAYACAAAACEABZYutNoAAAAFAQAADwAAAGRycy9kb3ducmV2LnhtbEyOwU7DMBBE70j9B2srcaNO&#10;Q4XaEKdCAQ7cIK0qjtt4m0SN11HspOHvcXuB42hGb166nUwrRupdY1nBchGBIC6tbrhSsN+9P6xB&#10;OI+ssbVMCn7IwTab3aWYaHvhLxoLX4kAYZeggtr7LpHSlTUZdAvbEYfuZHuDPsS+krrHS4CbVsZR&#10;9CQNNhweauwor6k8F4NRYF7zt8NuGIsxp9Xn9F3Fe/w4KHU/n16eQXia/N8YrvpBHbLgdLQDayda&#10;BfEqDBVsHkGEdhOvlyCOtyyzVP63z34BAAD//wMAUEsBAi0AFAAGAAgAAAAhALaDOJL+AAAA4QEA&#10;ABMAAAAAAAAAAAAAAAAAAAAAAFtDb250ZW50X1R5cGVzXS54bWxQSwECLQAUAAYACAAAACEAOP0h&#10;/9YAAACUAQAACwAAAAAAAAAAAAAAAAAvAQAAX3JlbHMvLnJlbHNQSwECLQAUAAYACAAAACEAmWSK&#10;3xUCAABNBAAADgAAAAAAAAAAAAAAAAAuAgAAZHJzL2Uyb0RvYy54bWxQSwECLQAUAAYACAAAACEA&#10;BZYutNoAAAAFAQAADwAAAAAAAAAAAAAAAABvBAAAZHJzL2Rvd25yZXYueG1sUEsFBgAAAAAEAAQA&#10;8wAAAHYFAAAAAA==&#10;" strokecolor="#7f7f7f [1612]" strokeweight=".5pt">
              <v:stroke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558" w:type="pc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80"/>
      <w:gridCol w:w="3009"/>
      <w:gridCol w:w="6410"/>
    </w:tblGrid>
    <w:tr w:rsidR="00540656" w:rsidRPr="004F65D3" w14:paraId="6BC531F3" w14:textId="77777777" w:rsidTr="00540656">
      <w:trPr>
        <w:trHeight w:val="425"/>
      </w:trPr>
      <w:tc>
        <w:tcPr>
          <w:tcW w:w="471" w:type="pct"/>
          <w:shd w:val="clear" w:color="auto" w:fill="808080" w:themeFill="background1" w:themeFillShade="80"/>
          <w:vAlign w:val="center"/>
        </w:tcPr>
        <w:p w14:paraId="00610B6F" w14:textId="77777777" w:rsidR="00540656" w:rsidRPr="009940AD" w:rsidRDefault="00540656" w:rsidP="00955C44">
          <w:pPr>
            <w:pStyle w:val="af6"/>
            <w:ind w:left="-144"/>
            <w:jc w:val="right"/>
            <w:rPr>
              <w:rFonts w:ascii="Times New Roman" w:hAnsi="Times New Roman"/>
              <w:b/>
              <w:sz w:val="24"/>
            </w:rPr>
          </w:pPr>
          <w:r w:rsidRPr="009940AD">
            <w:rPr>
              <w:rFonts w:ascii="Times New Roman" w:hAnsi="Times New Roman"/>
              <w:b/>
            </w:rPr>
            <w:fldChar w:fldCharType="begin"/>
          </w:r>
          <w:r w:rsidRPr="009940AD">
            <w:rPr>
              <w:rFonts w:ascii="Times New Roman" w:hAnsi="Times New Roman"/>
              <w:b/>
            </w:rPr>
            <w:instrText xml:space="preserve"> PAGE   \* MERGEFORMAT </w:instrText>
          </w:r>
          <w:r w:rsidRPr="009940AD">
            <w:rPr>
              <w:rFonts w:ascii="Times New Roman" w:hAnsi="Times New Roman"/>
              <w:b/>
            </w:rPr>
            <w:fldChar w:fldCharType="separate"/>
          </w:r>
          <w:r>
            <w:rPr>
              <w:rFonts w:ascii="Times New Roman" w:hAnsi="Times New Roman"/>
              <w:b/>
            </w:rPr>
            <w:t>46</w:t>
          </w:r>
          <w:r w:rsidRPr="009940AD">
            <w:rPr>
              <w:rFonts w:ascii="Times New Roman" w:hAnsi="Times New Roman"/>
              <w:b/>
            </w:rPr>
            <w:fldChar w:fldCharType="end"/>
          </w:r>
        </w:p>
      </w:tc>
      <w:tc>
        <w:tcPr>
          <w:tcW w:w="1447" w:type="pct"/>
          <w:vAlign w:val="center"/>
        </w:tcPr>
        <w:p w14:paraId="260052EE" w14:textId="77777777" w:rsidR="00540656" w:rsidRPr="002A0F90" w:rsidRDefault="00540656" w:rsidP="00955C44">
          <w:pPr>
            <w:pStyle w:val="af6"/>
            <w:tabs>
              <w:tab w:val="clear" w:pos="9355"/>
              <w:tab w:val="right" w:pos="9534"/>
            </w:tabs>
            <w:ind w:firstLine="319"/>
            <w:jc w:val="right"/>
            <w:rPr>
              <w:rFonts w:ascii="Montserrat" w:hAnsi="Montserrat"/>
              <w:b/>
              <w:color w:val="2F5496" w:themeColor="accent1" w:themeShade="BF"/>
              <w:sz w:val="16"/>
              <w:szCs w:val="18"/>
            </w:rPr>
          </w:pPr>
        </w:p>
      </w:tc>
      <w:tc>
        <w:tcPr>
          <w:tcW w:w="3082" w:type="pct"/>
          <w:vAlign w:val="bottom"/>
        </w:tcPr>
        <w:p w14:paraId="757A3160" w14:textId="729EB818" w:rsidR="00540656" w:rsidRDefault="00540656" w:rsidP="00955C44">
          <w:pPr>
            <w:pStyle w:val="af6"/>
            <w:ind w:right="127"/>
            <w:jc w:val="right"/>
          </w:pPr>
          <w:r>
            <w:rPr>
              <w:rFonts w:ascii="Times New Roman" w:hAnsi="Times New Roman"/>
              <w:b/>
              <w:color w:val="808080" w:themeColor="background1" w:themeShade="80"/>
            </w:rPr>
            <w:t>Экология</w:t>
          </w:r>
        </w:p>
      </w:tc>
    </w:tr>
  </w:tbl>
  <w:p w14:paraId="071A1DB5" w14:textId="77777777" w:rsidR="00540656" w:rsidRPr="00955C44" w:rsidRDefault="00540656" w:rsidP="00955C44">
    <w:pPr>
      <w:pStyle w:val="af4"/>
    </w:pPr>
    <w:r>
      <w:rPr>
        <w:noProof/>
      </w:rPr>
      <mc:AlternateContent>
        <mc:Choice Requires="wpg">
          <w:drawing>
            <wp:anchor distT="0" distB="0" distL="114300" distR="114300" simplePos="0" relativeHeight="251721728" behindDoc="0" locked="0" layoutInCell="1" allowOverlap="1" wp14:anchorId="0FF267EC" wp14:editId="618980EE">
              <wp:simplePos x="0" y="0"/>
              <wp:positionH relativeFrom="rightMargin">
                <wp:align>left</wp:align>
              </wp:positionH>
              <wp:positionV relativeFrom="paragraph">
                <wp:posOffset>-242570</wp:posOffset>
              </wp:positionV>
              <wp:extent cx="284480" cy="266700"/>
              <wp:effectExtent l="0" t="0" r="1270" b="0"/>
              <wp:wrapNone/>
              <wp:docPr id="2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222" name="Rectangle 14"/>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223" name="Rectangle 15"/>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5DC6BBA3" id="Group 16" o:spid="_x0000_s1026" style="position:absolute;margin-left:0;margin-top:-19.1pt;width:22.4pt;height:21pt;z-index:251721728;mso-position-horizontal:left;mso-position-horizontal-relative:right-margin-area"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OOqAIAAK8HAAAOAAAAZHJzL2Uyb0RvYy54bWzcVVtv2yAUfp+0/4B4X20cN8msOlWVXjSp&#10;26p1+wEE44uGgQGJ0/36HcBOs27SpE7rw/xgAefC+b7zAWfn+16gHTe2U7LE5CTFiEumqk42Jf7y&#10;+frNEiPrqKyoUJKX+IFbfL56/eps0AXPVKtExQ2CJNIWgy5x65wuksSylvfUnijNJRhrZXrqYGqa&#10;pDJ0gOy9SLI0nSeDMpU2inFrYfUyGvEq5K9rztzHurbcIVFiqM2Fvwn/jf8nqzNaNIbqtmNjGfQZ&#10;VfS0k7DpIdUldRRtTfdLqr5jRllVuxOm+kTVdcd4wABoSPoEzY1RWx2wNMXQ6ANNQO0Tnp6dln3Y&#10;3RnUVSXOyAIjSXtoUtgXkblnZ9BNAU43Rt/rOxMhwvBWsa8WzMlTu5830Rlthveqgnx061RgZ1+b&#10;3qcA3GgfmvBwaALfO8RgMVvm+RJaxcCUzeeLdGwSa6GTPoqQdDHDCMxknuahSFqw9mqMh+gYnGch&#10;MqFF3DaUOpbmcYHg7COn9u84vW+p5qFV1tM1cZplE6efQIpUNoIjkkdeg+NEqo2MIqnWLbjxC2PU&#10;0HJaQV3E+0P1RwF+YqEff6T4t2RNVM/ykWc/8HtMVNFCG+tuuOqRH5TYQPWhg3R3a110nVx8Q60S&#10;XXXdCREmptmshUE76g/ddZbPrsbsP7kJ6Z2l8mExo18JOD202KKNqh4AplHx5MJNA4NWme8YDXBq&#10;S2y/banhGIl3Eqh6S3KPyYVJfroACSBzbNkcW6hkkKrEDqM4XLt4NWy16ZoWdiIBtFQXoOC6C8A9&#10;9bGqsVhQ0YvJCXQfj+iRnE5fVE5kScazR7Lx7P1rOfm3gB8EtWliU8S2h9sliuw0hW/S2OQe9Pz/&#10;Ki5cZ/AqBJjjC+afneN5UOjjO7v6AQAA//8DAFBLAwQUAAYACAAAACEADaEGs90AAAAFAQAADwAA&#10;AGRycy9kb3ducmV2LnhtbEyPQWvCQBSE74X+h+UJvekmxpYQ8yIibU9SqBZKb2v2mQSzuyG7JvHf&#10;9/VUj8MMM9/km8m0YqDeN84ixIsIBNnS6cZWCF/Ht3kKwgdltWqdJYQbedgUjw+5yrQb7ScNh1AJ&#10;LrE+Uwh1CF0mpS9rMsovXEeWvbPrjQos+0rqXo1cblq5jKIXaVRjeaFWHe1qKi+Hq0F4H9W4TeLX&#10;YX85724/x+eP731MiE+zabsGEWgK/2H4w2d0KJjp5K5We9Ei8JGAME/SJQi2Vys+ckJIUpBFLu/p&#10;i18AAAD//wMAUEsBAi0AFAAGAAgAAAAhALaDOJL+AAAA4QEAABMAAAAAAAAAAAAAAAAAAAAAAFtD&#10;b250ZW50X1R5cGVzXS54bWxQSwECLQAUAAYACAAAACEAOP0h/9YAAACUAQAACwAAAAAAAAAAAAAA&#10;AAAvAQAAX3JlbHMvLnJlbHNQSwECLQAUAAYACAAAACEAuTHDjqgCAACvBwAADgAAAAAAAAAAAAAA&#10;AAAuAgAAZHJzL2Uyb0RvYy54bWxQSwECLQAUAAYACAAAACEADaEGs90AAAAFAQAADwAAAAAAAAAA&#10;AAAAAAACBQAAZHJzL2Rvd25yZXYueG1sUEsFBgAAAAAEAAQA8wAAAAwGAAAAAA==&#10;">
              <v:rect id="Rectangle 14"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NuXxAAAANwAAAAPAAAAZHJzL2Rvd25yZXYueG1sRI9Ba8JA&#10;FITvBf/D8gRvdeNCSo2uIgExlB5a7aHHR/aZBLNvQ3ZN4r/vFgo9DjPzDbPdT7YVA/W+caxhtUxA&#10;EJfONFxp+Locn19B+IBssHVMGh7kYb+bPW0xM27kTxrOoRIRwj5DDXUIXSalL2uy6JeuI47e1fUW&#10;Q5R9JU2PY4TbVqokeZEWG44LNXaU11Tezner4e2UVvLwXST5u8eP1I92fbVK68V8OmxABJrCf/iv&#10;XRgNSin4PROPgNz9AAAA//8DAFBLAQItABQABgAIAAAAIQDb4fbL7gAAAIUBAAATAAAAAAAAAAAA&#10;AAAAAAAAAABbQ29udGVudF9UeXBlc10ueG1sUEsBAi0AFAAGAAgAAAAhAFr0LFu/AAAAFQEAAAsA&#10;AAAAAAAAAAAAAAAAHwEAAF9yZWxzLy5yZWxzUEsBAi0AFAAGAAgAAAAhAPYo25fEAAAA3AAAAA8A&#10;AAAAAAAAAAAAAAAABwIAAGRycy9kb3ducmV2LnhtbFBLBQYAAAAAAwADALcAAAD4AgAAAAA=&#10;" fillcolor="#0f243e" stroked="f"/>
              <v:rect id="Rectangle 15"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qxAAAANwAAAAPAAAAZHJzL2Rvd25yZXYueG1sRI9Pa8JA&#10;FMTvgt9heUJvZtMUQkldRQr+uVhI0oLH1+wzCWbfhuyq8dt3BaHHYWZ+wyxWo+nElQbXWlbwGsUg&#10;iCurW64VfJeb+TsI55E1dpZJwZ0crJbTyQIzbW+c07XwtQgQdhkqaLzvMyld1ZBBF9meOHgnOxj0&#10;QQ611APeAtx0MonjVBpsOSw02NNnQ9W5uBgFqTumbreWv3Zblbn/+iF5OF6UepmN6w8Qnkb/H362&#10;91pBkrzB40w4AnL5BwAA//8DAFBLAQItABQABgAIAAAAIQDb4fbL7gAAAIUBAAATAAAAAAAAAAAA&#10;AAAAAAAAAABbQ29udGVudF9UeXBlc10ueG1sUEsBAi0AFAAGAAgAAAAhAFr0LFu/AAAAFQEAAAsA&#10;AAAAAAAAAAAAAAAAHwEAAF9yZWxzLy5yZWxzUEsBAi0AFAAGAAgAAAAhAL7ZXOrEAAAA3AAAAA8A&#10;AAAAAAAAAAAAAAAABwIAAGRycy9kb3ducmV2LnhtbFBLBQYAAAAAAwADALcAAAD4AgAAAAA=&#10;" fillcolor="#7f7f7f [1612]" stroked="f"/>
              <w10:wrap anchorx="margin"/>
            </v:group>
          </w:pict>
        </mc:Fallback>
      </mc:AlternateContent>
    </w:r>
    <w:r>
      <w:rPr>
        <w:noProof/>
      </w:rPr>
      <mc:AlternateContent>
        <mc:Choice Requires="wps">
          <w:drawing>
            <wp:anchor distT="0" distB="0" distL="114300" distR="114300" simplePos="0" relativeHeight="251722752" behindDoc="0" locked="0" layoutInCell="1" allowOverlap="1" wp14:anchorId="73240D24" wp14:editId="49190062">
              <wp:simplePos x="0" y="0"/>
              <wp:positionH relativeFrom="column">
                <wp:posOffset>15135</wp:posOffset>
              </wp:positionH>
              <wp:positionV relativeFrom="paragraph">
                <wp:posOffset>58950</wp:posOffset>
              </wp:positionV>
              <wp:extent cx="5878349" cy="0"/>
              <wp:effectExtent l="0" t="0" r="0" b="0"/>
              <wp:wrapNone/>
              <wp:docPr id="229" name="Прямая соединительная линия 229"/>
              <wp:cNvGraphicFramePr/>
              <a:graphic xmlns:a="http://schemas.openxmlformats.org/drawingml/2006/main">
                <a:graphicData uri="http://schemas.microsoft.com/office/word/2010/wordprocessingShape">
                  <wps:wsp>
                    <wps:cNvCnPr/>
                    <wps:spPr>
                      <a:xfrm>
                        <a:off x="0" y="0"/>
                        <a:ext cx="587834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28EF1A7D" id="Прямая соединительная линия 229"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65pt" to="46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fYFQIAAE0EAAAOAAAAZHJzL2Uyb0RvYy54bWysVM2O0zAQviPxDpbvNGlhoURN97Cr5cJP&#10;xc8DuI7dWvKfbG+b3oAzUh+BV9gDSCstu8+QvBFjJ00RICQQOTie8XzfzDeeZHZaK4k2zHlhdInH&#10;oxwjpqmphF6V+N3biwdTjHwguiLSaFbiHfP4dH7/3mxrCzYxayMr5hCQaF9sbYnXIdgiyzxdM0X8&#10;yFim4ZAbp0gA062yypEtsCuZTfL8cbY1rrLOUOY9eM+7QzxP/JwzGl5x7llAssRQW0irS+syrtl8&#10;RoqVI3YtaF8G+YcqFBEakg5U5yQQdOnEL1RKUGe84WFEjcoM54KypAHUjPOf1LxZE8uSFmiOt0Ob&#10;/P+jpS83C4dEVeLJ5ClGmii4pOZz+77dN9+aq3aP2g/NXfO1+dJcN7fNdfsR9jftJ9jHw+amd+9R&#10;xEM3t9YXQHqmF663vF242JqaOxXfIBrV6QZ2ww2wOiAKzpPpk+nDR1AIPZxlR6B1PjxjRqG4KbEU&#10;OjaHFGTz3AdIBqGHkOiWOq7eSFFdCCmTEceKnUmHNgQGYrkaJwJ5qV6YqvOd5PBEIcCWpjCGd9aR&#10;Cc4iexbFdvLSLuwk6zK/ZhyaCoK6BANRl4NQynQY91mkhugI41DlAMxTZX8E9vERytKo/w14QKTM&#10;RocBrIQ27nfZQ30omXfxhw50umMLlqbapYtPrYGZTZ3rv6/4UfxoJ/jxLzD/DgAA//8DAFBLAwQU&#10;AAYACAAAACEABZYutNoAAAAFAQAADwAAAGRycy9kb3ducmV2LnhtbEyOwU7DMBBE70j9B2srcaNO&#10;Q4XaEKdCAQ7cIK0qjtt4m0SN11HspOHvcXuB42hGb166nUwrRupdY1nBchGBIC6tbrhSsN+9P6xB&#10;OI+ssbVMCn7IwTab3aWYaHvhLxoLX4kAYZeggtr7LpHSlTUZdAvbEYfuZHuDPsS+krrHS4CbVsZR&#10;9CQNNhweauwor6k8F4NRYF7zt8NuGIsxp9Xn9F3Fe/w4KHU/n16eQXia/N8YrvpBHbLgdLQDayda&#10;BfEqDBVsHkGEdhOvlyCOtyyzVP63z34BAAD//wMAUEsBAi0AFAAGAAgAAAAhALaDOJL+AAAA4QEA&#10;ABMAAAAAAAAAAAAAAAAAAAAAAFtDb250ZW50X1R5cGVzXS54bWxQSwECLQAUAAYACAAAACEAOP0h&#10;/9YAAACUAQAACwAAAAAAAAAAAAAAAAAvAQAAX3JlbHMvLnJlbHNQSwECLQAUAAYACAAAACEAVwtH&#10;2BUCAABNBAAADgAAAAAAAAAAAAAAAAAuAgAAZHJzL2Uyb0RvYy54bWxQSwECLQAUAAYACAAAACEA&#10;BZYutNoAAAAFAQAADwAAAAAAAAAAAAAAAABvBAAAZHJzL2Rvd25yZXYueG1sUEsFBgAAAAAEAAQA&#10;8wAAAHYFAAAAAA==&#10;" strokecolor="#7f7f7f [1612]" strokeweight=".5pt">
              <v:stroke joinstyle="miter"/>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540656" w:rsidRPr="004F65D3" w14:paraId="7398B6A4" w14:textId="77777777" w:rsidTr="00540656">
      <w:trPr>
        <w:trHeight w:val="424"/>
      </w:trPr>
      <w:tc>
        <w:tcPr>
          <w:tcW w:w="417" w:type="pct"/>
        </w:tcPr>
        <w:p w14:paraId="20F84D55" w14:textId="77777777" w:rsidR="00540656" w:rsidRPr="00786F7F" w:rsidRDefault="00540656" w:rsidP="00955C44">
          <w:pPr>
            <w:pStyle w:val="af6"/>
            <w:rPr>
              <w:sz w:val="20"/>
            </w:rPr>
          </w:pPr>
          <w:r>
            <w:rPr>
              <w:noProof/>
              <w:sz w:val="20"/>
            </w:rPr>
            <mc:AlternateContent>
              <mc:Choice Requires="wpg">
                <w:drawing>
                  <wp:anchor distT="0" distB="0" distL="114300" distR="114300" simplePos="0" relativeHeight="251724800" behindDoc="0" locked="0" layoutInCell="1" allowOverlap="1" wp14:anchorId="5752728B" wp14:editId="110118DD">
                    <wp:simplePos x="0" y="0"/>
                    <wp:positionH relativeFrom="column">
                      <wp:posOffset>52003</wp:posOffset>
                    </wp:positionH>
                    <wp:positionV relativeFrom="paragraph">
                      <wp:posOffset>26114</wp:posOffset>
                    </wp:positionV>
                    <wp:extent cx="284480" cy="266700"/>
                    <wp:effectExtent l="0" t="0" r="1270" b="0"/>
                    <wp:wrapNone/>
                    <wp:docPr id="23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231"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232"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0C113BE" id="Group 41" o:spid="_x0000_s1026" style="position:absolute;margin-left:4.1pt;margin-top:2.05pt;width:22.4pt;height:21pt;z-index:251724800"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OFpAIAAK8HAAAOAAAAZHJzL2Uyb0RvYy54bWzcVdtu3CAQfa/Uf0C8N76ss9la8UZRbqqU&#10;tlHTfgCL8UW1gQ7setOvzwD2ZruNVClV81A/WMBcmDnnAKdn274jGwGmVbKgyVFMiZBcla2sC/rt&#10;6/W7BSXGMlmyTklR0Adh6Nny7ZvTQeciVY3qSgEEk0iTD7qgjbU6jyLDG9Ezc6S0kGisFPTM4hTq&#10;qAQ2YPa+i9I4nkeDglKD4sIYXL0MRrr0+atKcPu5qoywpCso1mb9H/x/5f7R8pTlNTDdtHwsg72g&#10;ip61EjfdpbpklpE1tL+l6lsOyqjKHnHVR6qqWi58D9hNEh90cwNqrX0vdT7UegcTQnuA04vT8k+b&#10;OyBtWdB0hvhI1iNJfl+SJQ6dQdc5Ot2Avtd3EFrE4a3i3w2ao0O7m9fBmayGj6rEfGxtlUdnW0Hv&#10;UmDfZOtJeNiRILaWcFxMF1m2wFI4mtL5/CQeSeINMumikiQ+mVGC5mQeZ/NAIW+uxniMDsFZ6iMj&#10;lodtfaljaa4vFJx5wtT8Hab3DdPCU2UcXDtMkwnTLyhFJutOkCwNuHrHCVQTECVSXTToJs4B1NAI&#10;VmJdngesfi/ATQzy8UeInwVrgnqWjTi7gSNzgorlGoy9EaonblBQwOo9g2xza2xwnVwcoUZ1bXnd&#10;dp2fQL266IBsmDt012k2uxqz/+LWSecslQsLGd2K79O1FihaqfIB2wQVTi7eNDhoFPykZMBTW1Dz&#10;Y81AUNJ9kAjV+yRzPVk/yY5PUAIE9i2rfQuTHFMV1FIShhc2XA1rDW3d4E6Jb1qqc1Rw1frGHfSh&#10;qrFYVNGrySl9Rk6zV5VTskBJ+7OXpOPZ+9dycm+B2AlqVQdSunWPt0sQ2XGM36Sxyd3r+f9VnL/O&#10;8FXwbY4vmHt29udeoU/v7PIRAAD//wMAUEsDBBQABgAIAAAAIQAsppft3AAAAAUBAAAPAAAAZHJz&#10;L2Rvd25yZXYueG1sTI9Ba8JAFITvhf6H5RV6q5vVKhKzEZG2JylUC8Xbmn0mwezbkF2T+O/7eqrH&#10;YYaZb7L16BrRYxdqTxrUJAGBVHhbU6nh+/D+sgQRoiFrGk+o4YYB1vnjQ2ZS6wf6wn4fS8ElFFKj&#10;oYqxTaUMRYXOhIlvkdg7+86ZyLIrpe3MwOWukdMkWUhnauKFyrS4rbC47K9Ow8dghs1MvfW7y3l7&#10;Ox7mnz87hVo/P42bFYiIY/wPwx8+o0POTCd/JRtEo2E55aCGVwWC3fmMj51YLhTIPJP39PkvAAAA&#10;//8DAFBLAQItABQABgAIAAAAIQC2gziS/gAAAOEBAAATAAAAAAAAAAAAAAAAAAAAAABbQ29udGVu&#10;dF9UeXBlc10ueG1sUEsBAi0AFAAGAAgAAAAhADj9If/WAAAAlAEAAAsAAAAAAAAAAAAAAAAALwEA&#10;AF9yZWxzLy5yZWxzUEsBAi0AFAAGAAgAAAAhAPCmY4WkAgAArwcAAA4AAAAAAAAAAAAAAAAALgIA&#10;AGRycy9lMm9Eb2MueG1sUEsBAi0AFAAGAAgAAAAhACyml+3cAAAABQEAAA8AAAAAAAAAAAAAAAAA&#10;/gQAAGRycy9kb3ducmV2LnhtbFBLBQYAAAAABAAEAPMAAAAHBg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M9xQAAANwAAAAPAAAAZHJzL2Rvd25yZXYueG1sRI9Ba4NA&#10;FITvhf6H5RVya9YYLI3NRkQIkdJDm/aQ48N9Uan7VtyNmn/fLQRyHGbmG2abzaYTIw2utaxgtYxA&#10;EFdWt1wr+PneP7+CcB5ZY2eZFFzJQbZ7fNhiqu3EXzQefS0ChF2KChrv+1RKVzVk0C1tTxy8sx0M&#10;+iCHWuoBpwA3nYyj6EUabDksNNhT0VD1e7wYBe+HpJb5qYyKD4efiZvM5mxipRZPc/4GwtPs7+Fb&#10;u9QK4vUK/s+EIyB3fwAAAP//AwBQSwECLQAUAAYACAAAACEA2+H2y+4AAACFAQAAEwAAAAAAAAAA&#10;AAAAAAAAAAAAW0NvbnRlbnRfVHlwZXNdLnhtbFBLAQItABQABgAIAAAAIQBa9CxbvwAAABUBAAAL&#10;AAAAAAAAAAAAAAAAAB8BAABfcmVscy8ucmVsc1BLAQItABQABgAIAAAAIQCDI9M9xQAAANwAAAAP&#10;AAAAAAAAAAAAAAAAAAcCAABkcnMvZG93bnJldi54bWxQSwUGAAAAAAMAAwC3AAAA+QI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sxAAAANwAAAAPAAAAZHJzL2Rvd25yZXYueG1sRI9Pa8JA&#10;FMTvgt9heUJvZtMUQkldRQr+uVhI0oLH1+wzCWbfhuyq8dt3BaHHYWZ+wyxWo+nElQbXWlbwGsUg&#10;iCurW64VfJeb+TsI55E1dpZJwZ0crJbTyQIzbW+c07XwtQgQdhkqaLzvMyld1ZBBF9meOHgnOxj0&#10;QQ611APeAtx0MonjVBpsOSw02NNnQ9W5uBgFqTumbreWv3Zblbn/+iF5OF6UepmN6w8Qnkb/H362&#10;91pB8pbA40w4AnL5BwAA//8DAFBLAQItABQABgAIAAAAIQDb4fbL7gAAAIUBAAATAAAAAAAAAAAA&#10;AAAAAAAAAABbQ29udGVudF9UeXBlc10ueG1sUEsBAi0AFAAGAAgAAAAhAFr0LFu/AAAAFQEAAAsA&#10;AAAAAAAAAAAAAAAAHwEAAF9yZWxzLy5yZWxzUEsBAi0AFAAGAAgAAAAhAFRMb6zEAAAA3AAAAA8A&#10;AAAAAAAAAAAAAAAABwIAAGRycy9kb3ducmV2LnhtbFBLBQYAAAAAAwADALcAAAD4AgAAAAA=&#10;" fillcolor="#7f7f7f [1612]" stroked="f"/>
                  </v:group>
                </w:pict>
              </mc:Fallback>
            </mc:AlternateContent>
          </w:r>
        </w:p>
      </w:tc>
      <w:tc>
        <w:tcPr>
          <w:tcW w:w="4106" w:type="pct"/>
          <w:shd w:val="clear" w:color="auto" w:fill="auto"/>
          <w:vAlign w:val="bottom"/>
        </w:tcPr>
        <w:p w14:paraId="70BB81DB" w14:textId="31C75301" w:rsidR="00540656" w:rsidRPr="00963998" w:rsidRDefault="00540656" w:rsidP="00955C44">
          <w:pPr>
            <w:pStyle w:val="af6"/>
            <w:rPr>
              <w:b/>
              <w:color w:val="808080" w:themeColor="background1" w:themeShade="80"/>
            </w:rPr>
          </w:pPr>
          <w:r>
            <w:rPr>
              <w:rFonts w:ascii="Times New Roman" w:hAnsi="Times New Roman"/>
              <w:b/>
              <w:color w:val="808080" w:themeColor="background1" w:themeShade="80"/>
              <w:szCs w:val="24"/>
            </w:rPr>
            <w:t>Экология</w:t>
          </w:r>
        </w:p>
      </w:tc>
      <w:tc>
        <w:tcPr>
          <w:tcW w:w="477" w:type="pct"/>
          <w:shd w:val="clear" w:color="auto" w:fill="808080" w:themeFill="background1" w:themeFillShade="80"/>
          <w:vAlign w:val="center"/>
        </w:tcPr>
        <w:p w14:paraId="64718F70" w14:textId="77777777" w:rsidR="00540656" w:rsidRPr="00963998" w:rsidRDefault="00540656" w:rsidP="00955C44">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Pr>
              <w:rFonts w:ascii="Times New Roman" w:hAnsi="Times New Roman"/>
              <w:b/>
            </w:rPr>
            <w:t>47</w:t>
          </w:r>
          <w:r w:rsidRPr="00963998">
            <w:rPr>
              <w:rFonts w:ascii="Times New Roman" w:hAnsi="Times New Roman"/>
              <w:b/>
            </w:rPr>
            <w:fldChar w:fldCharType="end"/>
          </w:r>
        </w:p>
      </w:tc>
    </w:tr>
  </w:tbl>
  <w:p w14:paraId="44A3B48E" w14:textId="77777777" w:rsidR="00540656" w:rsidRPr="00955C44" w:rsidRDefault="00540656" w:rsidP="00955C44">
    <w:pPr>
      <w:pStyle w:val="af4"/>
    </w:pPr>
    <w:r>
      <w:rPr>
        <w:noProof/>
      </w:rPr>
      <mc:AlternateContent>
        <mc:Choice Requires="wps">
          <w:drawing>
            <wp:anchor distT="0" distB="0" distL="114300" distR="114300" simplePos="0" relativeHeight="251725824" behindDoc="0" locked="0" layoutInCell="1" allowOverlap="1" wp14:anchorId="72238C02" wp14:editId="58BF0BA1">
              <wp:simplePos x="0" y="0"/>
              <wp:positionH relativeFrom="margin">
                <wp:align>right</wp:align>
              </wp:positionH>
              <wp:positionV relativeFrom="paragraph">
                <wp:posOffset>70267</wp:posOffset>
              </wp:positionV>
              <wp:extent cx="5983112" cy="0"/>
              <wp:effectExtent l="0" t="0" r="0" b="0"/>
              <wp:wrapNone/>
              <wp:docPr id="233" name="Прямая соединительная линия 233"/>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1209183F" id="Прямая соединительная линия 233" o:spid="_x0000_s1026" style="position:absolute;z-index:251725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SLFAIAAE0EAAAOAAAAZHJzL2Uyb0RvYy54bWysVEuO1DAQ3SNxB8t7Okm3Bg1Rp2cxo2HD&#10;p8XnAG7H7ljyT7anPztgjdRH4AosQBppgDMkN6LspNMIEBKILBxXud6reuVK5hc7JdGGOS+MrnAx&#10;yTFimppa6HWFX7+6fnCOkQ9E10QazSq8Zx5fLO7fm29tyaamMbJmDgGJ9uXWVrgJwZZZ5mnDFPET&#10;Y5mGQ26cIgFMt85qR7bArmQ2zfOH2da42jpDmffgveoP8SLxc85oeM65ZwHJCkNtIa0urau4Zos5&#10;KdeO2EbQoQzyD1UoIjQkHamuSCDoxolfqJSgznjDw4QalRnOBWVJA6gp8p/UvGyIZUkLNMfbsU3+&#10;/9HSZ5ulQ6Ku8HQ2w0gTBZfUfujedIf2S/uxO6Dubfut/dx+am/br+1t9w72d9172MfD9m5wH1DE&#10;Qze31pdAeqmXbrC8XbrYmh13Kr5BNNqlG9iPN8B2AVFwnj06nxXFFCN6PMtOQOt8eMyMQnFTYSl0&#10;bA4pyeaJD5AMQo8h0S11XL2Ror4WUiYjjhW7lA5tCAzEal0kAnmjnpq6953l8EQhwJamMIb31okJ&#10;ziJ7FsX28tIu7CXrM79gHJoKgvoEI1Gfg1DKdCiGLFJDdIRxqHIE5qmyPwKH+AhladT/BjwiUmaj&#10;wwhWQhv3u+xhdyyZ9/HHDvS6YwtWpt6ni0+tgZlNnRu+r/hR/Ggn+OkvsPgOAAD//wMAUEsDBBQA&#10;BgAIAAAAIQDksELT2QAAAAYBAAAPAAAAZHJzL2Rvd25yZXYueG1sTI9BT4NAEIXvJv6HzZh4swuk&#10;MYosTYN68Ka0aTxOYQRSdpawC8V/7xgP9vjem7z3TbZZbK9mGn3n2EC8ikARV67uuDGw373ePYDy&#10;AbnG3jEZ+CYPm/z6KsO0dmf+oLkMjZIS9ikaaEMYUq191ZJFv3IDsWRfbrQYRI6Nrkc8S7ntdRJF&#10;99pix7LQ4kBFS9WpnKwB+1y8HHbTXM4Frd+XzybZ49vBmNubZfsEKtAS/o/hF1/QIRemo5u49qo3&#10;II8EceMYlKSP6yQBdfwzdJ7pS/z8BwAA//8DAFBLAQItABQABgAIAAAAIQC2gziS/gAAAOEBAAAT&#10;AAAAAAAAAAAAAAAAAAAAAABbQ29udGVudF9UeXBlc10ueG1sUEsBAi0AFAAGAAgAAAAhADj9If/W&#10;AAAAlAEAAAsAAAAAAAAAAAAAAAAALwEAAF9yZWxzLy5yZWxzUEsBAi0AFAAGAAgAAAAhABfGBIsU&#10;AgAATQQAAA4AAAAAAAAAAAAAAAAALgIAAGRycy9lMm9Eb2MueG1sUEsBAi0AFAAGAAgAAAAhAOSw&#10;QtPZAAAABgEAAA8AAAAAAAAAAAAAAAAAbgQAAGRycy9kb3ducmV2LnhtbFBLBQYAAAAABAAEAPMA&#10;AAB0BQAAAAA=&#10;" strokecolor="#7f7f7f [1612]" strokeweight=".5pt">
              <v:stroke joinstyle="miter"/>
              <w10:wrap anchorx="margin"/>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540656" w:rsidRPr="004F65D3" w14:paraId="281E9BF8" w14:textId="77777777" w:rsidTr="00540656">
      <w:trPr>
        <w:trHeight w:val="424"/>
      </w:trPr>
      <w:tc>
        <w:tcPr>
          <w:tcW w:w="417" w:type="pct"/>
        </w:tcPr>
        <w:p w14:paraId="310FFD03" w14:textId="77777777" w:rsidR="00540656" w:rsidRPr="00786F7F" w:rsidRDefault="00540656" w:rsidP="00A854C7">
          <w:pPr>
            <w:pStyle w:val="af6"/>
            <w:rPr>
              <w:sz w:val="20"/>
            </w:rPr>
          </w:pPr>
          <w:r>
            <w:rPr>
              <w:noProof/>
              <w:sz w:val="20"/>
            </w:rPr>
            <mc:AlternateContent>
              <mc:Choice Requires="wpg">
                <w:drawing>
                  <wp:anchor distT="0" distB="0" distL="114300" distR="114300" simplePos="0" relativeHeight="251730944" behindDoc="0" locked="0" layoutInCell="1" allowOverlap="1" wp14:anchorId="220B9D20" wp14:editId="329796A3">
                    <wp:simplePos x="0" y="0"/>
                    <wp:positionH relativeFrom="column">
                      <wp:posOffset>52003</wp:posOffset>
                    </wp:positionH>
                    <wp:positionV relativeFrom="paragraph">
                      <wp:posOffset>26114</wp:posOffset>
                    </wp:positionV>
                    <wp:extent cx="284480" cy="266700"/>
                    <wp:effectExtent l="0" t="0" r="1270" b="0"/>
                    <wp:wrapNone/>
                    <wp:docPr id="2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247"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248"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AD06460" id="Group 41" o:spid="_x0000_s1026" style="position:absolute;margin-left:4.1pt;margin-top:2.05pt;width:22.4pt;height:21pt;z-index:251730944"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7vpwIAAK8HAAAOAAAAZHJzL2Uyb0RvYy54bWzcVVtv0zAUfkfiP1h+Z7k0a0u0dJp2E9KA&#10;icEPcB3nIhLbHLtNx6/n2E66UpCQhtgDeYhsn4vP+b7P9tn5ru/IVoBplSxochJTIiRXZSvrgn75&#10;fPNmSYmxTJasU1IU9FEYer56/eps0LlIVaO6UgDBJNLkgy5oY63Oo8jwRvTMnCgtJBorBT2zOIU6&#10;KoENmL3vojSO59GgoNSguDAGV6+Cka58/qoS3H6sKiMs6QqKtVn/B/9fu3+0OmN5DUw3LR/LYM+o&#10;ometxE33qa6YZWQD7S+p+paDMqqyJ1z1kaqqlgvfA3aTxEfd3ILaaN9LnQ+13sOE0B7h9Oy0/MP2&#10;HkhbFjTN5pRI1iNJfl+SJQ6dQdc5Ot2CftD3EFrE4Z3iXw2ao2O7m9fBmayH96rEfGxjlUdnV0Hv&#10;UmDfZOdJeNyTIHaWcFxMl1m2RKo4mtL5fBGPJPEGmXRRSRIvZpSgOZnHWLSnkDfXYzxGh+As9ZER&#10;y8O2vtSxNNcXCs48YWr+DtOHhmnhqTIOrj2miwnTTyhFJutOkCwNuHrHCVQTECVSXTboJi4A1NAI&#10;VmJdnges/iDATQzy8UeIfwvWBPUsG3F2A0fmBBXLNRh7K1RP3KCggNV7Btn2ztjgOrk4Qo3q2vKm&#10;7To/gXp92QHZMnfobtJsdj1m/8mtk85ZKhcWMroV36drLVC0VuUjtgkqnFy8aXDQKPhOyYCntqDm&#10;24aBoKR7JxGqt0nmerJ+kp0uUAIEDi3rQwuTHFMV1FIShpc2XA0bDW3d4E6Jb1qqC1Rw1frGHfSh&#10;qrFYVNGLyQmlHY7ogZxmLyqnZJmMZy9Jx7P3r+Xk3gKxF9S6DqR0mx5vlyCy0xi/SWOTu9fz/6s4&#10;f53hq+DbHF8w9+wczr1Cn97Z1Q8AAAD//wMAUEsDBBQABgAIAAAAIQAsppft3AAAAAUBAAAPAAAA&#10;ZHJzL2Rvd25yZXYueG1sTI9Ba8JAFITvhf6H5RV6q5vVKhKzEZG2JylUC8Xbmn0mwezbkF2T+O/7&#10;eqrHYYaZb7L16BrRYxdqTxrUJAGBVHhbU6nh+/D+sgQRoiFrGk+o4YYB1vnjQ2ZS6wf6wn4fS8El&#10;FFKjoYqxTaUMRYXOhIlvkdg7+86ZyLIrpe3MwOWukdMkWUhnauKFyrS4rbC47K9Ow8dghs1MvfW7&#10;y3l7Ox7mnz87hVo/P42bFYiIY/wPwx8+o0POTCd/JRtEo2E55aCGVwWC3fmMj51YLhTIPJP39Pkv&#10;AAAA//8DAFBLAQItABQABgAIAAAAIQC2gziS/gAAAOEBAAATAAAAAAAAAAAAAAAAAAAAAABbQ29u&#10;dGVudF9UeXBlc10ueG1sUEsBAi0AFAAGAAgAAAAhADj9If/WAAAAlAEAAAsAAAAAAAAAAAAAAAAA&#10;LwEAAF9yZWxzLy5yZWxzUEsBAi0AFAAGAAgAAAAhAKulju+nAgAArwcAAA4AAAAAAAAAAAAAAAAA&#10;LgIAAGRycy9lMm9Eb2MueG1sUEsBAi0AFAAGAAgAAAAhACyml+3cAAAABQEAAA8AAAAAAAAAAAAA&#10;AAAAAQUAAGRycy9kb3ducmV2LnhtbFBLBQYAAAAABAAEAPMAAAAKBg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2vxQAAANwAAAAPAAAAZHJzL2Rvd25yZXYueG1sRI9Ba8JA&#10;FITvQv/D8gRvujE0tqauIoFiKB7atAePj+wzCc2+Ddltkv77bkHwOMzMN8zuMJlWDNS7xrKC9SoC&#10;QVxa3XCl4OvzdfkMwnlkja1lUvBLDg77h9kOU21H/qCh8JUIEHYpKqi971IpXVmTQbeyHXHwrrY3&#10;6IPsK6l7HAPctDKOoo002HBYqLGjrKbyu/gxCt5OSSWPlzzKzg7fEzea7dXESi3m0/EFhKfJ38O3&#10;dq4VxI9P8H8mHAG5/wMAAP//AwBQSwECLQAUAAYACAAAACEA2+H2y+4AAACFAQAAEwAAAAAAAAAA&#10;AAAAAAAAAAAAW0NvbnRlbnRfVHlwZXNdLnhtbFBLAQItABQABgAIAAAAIQBa9CxbvwAAABUBAAAL&#10;AAAAAAAAAAAAAAAAAB8BAABfcmVscy8ucmVsc1BLAQItABQABgAIAAAAIQA7gJ2vxQAAANwAAAAP&#10;AAAAAAAAAAAAAAAAAAcCAABkcnMvZG93bnJldi54bWxQSwUGAAAAAAMAAwC3AAAA+QI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s7vQAAANwAAAAPAAAAZHJzL2Rvd25yZXYueG1sRE/JCsIw&#10;EL0L/kMYwZumihSpRhHB5aLgBh7HZmyLzaQ0Uevfm4Pg8fH26bwxpXhR7QrLCgb9CARxanXBmYLz&#10;adUbg3AeWWNpmRR8yMF81m5NMdH2zQd6HX0mQgi7BBXk3leJlC7NyaDr24o4cHdbG/QB1pnUNb5D&#10;uCnlMIpiabDg0JBjRcuc0sfxaRTE7hq7zULe7Do9Hfz+QnJ3fSrV7TSLCQhPjf+Lf+6tVjAchbXh&#10;TDgCcvYFAAD//wMAUEsBAi0AFAAGAAgAAAAhANvh9svuAAAAhQEAABMAAAAAAAAAAAAAAAAAAAAA&#10;AFtDb250ZW50X1R5cGVzXS54bWxQSwECLQAUAAYACAAAACEAWvQsW78AAAAVAQAACwAAAAAAAAAA&#10;AAAAAAAfAQAAX3JlbHMvLnJlbHNQSwECLQAUAAYACAAAACEAbaIrO70AAADcAAAADwAAAAAAAAAA&#10;AAAAAAAHAgAAZHJzL2Rvd25yZXYueG1sUEsFBgAAAAADAAMAtwAAAPECAAAAAA==&#10;" fillcolor="#7f7f7f [1612]" stroked="f"/>
                  </v:group>
                </w:pict>
              </mc:Fallback>
            </mc:AlternateContent>
          </w:r>
        </w:p>
      </w:tc>
      <w:tc>
        <w:tcPr>
          <w:tcW w:w="4106" w:type="pct"/>
          <w:shd w:val="clear" w:color="auto" w:fill="auto"/>
          <w:vAlign w:val="bottom"/>
        </w:tcPr>
        <w:p w14:paraId="4D6A2345" w14:textId="5B756621" w:rsidR="00540656" w:rsidRPr="00963998" w:rsidRDefault="00540656" w:rsidP="00A854C7">
          <w:pPr>
            <w:pStyle w:val="af6"/>
            <w:rPr>
              <w:b/>
              <w:color w:val="808080" w:themeColor="background1" w:themeShade="80"/>
            </w:rPr>
          </w:pPr>
          <w:r>
            <w:rPr>
              <w:rFonts w:ascii="Times New Roman" w:hAnsi="Times New Roman"/>
              <w:b/>
              <w:color w:val="808080" w:themeColor="background1" w:themeShade="80"/>
              <w:szCs w:val="24"/>
            </w:rPr>
            <w:t>Экология</w:t>
          </w:r>
        </w:p>
      </w:tc>
      <w:tc>
        <w:tcPr>
          <w:tcW w:w="477" w:type="pct"/>
          <w:shd w:val="clear" w:color="auto" w:fill="808080" w:themeFill="background1" w:themeFillShade="80"/>
          <w:vAlign w:val="center"/>
        </w:tcPr>
        <w:p w14:paraId="7BD7FD55" w14:textId="77777777" w:rsidR="00540656" w:rsidRPr="00963998" w:rsidRDefault="00540656" w:rsidP="00A854C7">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Pr>
              <w:rFonts w:ascii="Times New Roman" w:hAnsi="Times New Roman"/>
              <w:b/>
            </w:rPr>
            <w:t>67</w:t>
          </w:r>
          <w:r w:rsidRPr="00963998">
            <w:rPr>
              <w:rFonts w:ascii="Times New Roman" w:hAnsi="Times New Roman"/>
              <w:b/>
            </w:rPr>
            <w:fldChar w:fldCharType="end"/>
          </w:r>
        </w:p>
      </w:tc>
    </w:tr>
  </w:tbl>
  <w:p w14:paraId="63933634" w14:textId="1AB9FB86" w:rsidR="00540656" w:rsidRPr="00A854C7" w:rsidRDefault="00540656" w:rsidP="00A854C7">
    <w:pPr>
      <w:pStyle w:val="af4"/>
    </w:pPr>
    <w:r>
      <w:rPr>
        <w:noProof/>
      </w:rPr>
      <mc:AlternateContent>
        <mc:Choice Requires="wps">
          <w:drawing>
            <wp:anchor distT="0" distB="0" distL="114300" distR="114300" simplePos="0" relativeHeight="251731968" behindDoc="0" locked="0" layoutInCell="1" allowOverlap="1" wp14:anchorId="7C7AC606" wp14:editId="0D0BDA14">
              <wp:simplePos x="0" y="0"/>
              <wp:positionH relativeFrom="margin">
                <wp:align>right</wp:align>
              </wp:positionH>
              <wp:positionV relativeFrom="paragraph">
                <wp:posOffset>70267</wp:posOffset>
              </wp:positionV>
              <wp:extent cx="5983112" cy="0"/>
              <wp:effectExtent l="0" t="0" r="0" b="0"/>
              <wp:wrapNone/>
              <wp:docPr id="249" name="Прямая соединительная линия 249"/>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3EEC9BE6" id="Прямая соединительная линия 249" o:spid="_x0000_s1026" style="position:absolute;z-index:251731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OUFQIAAE0EAAAOAAAAZHJzL2Uyb0RvYy54bWysVM2O0zAQviPxDpbvNElh0W7UdA+7Wi78&#10;VPw8gOvYrSX/yfY27Q04I/UReAUOi7TSAs+QvBFjJ00RICQQOTie8XzfzDeeZHa+VRJtmPPC6AoX&#10;kxwjpqmphV5V+M3rqwenGPlAdE2k0azCO+bx+fz+vVljSzY1ayNr5hCQaF82tsLrEGyZZZ6umSJ+&#10;YizTcMiNUySA6VZZ7UgD7Epm0zx/nDXG1dYZyrwH72V/iOeJn3NGwwvOPQtIVhhqC2l1aV3GNZvP&#10;SLlyxK4FHcog/1CFIkJD0pHqkgSCrp34hUoJ6ow3PEyoUZnhXFCWNICaIv9Jzas1sSxpgeZ4O7bJ&#10;/z9a+nyzcEjUFZ4+OsNIEwWX1H7s3nb79kv7qduj7l37rf3c3rS37df2tnsP+7vuA+zjYXs3uPco&#10;4qGbjfUlkF7ohRssbxcutmbLnYpvEI226QZ24w2wbUAUnCdnpw+LYooRPZxlR6B1PjxhRqG4qbAU&#10;OjaHlGTz1AdIBqGHkOiWOq7eSFFfCSmTEceKXUiHNgQGYrkqEoG8Vs9M3ftOcniiEGBLUxjDe+vI&#10;BGeRPYtie3lpF3aS9ZlfMg5NBUF9gpGoz0EoZToUQxapITrCOFQ5AvNU2R+BQ3yEsjTqfwMeESmz&#10;0WEEK6GN+132sD2UzPv4Qwd63bEFS1Pv0sWn1sDMps4N31f8KH60E/z4F5h/BwAA//8DAFBLAwQU&#10;AAYACAAAACEA5LBC09kAAAAGAQAADwAAAGRycy9kb3ducmV2LnhtbEyPQU+DQBCF7yb+h82YeLML&#10;pDGKLE2DevCmtGk8TmEEUnaWsAvFf+8YD/b43pu89022WWyvZhp959hAvIpAEVeu7rgxsN+93j2A&#10;8gG5xt4xGfgmD5v8+irDtHZn/qC5DI2SEvYpGmhDGFKtfdWSRb9yA7FkX260GESOja5HPEu57XUS&#10;RffaYsey0OJARUvVqZysAftcvBx201zOBa3fl88m2ePbwZjbm2X7BCrQEv6P4Rdf0CEXpqObuPaq&#10;NyCPBHHjGJSkj+skAXX8M3Se6Uv8/AcAAP//AwBQSwECLQAUAAYACAAAACEAtoM4kv4AAADhAQAA&#10;EwAAAAAAAAAAAAAAAAAAAAAAW0NvbnRlbnRfVHlwZXNdLnhtbFBLAQItABQABgAIAAAAIQA4/SH/&#10;1gAAAJQBAAALAAAAAAAAAAAAAAAAAC8BAABfcmVscy8ucmVsc1BLAQItABQABgAIAAAAIQDUdUOU&#10;FQIAAE0EAAAOAAAAAAAAAAAAAAAAAC4CAABkcnMvZTJvRG9jLnhtbFBLAQItABQABgAIAAAAIQDk&#10;sELT2QAAAAYBAAAPAAAAAAAAAAAAAAAAAG8EAABkcnMvZG93bnJldi54bWxQSwUGAAAAAAQABADz&#10;AAAAdQUAAAAA&#10;" strokecolor="#7f7f7f [1612]" strokeweight=".5pt">
              <v:stroke joinstyle="miter"/>
              <w10:wrap anchorx="margin"/>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9775B3" w:rsidRPr="004F65D3" w14:paraId="6E4A0BBB" w14:textId="77777777" w:rsidTr="00A31F26">
      <w:trPr>
        <w:trHeight w:val="424"/>
      </w:trPr>
      <w:tc>
        <w:tcPr>
          <w:tcW w:w="417" w:type="pct"/>
        </w:tcPr>
        <w:p w14:paraId="031EFD67" w14:textId="77777777" w:rsidR="009775B3" w:rsidRPr="00786F7F" w:rsidRDefault="009775B3" w:rsidP="009775B3">
          <w:pPr>
            <w:pStyle w:val="af6"/>
            <w:rPr>
              <w:sz w:val="20"/>
            </w:rPr>
          </w:pPr>
          <w:r>
            <w:rPr>
              <w:noProof/>
              <w:sz w:val="20"/>
            </w:rPr>
            <mc:AlternateContent>
              <mc:Choice Requires="wpg">
                <w:drawing>
                  <wp:anchor distT="0" distB="0" distL="114300" distR="114300" simplePos="0" relativeHeight="251743232" behindDoc="0" locked="0" layoutInCell="1" allowOverlap="1" wp14:anchorId="032B0EFD" wp14:editId="25EAB2B7">
                    <wp:simplePos x="0" y="0"/>
                    <wp:positionH relativeFrom="column">
                      <wp:posOffset>52003</wp:posOffset>
                    </wp:positionH>
                    <wp:positionV relativeFrom="paragraph">
                      <wp:posOffset>26114</wp:posOffset>
                    </wp:positionV>
                    <wp:extent cx="284480" cy="266700"/>
                    <wp:effectExtent l="0" t="0" r="1270" b="0"/>
                    <wp:wrapNone/>
                    <wp:docPr id="12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26"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27"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E3FB4" id="Group 41" o:spid="_x0000_s1026" style="position:absolute;margin-left:4.1pt;margin-top:2.05pt;width:22.4pt;height:21pt;z-index:251743232"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0ZpAIAAK8HAAAOAAAAZHJzL2Uyb0RvYy54bWzcVdtu3CAQfa/Uf0C8N76ss7u14o2i3FQp&#10;baOm/QAW44tqAx3Y9aZfnwHszTaNVClV81A/WMBcmDnnACenu74jWwGmVbKgyVFMiZBcla2sC/rt&#10;69W7JSXGMlmyTklR0Hth6Onq7ZuTQeciVY3qSgEEk0iTD7qgjbU6jyLDG9Ezc6S0kGisFPTM4hTq&#10;qAQ2YPa+i9I4nkeDglKD4sIYXL0IRrry+atKcPu5qoywpCso1mb9H/x/7f7R6oTlNTDdtHwsg72g&#10;ip61Ejfdp7pglpENtL+l6lsOyqjKHnHVR6qqWi58D9hNEj/p5hrURvte6nyo9R4mhPYJTi9Oyz9t&#10;b4G0JXKXHlMiWY8k+X1Jljh0Bl3n6HQN+k7fQmgRhzeKfzdojp7a3bwOzmQ9fFQl5mMbqzw6uwp6&#10;lwL7JjtPwv2eBLGzhONiusyyJVLF0ZTO54t4JIk3yKSLSpJ4MaMEzck8zuaBQt5cjvEYHYKz1EdG&#10;LA/b+lLH0lxfKDjziKn5O0zvGqaFp8o4uPaYzidMv6AUmaw7QbI04OodJ1BNQJRIdd6gmzgDUEMj&#10;WIl1eR6w+oMANzHIxx8hfhasCepZNuLsBo7MCSqWazD2WqieuEFBAav3DLLtjbHBdXJxhBrVteVV&#10;23V+AvX6vAOyZe7QXaXZ7HLM/otbJ52zVC4sZHQrvk/XWqBorcp7bBNUOLl40+CgUfCTkgFPbUHN&#10;jw0DQUn3QSJU75PM9WT9JDteoAQIHFrWhxYmOaYqqKUkDM9tuBo2Gtq6wZ0S37RUZ6jgqvWNO+hD&#10;VWOxqKJXk9PiGTnNXlVOyTIZz16SjmfvX8vJvQViL6h1HUjpNj3eLkFkxzF+k8Ymd6/n/1dx/jrD&#10;V8G3Ob5g7tk5nHuFPr6zqwcAAAD//wMAUEsDBBQABgAIAAAAIQAsppft3AAAAAUBAAAPAAAAZHJz&#10;L2Rvd25yZXYueG1sTI9Ba8JAFITvhf6H5RV6q5vVKhKzEZG2JylUC8Xbmn0mwezbkF2T+O/7eqrH&#10;YYaZb7L16BrRYxdqTxrUJAGBVHhbU6nh+/D+sgQRoiFrGk+o4YYB1vnjQ2ZS6wf6wn4fS8ElFFKj&#10;oYqxTaUMRYXOhIlvkdg7+86ZyLIrpe3MwOWukdMkWUhnauKFyrS4rbC47K9Ow8dghs1MvfW7y3l7&#10;Ox7mnz87hVo/P42bFYiIY/wPwx8+o0POTCd/JRtEo2E55aCGVwWC3fmMj51YLhTIPJP39PkvAAAA&#10;//8DAFBLAQItABQABgAIAAAAIQC2gziS/gAAAOEBAAATAAAAAAAAAAAAAAAAAAAAAABbQ29udGVu&#10;dF9UeXBlc10ueG1sUEsBAi0AFAAGAAgAAAAhADj9If/WAAAAlAEAAAsAAAAAAAAAAAAAAAAALwEA&#10;AF9yZWxzLy5yZWxzUEsBAi0AFAAGAAgAAAAhAMorDRmkAgAArwcAAA4AAAAAAAAAAAAAAAAALgIA&#10;AGRycy9lMm9Eb2MueG1sUEsBAi0AFAAGAAgAAAAhACyml+3cAAAABQEAAA8AAAAAAAAAAAAAAAAA&#10;/gQAAGRycy9kb3ducmV2LnhtbFBLBQYAAAAABAAEAPMAAAAHBg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zowAAAANwAAAAPAAAAZHJzL2Rvd25yZXYueG1sRE9Ni8Iw&#10;EL0L/ocwgjdNLShrNYoIosge3OrB49CMbbGZlCba+u83guBtHu9zluvOVOJJjSstK5iMIxDEmdUl&#10;5wou593oB4TzyBory6TgRQ7Wq35viYm2Lf/RM/W5CCHsElRQeF8nUrqsIINubGviwN1sY9AH2ORS&#10;N9iGcFPJOIpm0mDJoaHAmrYFZff0YRQc99Ncbq6HaPvr8DR1rZnfTKzUcNBtFiA8df4r/rgPOsyP&#10;Z/B+JlwgV/8AAAD//wMAUEsBAi0AFAAGAAgAAAAhANvh9svuAAAAhQEAABMAAAAAAAAAAAAAAAAA&#10;AAAAAFtDb250ZW50X1R5cGVzXS54bWxQSwECLQAUAAYACAAAACEAWvQsW78AAAAVAQAACwAAAAAA&#10;AAAAAAAAAAAfAQAAX3JlbHMvLnJlbHNQSwECLQAUAAYACAAAACEAUja86MAAAADcAAAADwAAAAAA&#10;AAAAAAAAAAAHAgAAZHJzL2Rvd25yZXYueG1sUEsFBgAAAAADAAMAtwAAAPQCA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uVwgAAANwAAAAPAAAAZHJzL2Rvd25yZXYueG1sRE9Na8JA&#10;EL0X+h+WKXhrNvUQJc1GpNDqRUHTQo7T3WkSmp0N2VXjv3cLBW/zeJ9TrCbbizONvnOs4CVJQRBr&#10;ZzpuFHxW789LED4gG+wdk4IreViVjw8F5sZd+EDnY2hEDGGfo4I2hCGX0uuWLPrEDcSR+3GjxRDh&#10;2Egz4iWG217O0zSTFjuODS0O9NaS/j2erILM15nfrOW3+9DVIey/SO7qk1Kzp2n9CiLQFO7if/fW&#10;xPnzBfw9Ey+Q5Q0AAP//AwBQSwECLQAUAAYACAAAACEA2+H2y+4AAACFAQAAEwAAAAAAAAAAAAAA&#10;AAAAAAAAW0NvbnRlbnRfVHlwZXNdLnhtbFBLAQItABQABgAIAAAAIQBa9CxbvwAAABUBAAALAAAA&#10;AAAAAAAAAAAAAB8BAABfcmVscy8ucmVsc1BLAQItABQABgAIAAAAIQAaxzuVwgAAANwAAAAPAAAA&#10;AAAAAAAAAAAAAAcCAABkcnMvZG93bnJldi54bWxQSwUGAAAAAAMAAwC3AAAA9gIAAAAA&#10;" fillcolor="#7f7f7f [1612]" stroked="f"/>
                  </v:group>
                </w:pict>
              </mc:Fallback>
            </mc:AlternateContent>
          </w:r>
        </w:p>
      </w:tc>
      <w:tc>
        <w:tcPr>
          <w:tcW w:w="4106" w:type="pct"/>
          <w:shd w:val="clear" w:color="auto" w:fill="auto"/>
          <w:vAlign w:val="bottom"/>
        </w:tcPr>
        <w:p w14:paraId="56EBFB69" w14:textId="07ECBBB9" w:rsidR="009775B3" w:rsidRPr="009775B3" w:rsidRDefault="009775B3" w:rsidP="009775B3">
          <w:pPr>
            <w:pStyle w:val="af6"/>
            <w:rPr>
              <w:rFonts w:ascii="Times New Roman" w:hAnsi="Times New Roman"/>
              <w:b/>
              <w:color w:val="808080" w:themeColor="background1" w:themeShade="80"/>
            </w:rPr>
          </w:pPr>
          <w:r w:rsidRPr="009775B3">
            <w:rPr>
              <w:rFonts w:ascii="Times New Roman" w:hAnsi="Times New Roman"/>
              <w:b/>
              <w:color w:val="808080" w:themeColor="background1" w:themeShade="80"/>
            </w:rPr>
            <w:t>Приложения</w:t>
          </w:r>
        </w:p>
      </w:tc>
      <w:tc>
        <w:tcPr>
          <w:tcW w:w="477" w:type="pct"/>
          <w:shd w:val="clear" w:color="auto" w:fill="808080" w:themeFill="background1" w:themeFillShade="80"/>
          <w:vAlign w:val="center"/>
        </w:tcPr>
        <w:p w14:paraId="3618BE51" w14:textId="77777777" w:rsidR="009775B3" w:rsidRPr="00963998" w:rsidRDefault="009775B3" w:rsidP="009775B3">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Pr>
              <w:rFonts w:ascii="Times New Roman" w:hAnsi="Times New Roman"/>
              <w:b/>
            </w:rPr>
            <w:t>75</w:t>
          </w:r>
          <w:r w:rsidRPr="00963998">
            <w:rPr>
              <w:rFonts w:ascii="Times New Roman" w:hAnsi="Times New Roman"/>
              <w:b/>
            </w:rPr>
            <w:fldChar w:fldCharType="end"/>
          </w:r>
        </w:p>
      </w:tc>
    </w:tr>
  </w:tbl>
  <w:p w14:paraId="2F25722F" w14:textId="5444BB01" w:rsidR="00540656" w:rsidRPr="009775B3" w:rsidRDefault="009775B3" w:rsidP="009775B3">
    <w:pPr>
      <w:pStyle w:val="af4"/>
    </w:pPr>
    <w:r>
      <w:rPr>
        <w:noProof/>
      </w:rPr>
      <mc:AlternateContent>
        <mc:Choice Requires="wps">
          <w:drawing>
            <wp:anchor distT="0" distB="0" distL="114300" distR="114300" simplePos="0" relativeHeight="251744256" behindDoc="0" locked="0" layoutInCell="1" allowOverlap="1" wp14:anchorId="37D6CFCE" wp14:editId="46EEDA97">
              <wp:simplePos x="0" y="0"/>
              <wp:positionH relativeFrom="margin">
                <wp:align>right</wp:align>
              </wp:positionH>
              <wp:positionV relativeFrom="paragraph">
                <wp:posOffset>70267</wp:posOffset>
              </wp:positionV>
              <wp:extent cx="5983112" cy="0"/>
              <wp:effectExtent l="0" t="0" r="0" b="0"/>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953003" id="Прямая соединительная линия 128" o:spid="_x0000_s1026" style="position:absolute;z-index:2517442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EFEwIAAE0EAAAOAAAAZHJzL2Uyb0RvYy54bWysVEuO1DAQ3SNxB8t7OkmjQUPU6VnMaNjw&#10;afE5gNuxO5b8k+3pzw5YI/URuAILRhppYM6Q3GjKTjqNACGByMJx/V7Vq6pkdrZVEq2Z88LoCheT&#10;HCOmqamFXlX43dvLR6cY+UB0TaTRrMI75vHZ/OGD2caWbGoaI2vmEIBoX25shZsQbJllnjZMET8x&#10;lmkwcuMUCSC6VVY7sgF0JbNpnj/JNsbV1hnKvAftRW/E84TPOaPhFeeeBSQrDLWFdLp0LuOZzWek&#10;XDliG0GHMsg/VKGI0JB0hLoggaArJ36BUoI64w0PE2pUZjgXlCUOwKbIf2LzpiGWJS7QHG/HNvn/&#10;B0tfrhcOiRpmN4VRaaJgSO3n7n23b7+1X7o96j60d+11+7W9ab+3N91HuN92n+Aeje3toN6jGA/d&#10;3FhfAui5XrhB8nbhYmu23Kn4BtJomyawGyfAtgFRUJ48PX1cFFOM6MGWHQOt8+EZMwrFS4Wl0LE5&#10;pCTr5z5AMnA9uES11PH0Ror6UkiZhLhW7Fw6tCawEMtVkQDklXph6l53ksMTiQBa2sLo3ktHJLBF&#10;9CyS7emlW9hJ1md+zTg0FQj1CUagPgehlOlQDFmkBu8YxqHKMTBPlf0xcPCPoSyt+t8EjxEps9Fh&#10;DFZCG/e77GF7KJn3/ocO9LxjC5am3qXBp9bAzqbODd9X/Ch+lFP48S8wvwcAAP//AwBQSwMEFAAG&#10;AAgAAAAhAOSwQtPZAAAABgEAAA8AAABkcnMvZG93bnJldi54bWxMj0FPg0AQhe8m/ofNmHizC6Qx&#10;iixNg3rwprRpPE5hBFJ2lrALxX/vGA/2+N6bvPdNtllsr2YafefYQLyKQBFXru64MbDfvd49gPIB&#10;ucbeMRn4Jg+b/Poqw7R2Z/6guQyNkhL2KRpoQxhSrX3VkkW/cgOxZF9utBhEjo2uRzxLue11EkX3&#10;2mLHstDiQEVL1amcrAH7XLwcdtNczgWt35fPJtnj28GY25tl+wQq0BL+j+EXX9AhF6ajm7j2qjcg&#10;jwRx4xiUpI/rJAF1/DN0nulL/PwHAAD//wMAUEsBAi0AFAAGAAgAAAAhALaDOJL+AAAA4QEAABMA&#10;AAAAAAAAAAAAAAAAAAAAAFtDb250ZW50X1R5cGVzXS54bWxQSwECLQAUAAYACAAAACEAOP0h/9YA&#10;AACUAQAACwAAAAAAAAAAAAAAAAAvAQAAX3JlbHMvLnJlbHNQSwECLQAUAAYACAAAACEAscWxBRMC&#10;AABNBAAADgAAAAAAAAAAAAAAAAAuAgAAZHJzL2Uyb0RvYy54bWxQSwECLQAUAAYACAAAACEA5LBC&#10;09kAAAAGAQAADwAAAAAAAAAAAAAAAABtBAAAZHJzL2Rvd25yZXYueG1sUEsFBgAAAAAEAAQA8wAA&#10;AHMFAAAAAA==&#10;" strokecolor="#7f7f7f [1612]" strokeweight=".5pt">
              <v:stroke joinstyle="miter"/>
              <w10:wrap anchorx="margin"/>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558" w:type="pc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80"/>
      <w:gridCol w:w="3009"/>
      <w:gridCol w:w="6410"/>
    </w:tblGrid>
    <w:tr w:rsidR="009775B3" w:rsidRPr="004F65D3" w14:paraId="278EA248" w14:textId="77777777" w:rsidTr="00A31F26">
      <w:trPr>
        <w:trHeight w:val="425"/>
      </w:trPr>
      <w:tc>
        <w:tcPr>
          <w:tcW w:w="471" w:type="pct"/>
          <w:shd w:val="clear" w:color="auto" w:fill="808080" w:themeFill="background1" w:themeFillShade="80"/>
          <w:vAlign w:val="center"/>
        </w:tcPr>
        <w:p w14:paraId="4044209F" w14:textId="77777777" w:rsidR="009775B3" w:rsidRPr="009940AD" w:rsidRDefault="009775B3" w:rsidP="009775B3">
          <w:pPr>
            <w:pStyle w:val="af6"/>
            <w:ind w:left="-144"/>
            <w:jc w:val="right"/>
            <w:rPr>
              <w:rFonts w:ascii="Times New Roman" w:hAnsi="Times New Roman"/>
              <w:b/>
              <w:sz w:val="24"/>
            </w:rPr>
          </w:pPr>
          <w:r w:rsidRPr="009940AD">
            <w:rPr>
              <w:rFonts w:ascii="Times New Roman" w:hAnsi="Times New Roman"/>
              <w:b/>
            </w:rPr>
            <w:fldChar w:fldCharType="begin"/>
          </w:r>
          <w:r w:rsidRPr="009940AD">
            <w:rPr>
              <w:rFonts w:ascii="Times New Roman" w:hAnsi="Times New Roman"/>
              <w:b/>
            </w:rPr>
            <w:instrText xml:space="preserve"> PAGE   \* MERGEFORMAT </w:instrText>
          </w:r>
          <w:r w:rsidRPr="009940AD">
            <w:rPr>
              <w:rFonts w:ascii="Times New Roman" w:hAnsi="Times New Roman"/>
              <w:b/>
            </w:rPr>
            <w:fldChar w:fldCharType="separate"/>
          </w:r>
          <w:r>
            <w:rPr>
              <w:rFonts w:ascii="Times New Roman" w:hAnsi="Times New Roman"/>
              <w:b/>
            </w:rPr>
            <w:t>76</w:t>
          </w:r>
          <w:r w:rsidRPr="009940AD">
            <w:rPr>
              <w:rFonts w:ascii="Times New Roman" w:hAnsi="Times New Roman"/>
              <w:b/>
            </w:rPr>
            <w:fldChar w:fldCharType="end"/>
          </w:r>
        </w:p>
      </w:tc>
      <w:tc>
        <w:tcPr>
          <w:tcW w:w="1447" w:type="pct"/>
          <w:vAlign w:val="center"/>
        </w:tcPr>
        <w:p w14:paraId="10A458EB" w14:textId="77777777" w:rsidR="009775B3" w:rsidRPr="002A0F90" w:rsidRDefault="009775B3" w:rsidP="009775B3">
          <w:pPr>
            <w:pStyle w:val="af6"/>
            <w:tabs>
              <w:tab w:val="clear" w:pos="9355"/>
              <w:tab w:val="right" w:pos="9534"/>
            </w:tabs>
            <w:ind w:firstLine="319"/>
            <w:jc w:val="right"/>
            <w:rPr>
              <w:rFonts w:ascii="Montserrat" w:hAnsi="Montserrat"/>
              <w:b/>
              <w:color w:val="2F5496" w:themeColor="accent1" w:themeShade="BF"/>
              <w:sz w:val="16"/>
              <w:szCs w:val="18"/>
            </w:rPr>
          </w:pPr>
        </w:p>
      </w:tc>
      <w:tc>
        <w:tcPr>
          <w:tcW w:w="3082" w:type="pct"/>
          <w:vAlign w:val="bottom"/>
        </w:tcPr>
        <w:p w14:paraId="0BF3EB18" w14:textId="72630443" w:rsidR="009775B3" w:rsidRDefault="009775B3" w:rsidP="009775B3">
          <w:pPr>
            <w:pStyle w:val="af6"/>
            <w:ind w:right="127"/>
            <w:jc w:val="right"/>
          </w:pPr>
          <w:r>
            <w:rPr>
              <w:rFonts w:ascii="Times New Roman" w:hAnsi="Times New Roman"/>
              <w:b/>
              <w:color w:val="808080" w:themeColor="background1" w:themeShade="80"/>
            </w:rPr>
            <w:t>Приложения</w:t>
          </w:r>
        </w:p>
      </w:tc>
    </w:tr>
  </w:tbl>
  <w:p w14:paraId="25F45E3A" w14:textId="77777777" w:rsidR="009775B3" w:rsidRPr="00955C44" w:rsidRDefault="009775B3" w:rsidP="009775B3">
    <w:pPr>
      <w:pStyle w:val="af4"/>
    </w:pPr>
    <w:r>
      <w:rPr>
        <w:noProof/>
      </w:rPr>
      <mc:AlternateContent>
        <mc:Choice Requires="wpg">
          <w:drawing>
            <wp:anchor distT="0" distB="0" distL="114300" distR="114300" simplePos="0" relativeHeight="251740160" behindDoc="0" locked="0" layoutInCell="1" allowOverlap="1" wp14:anchorId="2ACFA825" wp14:editId="7B725B72">
              <wp:simplePos x="0" y="0"/>
              <wp:positionH relativeFrom="rightMargin">
                <wp:align>left</wp:align>
              </wp:positionH>
              <wp:positionV relativeFrom="paragraph">
                <wp:posOffset>-242570</wp:posOffset>
              </wp:positionV>
              <wp:extent cx="284480" cy="266700"/>
              <wp:effectExtent l="0" t="0" r="1270" b="0"/>
              <wp:wrapNone/>
              <wp:docPr id="10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19" name="Rectangle 14"/>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20" name="Rectangle 15"/>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73DE5" id="Group 16" o:spid="_x0000_s1026" style="position:absolute;margin-left:0;margin-top:-19.1pt;width:22.4pt;height:21pt;z-index:251740160;mso-position-horizontal:left;mso-position-horizontal-relative:right-margin-area"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ATqAIAAK8HAAAOAAAAZHJzL2Uyb0RvYy54bWzcVdtu3CAQfa/Uf0C8NzYbZ7Ox4o2i3FQp&#10;baOm/QAW44tqAx3Y9aZfnwHszTatVClV81A/WMBcmHPmAKdn274jGwm21aqg7CClRCqhy1bVBf36&#10;5frdghLruCp5p5Us6IO09Gz59s3pYHI5043uSgkEkyibD6agjXMmTxIrGtlze6CNVGisNPTc4RTq&#10;pAQ+YPa+S2ZpOk8GDaUBLaS1uHoZjXQZ8leVFO5TVVnpSFdQrM2FP4T/yv+T5SnPa+CmacVYBn9B&#10;FT1vFW66S3XJHSdraH9J1bcCtNWVOxC6T3RVtUIGDIiGpc/Q3IBem4Clzofa7GhCap/x9OK04uPm&#10;DkhbYu/SOSWK99iksC9hc8/OYOocnW7A3Js7iBBxeKvFN4vm5Lndz+voTFbDB11iPr52OrCzraD3&#10;KRA32YYmPOyaILeOCFycLbJsga0SaJrN58fp2CTRYCd9FGPp8SElaGbzNAtF8lw0V2M8RsfgbBYi&#10;E57HbUOpY2keFwrOPnFq/47T+4YbGVplPV0Tp+xk4vQzSpGrupOEZZHX4DiRaiOjROmLBt3kOYAe&#10;GslLrIt5f6x+L8BPLPbjjxT/lqyJ6sNs5NkP/B4TVTw3YN2N1D3xg4ICVh86yDe31kXXycU31Oqu&#10;La/brgsTqFcXHZAN94fuepYdXo3Zf3LrlHdW2ofFjH4l4PTQYotWunxAmKDjycWbBgeNhh+UDHhq&#10;C2q/rzlISrr3Cqk6YZnH5MIkOzpGCRDYt6z2LVwJTFVQR0kcXrh4NawNtHWDO7EAWulzVHDVBuCe&#10;+ljVWCyq6LXk5OHEI7onp6NXlRNbsPHssdl49v61nPxbIHeCWtWxKd26x9sliuwoxW/S2OQe9Pz/&#10;Ki5cZ/gqBJjjC+afnf15UOjTO7t8BAAA//8DAFBLAwQUAAYACAAAACEADaEGs90AAAAFAQAADwAA&#10;AGRycy9kb3ducmV2LnhtbEyPQWvCQBSE74X+h+UJvekmxpYQ8yIibU9SqBZKb2v2mQSzuyG7JvHf&#10;9/VUj8MMM9/km8m0YqDeN84ixIsIBNnS6cZWCF/Ht3kKwgdltWqdJYQbedgUjw+5yrQb7ScNh1AJ&#10;LrE+Uwh1CF0mpS9rMsovXEeWvbPrjQos+0rqXo1cblq5jKIXaVRjeaFWHe1qKi+Hq0F4H9W4TeLX&#10;YX85724/x+eP731MiE+zabsGEWgK/2H4w2d0KJjp5K5We9Ei8JGAME/SJQi2Vys+ckJIUpBFLu/p&#10;i18AAAD//wMAUEsBAi0AFAAGAAgAAAAhALaDOJL+AAAA4QEAABMAAAAAAAAAAAAAAAAAAAAAAFtD&#10;b250ZW50X1R5cGVzXS54bWxQSwECLQAUAAYACAAAACEAOP0h/9YAAACUAQAACwAAAAAAAAAAAAAA&#10;AAAvAQAAX3JlbHMvLnJlbHNQSwECLQAUAAYACAAAACEAajdwE6gCAACvBwAADgAAAAAAAAAAAAAA&#10;AAAuAgAAZHJzL2Uyb0RvYy54bWxQSwECLQAUAAYACAAAACEADaEGs90AAAAFAQAADwAAAAAAAAAA&#10;AAAAAAACBQAAZHJzL2Rvd25yZXYueG1sUEsFBgAAAAAEAAQA8wAAAAwGAAAAAA==&#10;">
              <v:rect id="Rectangle 14"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InvgAAANwAAAAPAAAAZHJzL2Rvd25yZXYueG1sRE9LCsIw&#10;EN0L3iGM4E5TBUWrUUQQRVz4W7gcmrEtNpPSRFtvbwTB3Tzed+bLxhTiRZXLLSsY9CMQxInVOacK&#10;rpdNbwLCeWSNhWVS8CYHy0W7NcdY25pP9Dr7VIQQdjEqyLwvYyldkpFB17clceDutjLoA6xSqSus&#10;Q7gp5DCKxtJgzqEhw5LWGSWP89Mo2G9HqVzddtH64PA4crWZ3s1QqW6nWc1AeGr8X/xz73SYP5jC&#10;95lwgVx8AAAA//8DAFBLAQItABQABgAIAAAAIQDb4fbL7gAAAIUBAAATAAAAAAAAAAAAAAAAAAAA&#10;AABbQ29udGVudF9UeXBlc10ueG1sUEsBAi0AFAAGAAgAAAAhAFr0LFu/AAAAFQEAAAsAAAAAAAAA&#10;AAAAAAAAHwEAAF9yZWxzLy5yZWxzUEsBAi0AFAAGAAgAAAAhAO3F4ie+AAAA3AAAAA8AAAAAAAAA&#10;AAAAAAAABwIAAGRycy9kb3ducmV2LnhtbFBLBQYAAAAAAwADALcAAADyAgAAAAA=&#10;" fillcolor="#0f243e" stroked="f"/>
              <v:rect id="Rectangle 15"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PhwgAAANwAAAAPAAAAZHJzL2Rvd25yZXYueG1sRI9Bi8JA&#10;DIXvgv9hiOBNp3ooS3UUEXT3oqDugsfYiW2xkymdUeu/3xwEbwnv5b0v82XnavWgNlSeDUzGCSji&#10;3NuKCwO/p83oC1SIyBZrz2TgRQGWi35vjpn1Tz7Q4xgLJSEcMjRQxthkWoe8JIdh7Bti0a6+dRhl&#10;bQttW3xKuKv1NElS7bBiaSixoXVJ+e14dwbScE7D90pf/DY/HeL+j/TufDdmOOhWM1CRuvgxv69/&#10;rOBPBV+ekQn04h8AAP//AwBQSwECLQAUAAYACAAAACEA2+H2y+4AAACFAQAAEwAAAAAAAAAAAAAA&#10;AAAAAAAAW0NvbnRlbnRfVHlwZXNdLnhtbFBLAQItABQABgAIAAAAIQBa9CxbvwAAABUBAAALAAAA&#10;AAAAAAAAAAAAAB8BAABfcmVscy8ucmVsc1BLAQItABQABgAIAAAAIQCVLqPhwgAAANwAAAAPAAAA&#10;AAAAAAAAAAAAAAcCAABkcnMvZG93bnJldi54bWxQSwUGAAAAAAMAAwC3AAAA9gIAAAAA&#10;" fillcolor="#7f7f7f [1612]" stroked="f"/>
              <w10:wrap anchorx="margin"/>
            </v:group>
          </w:pict>
        </mc:Fallback>
      </mc:AlternateContent>
    </w:r>
    <w:r>
      <w:rPr>
        <w:noProof/>
      </w:rPr>
      <mc:AlternateContent>
        <mc:Choice Requires="wps">
          <w:drawing>
            <wp:anchor distT="0" distB="0" distL="114300" distR="114300" simplePos="0" relativeHeight="251741184" behindDoc="0" locked="0" layoutInCell="1" allowOverlap="1" wp14:anchorId="6D2B139B" wp14:editId="289C106E">
              <wp:simplePos x="0" y="0"/>
              <wp:positionH relativeFrom="column">
                <wp:posOffset>15135</wp:posOffset>
              </wp:positionH>
              <wp:positionV relativeFrom="paragraph">
                <wp:posOffset>58950</wp:posOffset>
              </wp:positionV>
              <wp:extent cx="5878349" cy="0"/>
              <wp:effectExtent l="0" t="0" r="0" b="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587834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7B174F" id="Прямая соединительная линия 121"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65pt" to="46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g9FAIAAE0EAAAOAAAAZHJzL2Uyb0RvYy54bWysVM2O0zAQviPxDpbvNGlhoURN97Cr5cJP&#10;xc8DuI7dWPKfbG/T3oAzUh+BV9gDSCstu8+QvBFjp00RICQQOTiev29mvplkdrpREq2Z88LoEo9H&#10;OUZMU1MJvSrxu7cXD6YY+UB0RaTRrMRb5vHp/P69WWMLNjG1kRVzCEC0Lxpb4joEW2SZpzVTxI+M&#10;ZRqM3DhFAohulVWONICuZDbJ88dZY1xlnaHMe9Ce90Y8T/icMxpece5ZQLLEUFtIp0vnMp7ZfEaK&#10;lSO2FnRfBvmHKhQRGpIOUOckEHTpxC9QSlBnvOFhRI3KDOeCstQDdDPOf+rmTU0sS70AOd4ONPn/&#10;B0tfrhcOiQpmNxljpImCIbWfu/fdrv3WXnU71H1o79qv7Zf2ur1tr7uPcL/pPsE9GtubvXqHYjyw&#10;2VhfAOiZXri95O3CRWo23Kn4hqbRJk1gO0yAbQKioDyZPpk+fPQUI3qwZcdA63x4xoxC8VJiKXQk&#10;hxRk/dwHSAauB5eoljqe3khRXQgpkxDXip1Jh9YEFmK5GicAealemKrXneTwxEYALW1hdO+lIxLY&#10;InoWm+3bS7ewlazP/JpxIBUa6hMMQH0OQinTIdGVkMA7hnGocgjMU2V/DNz7x1CWVv1vgoeIlNno&#10;MAQroY37XfawOZTMe/8DA33fkYKlqbZp8Ika2NnE3P77ih/Fj3IKP/4F5t8BAAD//wMAUEsDBBQA&#10;BgAIAAAAIQAFli602gAAAAUBAAAPAAAAZHJzL2Rvd25yZXYueG1sTI7BTsMwEETvSP0Haytxo05D&#10;hdoQp0IBDtwgrSqO23ibRI3XUeyk4e9xe4HjaEZvXrqdTCtG6l1jWcFyEYEgLq1uuFKw370/rEE4&#10;j6yxtUwKfsjBNpvdpZhoe+EvGgtfiQBhl6CC2vsukdKVNRl0C9sRh+5ke4M+xL6SusdLgJtWxlH0&#10;JA02HB5q7CivqTwXg1FgXvO3w24YizGn1ef0XcV7/DgodT+fXp5BeJr83xiu+kEdsuB0tANrJ1oF&#10;8SoMFWweQYR2E6+XII63LLNU/rfPfgEAAP//AwBQSwECLQAUAAYACAAAACEAtoM4kv4AAADhAQAA&#10;EwAAAAAAAAAAAAAAAAAAAAAAW0NvbnRlbnRfVHlwZXNdLnhtbFBLAQItABQABgAIAAAAIQA4/SH/&#10;1gAAAJQBAAALAAAAAAAAAAAAAAAAAC8BAABfcmVscy8ucmVsc1BLAQItABQABgAIAAAAIQBaYwg9&#10;FAIAAE0EAAAOAAAAAAAAAAAAAAAAAC4CAABkcnMvZTJvRG9jLnhtbFBLAQItABQABgAIAAAAIQAF&#10;li602gAAAAUBAAAPAAAAAAAAAAAAAAAAAG4EAABkcnMvZG93bnJldi54bWxQSwUGAAAAAAQABADz&#10;AAAAdQUAAAAA&#10;" strokecolor="#7f7f7f [1612]" strokeweight=".5pt">
              <v:stroke joinstyle="miter"/>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9775B3" w:rsidRPr="004F65D3" w14:paraId="334FC38F" w14:textId="77777777" w:rsidTr="00A31F26">
      <w:trPr>
        <w:trHeight w:val="424"/>
      </w:trPr>
      <w:tc>
        <w:tcPr>
          <w:tcW w:w="417" w:type="pct"/>
        </w:tcPr>
        <w:p w14:paraId="4F3FC817" w14:textId="77777777" w:rsidR="009775B3" w:rsidRPr="00786F7F" w:rsidRDefault="009775B3" w:rsidP="009775B3">
          <w:pPr>
            <w:pStyle w:val="af6"/>
            <w:rPr>
              <w:sz w:val="20"/>
            </w:rPr>
          </w:pPr>
          <w:r>
            <w:rPr>
              <w:noProof/>
              <w:sz w:val="20"/>
            </w:rPr>
            <mc:AlternateContent>
              <mc:Choice Requires="wpg">
                <w:drawing>
                  <wp:anchor distT="0" distB="0" distL="114300" distR="114300" simplePos="0" relativeHeight="251746304" behindDoc="0" locked="0" layoutInCell="1" allowOverlap="1" wp14:anchorId="35B788F4" wp14:editId="5D0DCD88">
                    <wp:simplePos x="0" y="0"/>
                    <wp:positionH relativeFrom="column">
                      <wp:posOffset>52003</wp:posOffset>
                    </wp:positionH>
                    <wp:positionV relativeFrom="paragraph">
                      <wp:posOffset>26114</wp:posOffset>
                    </wp:positionV>
                    <wp:extent cx="284480" cy="266700"/>
                    <wp:effectExtent l="0" t="0" r="1270" b="0"/>
                    <wp:wrapNone/>
                    <wp:docPr id="14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49"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50"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8A357" id="Group 41" o:spid="_x0000_s1026" style="position:absolute;margin-left:4.1pt;margin-top:2.05pt;width:22.4pt;height:21pt;z-index:251746304"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epwIAAK8HAAAOAAAAZHJzL2Uyb0RvYy54bWzcVVtv0zAUfkfiP1h+Z7k067po6TTtJqQB&#10;E4Mf4DrORSS2OXabjl+/YzvpSkFCGmIP5CGyc45PznexfXa+7TuyEWBaJQuaHMWUCMlV2cq6oF+/&#10;3LxbUGIskyXrlBQFfRSGni/fvjkbdC5S1aiuFECwiDT5oAvaWKvzKDK8ET0zR0oLicFKQc8sTqGO&#10;SmADVu+7KI3jeTQoKDUoLozBr1chSJe+flUJbj9VlRGWdAXF3qx/g3+v3DtanrG8Bqablo9tsBd0&#10;0bNW4k93pa6YZWQN7S+l+paDMqqyR1z1kaqqlguPAdEk8QGaW1Br7bHU+VDrHU1I7QFPLy7LP27u&#10;gbQlapehVJL1KJL/L8kSx86g6xyTbkE/6HsIEHF4p/g3g+HoMO7mdUgmq+GDKrEeW1vl2dlW0LsS&#10;iJtsvQiPOxHE1hKOH9NFli1QKo6hdD4/iUeReINKulVJEp/MKMFwMo+zeZCQN9fjelwdFmepXxmx&#10;PPzWtzq25nCh4cwzp+bvOH1omBZeKuPo2nF6OnH6Ga3IZN0JkqWBV584kWoCo0SqywbTxAWAGhrB&#10;SuzL64Dd7y1wE4N6/JHi35I1UT3LRp7dwIk5UcVyDcbeCtUTNygoYPdeQba5MzakTilOUKO6trxp&#10;u85PoF5ddkA2zG26mzSbXY/Vf0rrpEuWyi0LFd0Xj9NBCxKtVPmIMEGFnYsnDQ4aBT8oGXDXFtR8&#10;XzMQlHTvJVJ1mmQOk/WT7PgELUBgP7LajzDJsVRBLSVheGnD0bDW0NYN/inxoKW6QAdXrQfuqA9d&#10;jc2ii17LTscIJ2zRPTvNXtVOySIZ916SjnvvX9vJ3QViZ6hVHUTp1j2eLsFkxzE+k8emdO/n/9dx&#10;/jjDW8HDHG8wd+3sz71Dn+/Z5RMAAAD//wMAUEsDBBQABgAIAAAAIQAsppft3AAAAAUBAAAPAAAA&#10;ZHJzL2Rvd25yZXYueG1sTI9Ba8JAFITvhf6H5RV6q5vVKhKzEZG2JylUC8Xbmn0mwezbkF2T+O/7&#10;eqrHYYaZb7L16BrRYxdqTxrUJAGBVHhbU6nh+/D+sgQRoiFrGk+o4YYB1vnjQ2ZS6wf6wn4fS8El&#10;FFKjoYqxTaUMRYXOhIlvkdg7+86ZyLIrpe3MwOWukdMkWUhnauKFyrS4rbC47K9Ow8dghs1MvfW7&#10;y3l7Ox7mnz87hVo/P42bFYiIY/wPwx8+o0POTCd/JRtEo2E55aCGVwWC3fmMj51YLhTIPJP39Pkv&#10;AAAA//8DAFBLAQItABQABgAIAAAAIQC2gziS/gAAAOEBAAATAAAAAAAAAAAAAAAAAAAAAABbQ29u&#10;dGVudF9UeXBlc10ueG1sUEsBAi0AFAAGAAgAAAAhADj9If/WAAAAlAEAAAsAAAAAAAAAAAAAAAAA&#10;LwEAAF9yZWxzLy5yZWxzUEsBAi0AFAAGAAgAAAAhADz6WJ6nAgAArwcAAA4AAAAAAAAAAAAAAAAA&#10;LgIAAGRycy9lMm9Eb2MueG1sUEsBAi0AFAAGAAgAAAAhACyml+3cAAAABQEAAA8AAAAAAAAAAAAA&#10;AAAAAQUAAGRycy9kb3ducmV2LnhtbFBLBQYAAAAABAAEAPMAAAAKBg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6wAAAANwAAAAPAAAAZHJzL2Rvd25yZXYueG1sRE9Ni8Iw&#10;EL0L/ocwgjdNV1S0axQRRBEPWj3scWjGtmwzKU209d8bQfA2j/c5i1VrSvGg2hWWFfwMIxDEqdUF&#10;Zwqul+1gBsJ5ZI2lZVLwJAerZbezwFjbhs/0SHwmQgi7GBXk3lexlC7NyaAb2oo4cDdbG/QB1pnU&#10;NTYh3JRyFEVTabDg0JBjRZuc0v/kbhQcdpNMrv/20ebo8DRxjZnfzEipfq9d/4Lw1Pqv+OPe6zB/&#10;PIf3M+ECuXwBAAD//wMAUEsBAi0AFAAGAAgAAAAhANvh9svuAAAAhQEAABMAAAAAAAAAAAAAAAAA&#10;AAAAAFtDb250ZW50X1R5cGVzXS54bWxQSwECLQAUAAYACAAAACEAWvQsW78AAAAVAQAACwAAAAAA&#10;AAAAAAAAAAAfAQAAX3JlbHMvLnJlbHNQSwECLQAUAAYACAAAACEA/nbNOsAAAADcAAAADwAAAAAA&#10;AAAAAAAAAAAHAgAAZHJzL2Rvd25yZXYueG1sUEsFBgAAAAADAAMAtwAAAPQCA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CcwwAAANwAAAAPAAAAZHJzL2Rvd25yZXYueG1sRI9Pi8JA&#10;DMXvwn6HIQvedLrCFqmOIgu77kXBf+AxdmJb7GRKZ9T67c1B8JbwXt77ZTrvXK1u1IbKs4GvYQKK&#10;OPe24sLAfvc7GIMKEdli7ZkMPCjAfPbRm2Jm/Z03dNvGQkkIhwwNlDE2mdYhL8lhGPqGWLSzbx1G&#10;WdtC2xbvEu5qPUqSVDusWBpKbOinpPyyvToDaTimYbnQJ/+X7zZxfSC9Ol6N6X92iwmoSF18m1/X&#10;/1bwvwVfnpEJ9OwJAAD//wMAUEsBAi0AFAAGAAgAAAAhANvh9svuAAAAhQEAABMAAAAAAAAAAAAA&#10;AAAAAAAAAFtDb250ZW50X1R5cGVzXS54bWxQSwECLQAUAAYACAAAACEAWvQsW78AAAAVAQAACwAA&#10;AAAAAAAAAAAAAAAfAQAAX3JlbHMvLnJlbHNQSwECLQAUAAYACAAAACEAzSjQnMMAAADcAAAADwAA&#10;AAAAAAAAAAAAAAAHAgAAZHJzL2Rvd25yZXYueG1sUEsFBgAAAAADAAMAtwAAAPcCAAAAAA==&#10;" fillcolor="#7f7f7f [1612]" stroked="f"/>
                  </v:group>
                </w:pict>
              </mc:Fallback>
            </mc:AlternateContent>
          </w:r>
        </w:p>
      </w:tc>
      <w:tc>
        <w:tcPr>
          <w:tcW w:w="4106" w:type="pct"/>
          <w:shd w:val="clear" w:color="auto" w:fill="auto"/>
          <w:vAlign w:val="bottom"/>
        </w:tcPr>
        <w:p w14:paraId="5CEBFCCF" w14:textId="77777777" w:rsidR="009775B3" w:rsidRPr="009775B3" w:rsidRDefault="009775B3" w:rsidP="009775B3">
          <w:pPr>
            <w:pStyle w:val="af6"/>
            <w:rPr>
              <w:rFonts w:ascii="Times New Roman" w:hAnsi="Times New Roman"/>
              <w:b/>
              <w:color w:val="808080" w:themeColor="background1" w:themeShade="80"/>
            </w:rPr>
          </w:pPr>
          <w:r w:rsidRPr="009775B3">
            <w:rPr>
              <w:rFonts w:ascii="Times New Roman" w:hAnsi="Times New Roman"/>
              <w:b/>
              <w:color w:val="808080" w:themeColor="background1" w:themeShade="80"/>
            </w:rPr>
            <w:t>Приложения</w:t>
          </w:r>
        </w:p>
      </w:tc>
      <w:tc>
        <w:tcPr>
          <w:tcW w:w="477" w:type="pct"/>
          <w:shd w:val="clear" w:color="auto" w:fill="808080" w:themeFill="background1" w:themeFillShade="80"/>
          <w:vAlign w:val="center"/>
        </w:tcPr>
        <w:p w14:paraId="644E84F6" w14:textId="77777777" w:rsidR="009775B3" w:rsidRPr="00963998" w:rsidRDefault="009775B3" w:rsidP="009775B3">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Pr>
              <w:rFonts w:ascii="Times New Roman" w:hAnsi="Times New Roman"/>
              <w:b/>
            </w:rPr>
            <w:t>77</w:t>
          </w:r>
          <w:r w:rsidRPr="00963998">
            <w:rPr>
              <w:rFonts w:ascii="Times New Roman" w:hAnsi="Times New Roman"/>
              <w:b/>
            </w:rPr>
            <w:fldChar w:fldCharType="end"/>
          </w:r>
        </w:p>
      </w:tc>
    </w:tr>
  </w:tbl>
  <w:p w14:paraId="160E17E6" w14:textId="77777777" w:rsidR="009775B3" w:rsidRPr="009775B3" w:rsidRDefault="009775B3" w:rsidP="009775B3">
    <w:pPr>
      <w:pStyle w:val="af4"/>
    </w:pPr>
    <w:r>
      <w:rPr>
        <w:noProof/>
      </w:rPr>
      <mc:AlternateContent>
        <mc:Choice Requires="wps">
          <w:drawing>
            <wp:anchor distT="0" distB="0" distL="114300" distR="114300" simplePos="0" relativeHeight="251747328" behindDoc="0" locked="0" layoutInCell="1" allowOverlap="1" wp14:anchorId="7592D2E3" wp14:editId="1CB151AB">
              <wp:simplePos x="0" y="0"/>
              <wp:positionH relativeFrom="margin">
                <wp:align>right</wp:align>
              </wp:positionH>
              <wp:positionV relativeFrom="paragraph">
                <wp:posOffset>70267</wp:posOffset>
              </wp:positionV>
              <wp:extent cx="5983112" cy="0"/>
              <wp:effectExtent l="0" t="0" r="0" b="0"/>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F9F5DB" id="Прямая соединительная линия 151" o:spid="_x0000_s1026" style="position:absolute;z-index:251747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fNEwIAAE0EAAAOAAAAZHJzL2Uyb0RvYy54bWysVM2O0zAQviPxDpbvNElR0RI13cOulgs/&#10;FT8P4Dp2a8l/sr1NegPOSH0EXoEDK620wDMkb8TYaVMECAlEDo7n75uZbyaZn7dKoi1zXhhd4WKS&#10;Y8Q0NbXQ6wq/eX314AwjH4iuiTSaVXjHPD5f3L83b2zJpmZjZM0cAhDty8ZWeBOCLbPM0w1TxE+M&#10;ZRqM3DhFAohundWONICuZDbN80dZY1xtnaHMe9BeDka8SPicMxpecO5ZQLLCUFtIp0vnKp7ZYk7K&#10;tSN2I+ihDPIPVSgiNCQdoS5JIOjaiV+glKDOeMPDhBqVGc4FZakH6KbIf+rm1YZYlnoBcrwdafL/&#10;D5Y+3y4dEjXMblZgpImCIXUf+7f9vvvSfer3qH/Xfetuus/dbfe1u+3fw/2u/wD3aOzuDuo9ivHA&#10;ZmN9CaAXeukOkrdLF6lpuVPxDU2jNk1gN06AtQFRUM4enz0siilG9GjLToHW+fCEGYXipcJS6EgO&#10;Kcn2qQ+QDFyPLlEtdTy9kaK+ElImIa4Vu5AObQksxGpdJAB5rZ6ZetDNcnhiI4CWtjC6D9IJCWwR&#10;PYvNDu2lW9hJNmR+yTiQCg0NCUagIQehlOmQ6EpI4B3DOFQ5Buapsj8GHvxjKEur/jfBY0TKbHQY&#10;g5XQxv0ue2iPJfPB/8jA0HekYGXqXRp8ogZ2NjF3+L7iR/GjnMJPf4HFdwAAAP//AwBQSwMEFAAG&#10;AAgAAAAhAOSwQtPZAAAABgEAAA8AAABkcnMvZG93bnJldi54bWxMj0FPg0AQhe8m/ofNmHizC6Qx&#10;iixNg3rwprRpPE5hBFJ2lrALxX/vGA/2+N6bvPdNtllsr2YafefYQLyKQBFXru64MbDfvd49gPIB&#10;ucbeMRn4Jg+b/Poqw7R2Z/6guQyNkhL2KRpoQxhSrX3VkkW/cgOxZF9utBhEjo2uRzxLue11EkX3&#10;2mLHstDiQEVL1amcrAH7XLwcdtNczgWt35fPJtnj28GY25tl+wQq0BL+j+EXX9AhF6ajm7j2qjcg&#10;jwRx4xiUpI/rJAF1/DN0nulL/PwHAAD//wMAUEsBAi0AFAAGAAgAAAAhALaDOJL+AAAA4QEAABMA&#10;AAAAAAAAAAAAAAAAAAAAAFtDb250ZW50X1R5cGVzXS54bWxQSwECLQAUAAYACAAAACEAOP0h/9YA&#10;AACUAQAACwAAAAAAAAAAAAAAAAAvAQAAX3JlbHMvLnJlbHNQSwECLQAUAAYACAAAACEAodEnzRMC&#10;AABNBAAADgAAAAAAAAAAAAAAAAAuAgAAZHJzL2Uyb0RvYy54bWxQSwECLQAUAAYACAAAACEA5LBC&#10;09kAAAAGAQAADwAAAAAAAAAAAAAAAABtBAAAZHJzL2Rvd25yZXYueG1sUEsFBgAAAAAEAAQA8wAA&#10;AHMFAAAAAA==&#10;" strokecolor="#7f7f7f [1612]"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540656" w:rsidRPr="004F65D3" w14:paraId="4C65174F" w14:textId="77777777" w:rsidTr="00540656">
      <w:trPr>
        <w:trHeight w:val="424"/>
      </w:trPr>
      <w:tc>
        <w:tcPr>
          <w:tcW w:w="417" w:type="pct"/>
        </w:tcPr>
        <w:p w14:paraId="07E03D97" w14:textId="77777777" w:rsidR="00540656" w:rsidRPr="00786F7F" w:rsidRDefault="00540656" w:rsidP="00D040AF">
          <w:pPr>
            <w:pStyle w:val="af6"/>
            <w:rPr>
              <w:sz w:val="20"/>
            </w:rPr>
          </w:pPr>
          <w:r>
            <w:rPr>
              <w:noProof/>
              <w:sz w:val="20"/>
            </w:rPr>
            <mc:AlternateContent>
              <mc:Choice Requires="wpg">
                <w:drawing>
                  <wp:anchor distT="0" distB="0" distL="114300" distR="114300" simplePos="0" relativeHeight="251675648" behindDoc="0" locked="0" layoutInCell="1" allowOverlap="1" wp14:anchorId="5D3BFFB3" wp14:editId="61CD533D">
                    <wp:simplePos x="0" y="0"/>
                    <wp:positionH relativeFrom="column">
                      <wp:posOffset>52003</wp:posOffset>
                    </wp:positionH>
                    <wp:positionV relativeFrom="paragraph">
                      <wp:posOffset>26114</wp:posOffset>
                    </wp:positionV>
                    <wp:extent cx="284480" cy="266700"/>
                    <wp:effectExtent l="0" t="0" r="1270" b="0"/>
                    <wp:wrapNone/>
                    <wp:docPr id="12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23"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24"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A0409C3" id="Group 41" o:spid="_x0000_s1026" style="position:absolute;margin-left:4.1pt;margin-top:2.05pt;width:22.4pt;height:21pt;z-index:251675648"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HypAIAAK8HAAAOAAAAZHJzL2Uyb0RvYy54bWzcVdlu3CAUfa/Uf0C8N17GmUyteKIomyp1&#10;iZr2AxiMFxUDvTDjSb++F/BMpmmkSqmah/rBAu7Cvecc4PRsO0iyEWB7rSqaHaWUCMV13au2ol+/&#10;XL9ZUGIdUzWTWomK3gtLz5avX52OphS57rSsBRBMomw5mop2zpkySSzvxMDskTZCobHRMDCHU2iT&#10;GtiI2QeZ5Gk6T0YNtQHNhbW4ehmNdBnyN43g7lPTWOGIrCjW5sIfwn/l/8nylJUtMNP1fCqDPaOK&#10;gfUKN92numSOkTX0v6Uaeg7a6sYdcT0kuml6LkIP2E2WPurmBvTahF7acmzNHiaE9hFOz07LP25u&#10;gfQ1cpfnlCg2IElhX1JkHp3RtCU63YC5M7cQW8The82/WTQnj+1+3kZnsho/6BrzsbXTAZ1tA4NP&#10;gX2TbSDhfk+C2DrCcTFfFMUCqeJoyufzk3QiiXfIpI/KsvRkRgmas3lazCOFvLua4jE6Bhd5iExY&#10;GbcNpU6l+b5QcPYBU/t3mN51zIhAlfVw7THFQiOmn1GKTLVSkCKPuAbHHag2IkqUvujQTZwD6LET&#10;rMa6Ag9Y/UGAn1jk448QPwnWDupZMeHsB57MHVSsNGDdjdAD8YOKAlYfGGSb99ZF152LJ9Rq2dfX&#10;vZRhAu3qQgLZMH/orvNidjVl/8VNKu+stA+LGf1K6NO3Fila6foe2wQdTy7eNDjoNPygZMRTW1H7&#10;fc1AUCLfKYTqbVb4nlyYFMcnKAECh5bVoYUpjqkq6iiJwwsXr4a1gb7tcKcsNK30OSq46UPjHvpY&#10;1VQsqujF5FQ8IafZi8opW2TT2cvy6ez9azn5t0DsBbVqIylyPeDtEkV2nOK309jOPej5/1VcuM7w&#10;VQhtTi+Yf3YO50GhD+/s8icAAAD//wMAUEsDBBQABgAIAAAAIQAsppft3AAAAAUBAAAPAAAAZHJz&#10;L2Rvd25yZXYueG1sTI9Ba8JAFITvhf6H5RV6q5vVKhKzEZG2JylUC8Xbmn0mwezbkF2T+O/7eqrH&#10;YYaZb7L16BrRYxdqTxrUJAGBVHhbU6nh+/D+sgQRoiFrGk+o4YYB1vnjQ2ZS6wf6wn4fS8ElFFKj&#10;oYqxTaUMRYXOhIlvkdg7+86ZyLIrpe3MwOWukdMkWUhnauKFyrS4rbC47K9Ow8dghs1MvfW7y3l7&#10;Ox7mnz87hVo/P42bFYiIY/wPwx8+o0POTCd/JRtEo2E55aCGVwWC3fmMj51YLhTIPJP39PkvAAAA&#10;//8DAFBLAQItABQABgAIAAAAIQC2gziS/gAAAOEBAAATAAAAAAAAAAAAAAAAAAAAAABbQ29udGVu&#10;dF9UeXBlc10ueG1sUEsBAi0AFAAGAAgAAAAhADj9If/WAAAAlAEAAAsAAAAAAAAAAAAAAAAALwEA&#10;AF9yZWxzLy5yZWxzUEsBAi0AFAAGAAgAAAAhABqycfKkAgAArwcAAA4AAAAAAAAAAAAAAAAALgIA&#10;AGRycy9lMm9Eb2MueG1sUEsBAi0AFAAGAAgAAAAhACyml+3cAAAABQEAAA8AAAAAAAAAAAAAAAAA&#10;/gQAAGRycy9kb3ducmV2LnhtbFBLBQYAAAAABAAEAPMAAAAHBg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9wwAAAANwAAAAPAAAAZHJzL2Rvd25yZXYueG1sRE/LqsIw&#10;EN1f8B/CCO6uqRUvWo0igiji4vpYuByasS02k9JEW//eCIK7OZznzBatKcWDaldYVjDoRyCIU6sL&#10;zhScT+vfMQjnkTWWlknBkxws5p2fGSbaNnygx9FnIoSwS1BB7n2VSOnSnAy6vq2IA3e1tUEfYJ1J&#10;XWMTwk0p4yj6kwYLDg05VrTKKb0d70bBbjPK5PKyjVZ7h/8j15jJ1cRK9brtcgrCU+u/4o97q8P8&#10;eAjvZ8IFcv4CAAD//wMAUEsBAi0AFAAGAAgAAAAhANvh9svuAAAAhQEAABMAAAAAAAAAAAAAAAAA&#10;AAAAAFtDb250ZW50X1R5cGVzXS54bWxQSwECLQAUAAYACAAAACEAWvQsW78AAAAVAQAACwAAAAAA&#10;AAAAAAAAAAAfAQAAX3JlbHMvLnJlbHNQSwECLQAUAAYACAAAACEAQkEfcMAAAADcAAAADwAAAAAA&#10;AAAAAAAAAAAHAgAAZHJzL2Rvd25yZXYueG1sUEsFBgAAAAADAAMAtwAAAPQCA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XiwgAAANwAAAAPAAAAZHJzL2Rvd25yZXYueG1sRE9Na8JA&#10;EL0X+h+WKXhrNhUJJc1GpNDqRUHTQo7T3WkSmp0N2VXjv3cFobd5vM8plpPtxYlG3zlW8JKkIIi1&#10;Mx03Cr6qj+dXED4gG+wdk4ILeViWjw8F5sadeU+nQ2hEDGGfo4I2hCGX0uuWLPrEDcSR+3WjxRDh&#10;2Egz4jmG217O0zSTFjuODS0O9N6S/jscrYLM15lfr+SP+9TVPuy+SW7ro1Kzp2n1BiLQFP7Fd/fG&#10;xPnzBdyeiRfI8goAAP//AwBQSwECLQAUAAYACAAAACEA2+H2y+4AAACFAQAAEwAAAAAAAAAAAAAA&#10;AAAAAAAAW0NvbnRlbnRfVHlwZXNdLnhtbFBLAQItABQABgAIAAAAIQBa9CxbvwAAABUBAAALAAAA&#10;AAAAAAAAAAAAAB8BAABfcmVscy8ucmVsc1BLAQItABQABgAIAAAAIQDqFaXiwgAAANwAAAAPAAAA&#10;AAAAAAAAAAAAAAcCAABkcnMvZG93bnJldi54bWxQSwUGAAAAAAMAAwC3AAAA9gIAAAAA&#10;" fillcolor="#7f7f7f [1612]" stroked="f"/>
                  </v:group>
                </w:pict>
              </mc:Fallback>
            </mc:AlternateContent>
          </w:r>
        </w:p>
      </w:tc>
      <w:tc>
        <w:tcPr>
          <w:tcW w:w="4106" w:type="pct"/>
          <w:shd w:val="clear" w:color="auto" w:fill="auto"/>
          <w:vAlign w:val="bottom"/>
        </w:tcPr>
        <w:p w14:paraId="40A78C9E" w14:textId="243CB082" w:rsidR="00540656" w:rsidRPr="00963998" w:rsidRDefault="00540656" w:rsidP="00D040AF">
          <w:pPr>
            <w:pStyle w:val="af6"/>
            <w:rPr>
              <w:b/>
              <w:color w:val="808080" w:themeColor="background1" w:themeShade="80"/>
            </w:rPr>
          </w:pPr>
          <w:r>
            <w:rPr>
              <w:rFonts w:ascii="Times New Roman" w:hAnsi="Times New Roman"/>
              <w:b/>
              <w:color w:val="808080" w:themeColor="background1" w:themeShade="80"/>
              <w:szCs w:val="24"/>
            </w:rPr>
            <w:t>Состояние реального сектора экономики</w:t>
          </w:r>
        </w:p>
      </w:tc>
      <w:tc>
        <w:tcPr>
          <w:tcW w:w="477" w:type="pct"/>
          <w:shd w:val="clear" w:color="auto" w:fill="808080" w:themeFill="background1" w:themeFillShade="80"/>
          <w:vAlign w:val="center"/>
        </w:tcPr>
        <w:p w14:paraId="76CA5D2A" w14:textId="77777777" w:rsidR="00540656" w:rsidRPr="00963998" w:rsidRDefault="00540656" w:rsidP="00D040AF">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sidRPr="00963998">
            <w:rPr>
              <w:rFonts w:ascii="Times New Roman" w:hAnsi="Times New Roman"/>
              <w:b/>
              <w:noProof/>
            </w:rPr>
            <w:t>3</w:t>
          </w:r>
          <w:r w:rsidRPr="00963998">
            <w:rPr>
              <w:rFonts w:ascii="Times New Roman" w:hAnsi="Times New Roman"/>
              <w:b/>
            </w:rPr>
            <w:fldChar w:fldCharType="end"/>
          </w:r>
        </w:p>
      </w:tc>
    </w:tr>
  </w:tbl>
  <w:p w14:paraId="71A3002A" w14:textId="5D0AA9B0" w:rsidR="00540656" w:rsidRPr="001D3299" w:rsidRDefault="00540656" w:rsidP="001D3299">
    <w:pPr>
      <w:pStyle w:val="af4"/>
    </w:pPr>
    <w:r>
      <w:rPr>
        <w:noProof/>
      </w:rPr>
      <mc:AlternateContent>
        <mc:Choice Requires="wps">
          <w:drawing>
            <wp:anchor distT="0" distB="0" distL="114300" distR="114300" simplePos="0" relativeHeight="251680768" behindDoc="0" locked="0" layoutInCell="1" allowOverlap="1" wp14:anchorId="7D425A44" wp14:editId="758DD3FE">
              <wp:simplePos x="0" y="0"/>
              <wp:positionH relativeFrom="margin">
                <wp:align>right</wp:align>
              </wp:positionH>
              <wp:positionV relativeFrom="paragraph">
                <wp:posOffset>70267</wp:posOffset>
              </wp:positionV>
              <wp:extent cx="5983112" cy="0"/>
              <wp:effectExtent l="0" t="0" r="0" b="0"/>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313DEEBE" id="Прямая соединительная линия 133" o:spid="_x0000_s1026" style="position:absolute;z-index:2516807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NpEwIAAE0EAAAOAAAAZHJzL2Uyb0RvYy54bWysVEuO1DAQ3SNxB8t7Okm3Bg1Rp2cxo2HD&#10;p8XnAG7H7ljyT7anPztgjdRH4AosQBppgDMkN6LspNMIEBKILBzX71XVq0rmFzsl0YY5L4yucDHJ&#10;MWKamlrodYVfv7p+cI6RD0TXRBrNKrxnHl8s7t+bb23JpqYxsmYOAYj25dZWuAnBllnmacMU8RNj&#10;mQYjN06RAKJbZ7UjW0BXMpvm+cNsa1xtnaHMe9Be9Ua8SPicMxqec+5ZQLLCUFtIp0vnKp7ZYk7K&#10;tSO2EXQog/xDFYoIDUlHqCsSCLpx4hcoJagz3vAwoUZlhnNBWeoBuinyn7p52RDLUi9AjrcjTf7/&#10;wdJnm6VDoobZzWYYaaJgSO2H7k13aL+0H7sD6t6239rP7af2tv3a3nbv4H7XvYd7NLZ3g/qAYjyw&#10;ubW+BNBLvXSD5O3SRWp23Kn4hqbRLk1gP06A7QKioDx7dD4riilG9GjLToHW+fCYGYXipcJS6EgO&#10;KcnmiQ+QDFyPLlEtdTy9kaK+FlImIa4Vu5QObQgsxGpdJAB5o56auted5fDERgAtbWF076UTEtgi&#10;ehab7dtLt7CXrM/8gnEgFRrqE4xAfQ5CKdOhGLJIDd4xjEOVY2CeKvtj4OAfQ1la9b8JHiNSZqPD&#10;GKyENu532cPuWDLv/Y8M9H1HClam3qfBJ2pgZxNzw/cVP4of5RR++gssvgMAAP//AwBQSwMEFAAG&#10;AAgAAAAhAOSwQtPZAAAABgEAAA8AAABkcnMvZG93bnJldi54bWxMj0FPg0AQhe8m/ofNmHizC6Qx&#10;iixNg3rwprRpPE5hBFJ2lrALxX/vGA/2+N6bvPdNtllsr2YafefYQLyKQBFXru64MbDfvd49gPIB&#10;ucbeMRn4Jg+b/Poqw7R2Z/6guQyNkhL2KRpoQxhSrX3VkkW/cgOxZF9utBhEjo2uRzxLue11EkX3&#10;2mLHstDiQEVL1amcrAH7XLwcdtNczgWt35fPJtnj28GY25tl+wQq0BL+j+EXX9AhF6ajm7j2qjcg&#10;jwRx4xiUpI/rJAF1/DN0nulL/PwHAAD//wMAUEsBAi0AFAAGAAgAAAAhALaDOJL+AAAA4QEAABMA&#10;AAAAAAAAAAAAAAAAAAAAAFtDb250ZW50X1R5cGVzXS54bWxQSwECLQAUAAYACAAAACEAOP0h/9YA&#10;AACUAQAACwAAAAAAAAAAAAAAAAAvAQAAX3JlbHMvLnJlbHNQSwECLQAUAAYACAAAACEAUbGjaRMC&#10;AABNBAAADgAAAAAAAAAAAAAAAAAuAgAAZHJzL2Uyb0RvYy54bWxQSwECLQAUAAYACAAAACEA5LBC&#10;09kAAAAGAQAADwAAAAAAAAAAAAAAAABtBAAAZHJzL2Rvd25yZXYueG1sUEsFBgAAAAAEAAQA8wAA&#10;AHMFAAAAAA==&#10;" strokecolor="#7f7f7f [1612]" strokeweight=".5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558" w:type="pc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80"/>
      <w:gridCol w:w="3009"/>
      <w:gridCol w:w="6410"/>
    </w:tblGrid>
    <w:tr w:rsidR="00540656" w:rsidRPr="004F65D3" w14:paraId="06A7D95E" w14:textId="77777777" w:rsidTr="00D040AF">
      <w:trPr>
        <w:trHeight w:val="425"/>
      </w:trPr>
      <w:tc>
        <w:tcPr>
          <w:tcW w:w="471" w:type="pct"/>
          <w:shd w:val="clear" w:color="auto" w:fill="808080" w:themeFill="background1" w:themeFillShade="80"/>
          <w:vAlign w:val="center"/>
        </w:tcPr>
        <w:p w14:paraId="7B31E289" w14:textId="77777777" w:rsidR="00540656" w:rsidRPr="009940AD" w:rsidRDefault="00540656" w:rsidP="00963998">
          <w:pPr>
            <w:pStyle w:val="af6"/>
            <w:ind w:left="-144"/>
            <w:jc w:val="right"/>
            <w:rPr>
              <w:rFonts w:ascii="Times New Roman" w:hAnsi="Times New Roman"/>
              <w:b/>
              <w:sz w:val="24"/>
            </w:rPr>
          </w:pPr>
          <w:r w:rsidRPr="009940AD">
            <w:rPr>
              <w:rFonts w:ascii="Times New Roman" w:hAnsi="Times New Roman"/>
              <w:b/>
            </w:rPr>
            <w:fldChar w:fldCharType="begin"/>
          </w:r>
          <w:r w:rsidRPr="009940AD">
            <w:rPr>
              <w:rFonts w:ascii="Times New Roman" w:hAnsi="Times New Roman"/>
              <w:b/>
            </w:rPr>
            <w:instrText xml:space="preserve"> PAGE   \* MERGEFORMAT </w:instrText>
          </w:r>
          <w:r w:rsidRPr="009940AD">
            <w:rPr>
              <w:rFonts w:ascii="Times New Roman" w:hAnsi="Times New Roman"/>
              <w:b/>
            </w:rPr>
            <w:fldChar w:fldCharType="separate"/>
          </w:r>
          <w:r w:rsidRPr="009940AD">
            <w:rPr>
              <w:rFonts w:ascii="Times New Roman" w:hAnsi="Times New Roman"/>
              <w:b/>
              <w:noProof/>
            </w:rPr>
            <w:t>2</w:t>
          </w:r>
          <w:r w:rsidRPr="009940AD">
            <w:rPr>
              <w:rFonts w:ascii="Times New Roman" w:hAnsi="Times New Roman"/>
              <w:b/>
            </w:rPr>
            <w:fldChar w:fldCharType="end"/>
          </w:r>
        </w:p>
      </w:tc>
      <w:tc>
        <w:tcPr>
          <w:tcW w:w="1447" w:type="pct"/>
          <w:vAlign w:val="center"/>
        </w:tcPr>
        <w:p w14:paraId="43CC8F64" w14:textId="77777777" w:rsidR="00540656" w:rsidRPr="002A0F90" w:rsidRDefault="00540656" w:rsidP="00963998">
          <w:pPr>
            <w:pStyle w:val="af6"/>
            <w:tabs>
              <w:tab w:val="clear" w:pos="9355"/>
              <w:tab w:val="right" w:pos="9534"/>
            </w:tabs>
            <w:ind w:firstLine="319"/>
            <w:jc w:val="right"/>
            <w:rPr>
              <w:rFonts w:ascii="Montserrat" w:hAnsi="Montserrat"/>
              <w:b/>
              <w:color w:val="2F5496" w:themeColor="accent1" w:themeShade="BF"/>
              <w:sz w:val="16"/>
              <w:szCs w:val="18"/>
            </w:rPr>
          </w:pPr>
        </w:p>
      </w:tc>
      <w:tc>
        <w:tcPr>
          <w:tcW w:w="3082" w:type="pct"/>
          <w:vAlign w:val="bottom"/>
        </w:tcPr>
        <w:p w14:paraId="19A5BF47" w14:textId="77777777" w:rsidR="00540656" w:rsidRDefault="00540656" w:rsidP="00963998">
          <w:pPr>
            <w:pStyle w:val="af6"/>
            <w:ind w:right="127"/>
            <w:jc w:val="right"/>
          </w:pPr>
          <w:r w:rsidRPr="001D3299">
            <w:rPr>
              <w:rFonts w:ascii="Times New Roman" w:hAnsi="Times New Roman"/>
              <w:b/>
              <w:color w:val="808080" w:themeColor="background1" w:themeShade="80"/>
            </w:rPr>
            <w:t>Основные тенденции развития экономики</w:t>
          </w:r>
        </w:p>
      </w:tc>
    </w:tr>
  </w:tbl>
  <w:p w14:paraId="704AA511" w14:textId="77777777" w:rsidR="00540656" w:rsidRDefault="00540656">
    <w:pPr>
      <w:pStyle w:val="af4"/>
    </w:pPr>
    <w:r>
      <w:rPr>
        <w:noProof/>
      </w:rPr>
      <mc:AlternateContent>
        <mc:Choice Requires="wpg">
          <w:drawing>
            <wp:anchor distT="0" distB="0" distL="114300" distR="114300" simplePos="0" relativeHeight="251688960" behindDoc="0" locked="0" layoutInCell="1" allowOverlap="1" wp14:anchorId="7AAB66AC" wp14:editId="1C8ECB19">
              <wp:simplePos x="0" y="0"/>
              <wp:positionH relativeFrom="rightMargin">
                <wp:align>left</wp:align>
              </wp:positionH>
              <wp:positionV relativeFrom="paragraph">
                <wp:posOffset>-242570</wp:posOffset>
              </wp:positionV>
              <wp:extent cx="284480" cy="266700"/>
              <wp:effectExtent l="0" t="0" r="1270" b="0"/>
              <wp:wrapNone/>
              <wp:docPr id="1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43" name="Rectangle 14"/>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44" name="Rectangle 15"/>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50602806" id="Group 16" o:spid="_x0000_s1026" style="position:absolute;margin-left:0;margin-top:-19.1pt;width:22.4pt;height:21pt;z-index:251688960;mso-position-horizontal:left;mso-position-horizontal-relative:right-margin-area"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TpQIAAK8HAAAOAAAAZHJzL2Uyb0RvYy54bWzcVdtu3CAQfa/Uf0C8NzaOs9la8UZRbqqU&#10;tlHTfgCL8UW1gQ7setOvzwDezTaNVClV81A/WMBcmHPmACenm6Enawm206qk7CClRCqhq041Jf32&#10;9erdnBLruKp4r5Us6b209HTx9s3JaAqZ6Vb3lQSCSZQtRlPS1jlTJIkVrRy4PdBGKjTWGgbucApN&#10;UgEfMfvQJ1mazpJRQ2VAC2ktrl5EI12E/HUthftc11Y60pcUa3PhD+G/9P9kccKLBrhpOzGVwV9Q&#10;xcA7hZvuUl1wx8kKut9SDZ0AbXXtDoQeEl3XnZABA6Jh6RM016BXJmBpirExO5qQ2ic8vTit+LS+&#10;BdJV2Ls8o0TxAZsU9iVs5tkZTVOg0zWYO3MLESIOb7T4btGcPLX7eROdyXL8qCvMx1dOB3Y2NQw+&#10;BeImm9CE+10T5MYRgYvZPM/n2CqBpmw2O06nJokWO+mjGEuPDylBM5uleSiSF6K9nOIxOgbnWYhM&#10;eBG3DaVOpXlcKDj7yKn9O07vWm5kaJX1dO04xUIjp19Qilw1vSQsj7wGxy2pNjJKlD5v0U2eAeix&#10;lbzCupj3x+r3AvzEYj/+SPGzZG2pPswnnv3A77GlihcGrLuWeiB+UFLA6kMH+frGuui6dfENtbrv&#10;qquu78MEmuV5D2TN/aG7yvLDyyn7L2698s5K+7CY0a8EnB5abNFSV/cIE3Q8uXjT4KDV8JOSEU9t&#10;Se2PFQdJSf9BIVXvWe4xuTDJj45RAgT2Lct9C1cCU5XUURKH5y5eDSsDXdPiTiyAVvoMFVx3Abin&#10;PlY1FYsqejU55c/I6ehV5cTmbDp7LJvO3r+Wk38L5E5QyyY2pV8NeLtEkR2l+G01tnUPev5/FReu&#10;M3wVAszpBfPPzv48KPTxnV08AAAA//8DAFBLAwQUAAYACAAAACEADaEGs90AAAAFAQAADwAAAGRy&#10;cy9kb3ducmV2LnhtbEyPQWvCQBSE74X+h+UJvekmxpYQ8yIibU9SqBZKb2v2mQSzuyG7JvHf9/VU&#10;j8MMM9/km8m0YqDeN84ixIsIBNnS6cZWCF/Ht3kKwgdltWqdJYQbedgUjw+5yrQb7ScNh1AJLrE+&#10;Uwh1CF0mpS9rMsovXEeWvbPrjQos+0rqXo1cblq5jKIXaVRjeaFWHe1qKi+Hq0F4H9W4TeLXYX85&#10;724/x+eP731MiE+zabsGEWgK/2H4w2d0KJjp5K5We9Ei8JGAME/SJQi2Vys+ckJIUpBFLu/pi18A&#10;AAD//wMAUEsBAi0AFAAGAAgAAAAhALaDOJL+AAAA4QEAABMAAAAAAAAAAAAAAAAAAAAAAFtDb250&#10;ZW50X1R5cGVzXS54bWxQSwECLQAUAAYACAAAACEAOP0h/9YAAACUAQAACwAAAAAAAAAAAAAAAAAv&#10;AQAAX3JlbHMvLnJlbHNQSwECLQAUAAYACAAAACEA6vjSE6UCAACvBwAADgAAAAAAAAAAAAAAAAAu&#10;AgAAZHJzL2Uyb0RvYy54bWxQSwECLQAUAAYACAAAACEADaEGs90AAAAFAQAADwAAAAAAAAAAAAAA&#10;AAD/BAAAZHJzL2Rvd25yZXYueG1sUEsFBgAAAAAEAAQA8wAAAAkGAAAAAA==&#10;">
              <v:rect id="Rectangle 14"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rQwgAAANwAAAAPAAAAZHJzL2Rvd25yZXYueG1sRE9Li8Iw&#10;EL4L+x/CLHjTdH0s2jUtIogiHtT14HFoxrZsMylN1tZ/bwTB23x8z1mknanEjRpXWlbwNYxAEGdW&#10;l5wrOP+uBzMQziNrrCyTgjs5SJOP3gJjbVs+0u3kcxFC2MWooPC+jqV0WUEG3dDWxIG72sagD7DJ&#10;pW6wDeGmkqMo+pYGSw4NBda0Kij7O/0bBbvNNJfLyzZa7R0epq4186sZKdX/7JY/IDx1/i1+ubc6&#10;zJ+M4flMuEAmDwAAAP//AwBQSwECLQAUAAYACAAAACEA2+H2y+4AAACFAQAAEwAAAAAAAAAAAAAA&#10;AAAAAAAAW0NvbnRlbnRfVHlwZXNdLnhtbFBLAQItABQABgAIAAAAIQBa9CxbvwAAABUBAAALAAAA&#10;AAAAAAAAAAAAAB8BAABfcmVscy8ucmVsc1BLAQItABQABgAIAAAAIQCfnvrQwgAAANwAAAAPAAAA&#10;AAAAAAAAAAAAAAcCAABkcnMvZG93bnJldi54bWxQSwUGAAAAAAMAAwC3AAAA9gIAAAAA&#10;" fillcolor="#0f243e" stroked="f"/>
              <v:rect id="Rectangle 15"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BCwAAAANwAAAAPAAAAZHJzL2Rvd25yZXYueG1sRE9Li8Iw&#10;EL4v+B/CCN7WVJEitamI4OPigroLHsdmbIvNpDRR67/fCIK3+fiek847U4s7ta6yrGA0jEAQ51ZX&#10;XCj4Pa6+pyCcR9ZYWyYFT3Iwz3pfKSbaPnhP94MvRAhhl6CC0vsmkdLlJRl0Q9sQB+5iW4M+wLaQ&#10;usVHCDe1HEdRLA1WHBpKbGhZUn493IyC2J1it1nIs13nx73/+SO5O92UGvS7xQyEp85/xG/3Vof5&#10;kwm8ngkXyOwfAAD//wMAUEsBAi0AFAAGAAgAAAAhANvh9svuAAAAhQEAABMAAAAAAAAAAAAAAAAA&#10;AAAAAFtDb250ZW50X1R5cGVzXS54bWxQSwECLQAUAAYACAAAACEAWvQsW78AAAAVAQAACwAAAAAA&#10;AAAAAAAAAAAfAQAAX3JlbHMvLnJlbHNQSwECLQAUAAYACAAAACEAN8pAQsAAAADcAAAADwAAAAAA&#10;AAAAAAAAAAAHAgAAZHJzL2Rvd25yZXYueG1sUEsFBgAAAAADAAMAtwAAAPQCAAAAAA==&#10;" fillcolor="#7f7f7f [1612]" stroked="f"/>
              <w10:wrap anchorx="margin"/>
            </v:group>
          </w:pict>
        </mc:Fallback>
      </mc:AlternateContent>
    </w:r>
    <w:r>
      <w:rPr>
        <w:noProof/>
      </w:rPr>
      <mc:AlternateContent>
        <mc:Choice Requires="wps">
          <w:drawing>
            <wp:anchor distT="0" distB="0" distL="114300" distR="114300" simplePos="0" relativeHeight="251689984" behindDoc="0" locked="0" layoutInCell="1" allowOverlap="1" wp14:anchorId="2D12463D" wp14:editId="311D68EE">
              <wp:simplePos x="0" y="0"/>
              <wp:positionH relativeFrom="column">
                <wp:posOffset>15135</wp:posOffset>
              </wp:positionH>
              <wp:positionV relativeFrom="paragraph">
                <wp:posOffset>58950</wp:posOffset>
              </wp:positionV>
              <wp:extent cx="5878349" cy="0"/>
              <wp:effectExtent l="0" t="0" r="0" b="0"/>
              <wp:wrapNone/>
              <wp:docPr id="145" name="Прямая соединительная линия 145"/>
              <wp:cNvGraphicFramePr/>
              <a:graphic xmlns:a="http://schemas.openxmlformats.org/drawingml/2006/main">
                <a:graphicData uri="http://schemas.microsoft.com/office/word/2010/wordprocessingShape">
                  <wps:wsp>
                    <wps:cNvCnPr/>
                    <wps:spPr>
                      <a:xfrm>
                        <a:off x="0" y="0"/>
                        <a:ext cx="587834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549B9886" id="Прямая соединительная линия 145"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65pt" to="46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7tFAIAAE0EAAAOAAAAZHJzL2Uyb0RvYy54bWysVM2O0zAQviPxDpbvNOmyhRI13cOulgs/&#10;FSwP4Dp2a8l/sr1tegPOSH0EXoEDSCstyzMkb8TYSVMECAlEDo7n75uZbyaZndVKog1zXhhd4vEo&#10;x4hpaiqhVyV+c3X5YIqRD0RXRBrNSrxjHp/N79+bbW3BTszayIo5BCDaF1tb4nUItsgyT9dMET8y&#10;lmkwcuMUCSC6VVY5sgV0JbOTPH+UbY2rrDOUeQ/ai86I5wmfc0bDS849C0iWGGoL6XTpXMYzm89I&#10;sXLErgXtyyD/UIUiQkPSAeqCBIKunfgFSgnqjDc8jKhRmeFcUJZ6gG7G+U/dvF4Ty1IvQI63A03+&#10;/8HSF5uFQ6KC2Z1OMNJEwZCaj+3bdt98bT61e9S+a741X5rPzU1z19y07+F+236AezQ2t716j2I8&#10;sLm1vgDQc71wveTtwkVqau5UfEPTqE4T2A0TYHVAFJST6ePpw9MnGNGDLTsGWufDU2YUipcSS6Ej&#10;OaQgm2c+QDJwPbhEtdTx9EaK6lJImYS4VuxcOrQhsBDL1TgByGv13FSdbpLDExsBtLSF0b2Tjkhg&#10;i+hZbLZrL93CTrIu8yvGgVRoqEswAHU5CKVMh3GfRWrwjmEcqhwC81TZHwN7/xjK0qr/TfAQkTIb&#10;HYZgJbRxv8se6kPJvPM/MND1HSlYmmqXBp+ogZ1NzPXfV/wofpRT+PEvMP8OAAD//wMAUEsDBBQA&#10;BgAIAAAAIQAFli602gAAAAUBAAAPAAAAZHJzL2Rvd25yZXYueG1sTI7BTsMwEETvSP0Haytxo05D&#10;hdoQp0IBDtwgrSqO23ibRI3XUeyk4e9xe4HjaEZvXrqdTCtG6l1jWcFyEYEgLq1uuFKw370/rEE4&#10;j6yxtUwKfsjBNpvdpZhoe+EvGgtfiQBhl6CC2vsukdKVNRl0C9sRh+5ke4M+xL6SusdLgJtWxlH0&#10;JA02HB5q7CivqTwXg1FgXvO3w24YizGn1ef0XcV7/DgodT+fXp5BeJr83xiu+kEdsuB0tANrJ1oF&#10;8SoMFWweQYR2E6+XII63LLNU/rfPfgEAAP//AwBQSwECLQAUAAYACAAAACEAtoM4kv4AAADhAQAA&#10;EwAAAAAAAAAAAAAAAAAAAAAAW0NvbnRlbnRfVHlwZXNdLnhtbFBLAQItABQABgAIAAAAIQA4/SH/&#10;1gAAAJQBAAALAAAAAAAAAAAAAAAAAC8BAABfcmVscy8ucmVsc1BLAQItABQABgAIAAAAIQBNSl7t&#10;FAIAAE0EAAAOAAAAAAAAAAAAAAAAAC4CAABkcnMvZTJvRG9jLnhtbFBLAQItABQABgAIAAAAIQAF&#10;li602gAAAAUBAAAPAAAAAAAAAAAAAAAAAG4EAABkcnMvZG93bnJldi54bWxQSwUGAAAAAAQABADz&#10;AAAAdQUAAAAA&#10;" strokecolor="#7f7f7f [1612]" strokeweight=".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540656" w:rsidRPr="004F65D3" w14:paraId="0C6FE27F" w14:textId="77777777" w:rsidTr="00540656">
      <w:trPr>
        <w:trHeight w:val="424"/>
      </w:trPr>
      <w:tc>
        <w:tcPr>
          <w:tcW w:w="417" w:type="pct"/>
        </w:tcPr>
        <w:p w14:paraId="093C0227" w14:textId="77777777" w:rsidR="00540656" w:rsidRPr="00786F7F" w:rsidRDefault="00540656" w:rsidP="00D040AF">
          <w:pPr>
            <w:pStyle w:val="af6"/>
            <w:rPr>
              <w:sz w:val="20"/>
            </w:rPr>
          </w:pPr>
          <w:r>
            <w:rPr>
              <w:noProof/>
              <w:sz w:val="20"/>
            </w:rPr>
            <mc:AlternateContent>
              <mc:Choice Requires="wpg">
                <w:drawing>
                  <wp:anchor distT="0" distB="0" distL="114300" distR="114300" simplePos="0" relativeHeight="251682816" behindDoc="0" locked="0" layoutInCell="1" allowOverlap="1" wp14:anchorId="28D785EC" wp14:editId="6F39776A">
                    <wp:simplePos x="0" y="0"/>
                    <wp:positionH relativeFrom="column">
                      <wp:posOffset>52003</wp:posOffset>
                    </wp:positionH>
                    <wp:positionV relativeFrom="paragraph">
                      <wp:posOffset>26114</wp:posOffset>
                    </wp:positionV>
                    <wp:extent cx="284480" cy="266700"/>
                    <wp:effectExtent l="0" t="0" r="1270" b="0"/>
                    <wp:wrapNone/>
                    <wp:docPr id="13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35"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36"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FE2DE9F" id="Group 41" o:spid="_x0000_s1026" style="position:absolute;margin-left:4.1pt;margin-top:2.05pt;width:22.4pt;height:21pt;z-index:251682816"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PppAIAAK8HAAAOAAAAZHJzL2Uyb0RvYy54bWzcVdtu3CAQfa/Uf0C8N76ss9la8UZRbqqU&#10;tlHTfgCL8UW1gQ7setOvzwD2ZruNVClV81A/WMBcmDnnAKdn274jGwGmVbKgyVFMiZBcla2sC/rt&#10;6/W7BSXGMlmyTklR0Adh6Nny7ZvTQeciVY3qSgEEk0iTD7qgjbU6jyLDG9Ezc6S0kGisFPTM4hTq&#10;qAQ2YPa+i9I4nkeDglKD4sIYXL0MRrr0+atKcPu5qoywpCso1mb9H/x/5f7R8pTlNTDdtHwsg72g&#10;ip61EjfdpbpklpE1tL+l6lsOyqjKHnHVR6qqWi58D9hNEh90cwNqrX0vdT7UegcTQnuA04vT8k+b&#10;OyBtidzNMkok65Ekvy/JEofOoOscnW5A3+s7CC3i8Fbx7wbN0aHdzevgTFbDR1ViPra2yqOzraB3&#10;KbBvsvUkPOxIEFtLOC6miyxbIFUcTel8fhKPJPEGmXRRSRKfzChBczKPs3mgkDdXYzxGh+As9ZER&#10;y8O2vtSxNNcXCs48YWr+DtP7hmnhqTIOrh2mxxOmX1CKTNadIFkacPWOE6gmIEqkumjQTZwDqKER&#10;rMS6PA9Y/V6Amxjk448QPwvWBPUsG3F2A0fmBBXLNRh7I1RP3KCggNV7Btnm1tjgOrk4Qo3q2vK6&#10;7To/gXp10QHZMHfortNsdjVm/8Wtk85ZKhcWMroV36drLVC0UuUDtgkqnFy8aXDQKPhJyYCntqDm&#10;x5qBoKT7IBGq90nmerJ+kh2foAQI7FtW+xYmOaYqqKUkDC9suBrWGtq6wZ0S37RU56jgqvWNO+hD&#10;VWOxqKJXk9P8GTnNXlVOySIZz16SjmfvX8vJvQViJ6hVHUjp1j3eLkFkxzF+k8Ymd6/n/1dx/jrD&#10;V8G3Ob5g7tnZn3uFPr2zy0cAAAD//wMAUEsDBBQABgAIAAAAIQAsppft3AAAAAUBAAAPAAAAZHJz&#10;L2Rvd25yZXYueG1sTI9Ba8JAFITvhf6H5RV6q5vVKhKzEZG2JylUC8Xbmn0mwezbkF2T+O/7eqrH&#10;YYaZb7L16BrRYxdqTxrUJAGBVHhbU6nh+/D+sgQRoiFrGk+o4YYB1vnjQ2ZS6wf6wn4fS8ElFFKj&#10;oYqxTaUMRYXOhIlvkdg7+86ZyLIrpe3MwOWukdMkWUhnauKFyrS4rbC47K9Ow8dghs1MvfW7y3l7&#10;Ox7mnz87hVo/P42bFYiIY/wPwx8+o0POTCd/JRtEo2E55aCGVwWC3fmMj51YLhTIPJP39PkvAAAA&#10;//8DAFBLAQItABQABgAIAAAAIQC2gziS/gAAAOEBAAATAAAAAAAAAAAAAAAAAAAAAABbQ29udGVu&#10;dF9UeXBlc10ueG1sUEsBAi0AFAAGAAgAAAAhADj9If/WAAAAlAEAAAsAAAAAAAAAAAAAAAAALwEA&#10;AF9yZWxzLy5yZWxzUEsBAi0AFAAGAAgAAAAhAGYgs+mkAgAArwcAAA4AAAAAAAAAAAAAAAAALgIA&#10;AGRycy9lMm9Eb2MueG1sUEsBAi0AFAAGAAgAAAAhACyml+3cAAAABQEAAA8AAAAAAAAAAAAAAAAA&#10;/gQAAGRycy9kb3ducmV2LnhtbFBLBQYAAAAABAAEAPMAAAAHBg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RCwAAAANwAAAAPAAAAZHJzL2Rvd25yZXYueG1sRE/LqsIw&#10;EN1f8B/CCO6uqUovWo0igiji4vpYuByasS02k9JEW//eCIK7OZznzBatKcWDaldYVjDoRyCIU6sL&#10;zhScT+vfMQjnkTWWlknBkxws5p2fGSbaNnygx9FnIoSwS1BB7n2VSOnSnAy6vq2IA3e1tUEfYJ1J&#10;XWMTwk0ph1H0Jw0WHBpyrGiVU3o73o2C3SbO5PKyjVZ7h/+xa8zkaoZK9brtcgrCU+u/4o97q8P8&#10;UQzvZ8IFcv4CAAD//wMAUEsBAi0AFAAGAAgAAAAhANvh9svuAAAAhQEAABMAAAAAAAAAAAAAAAAA&#10;AAAAAFtDb250ZW50X1R5cGVzXS54bWxQSwECLQAUAAYACAAAACEAWvQsW78AAAAVAQAACwAAAAAA&#10;AAAAAAAAAAAfAQAAX3JlbHMvLnJlbHNQSwECLQAUAAYACAAAACEAJz20QsAAAADcAAAADwAAAAAA&#10;AAAAAAAAAAAHAgAAZHJzL2Rvd25yZXYueG1sUEsFBgAAAAADAAMAtwAAAPQCA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jTwAAAANwAAAAPAAAAZHJzL2Rvd25yZXYueG1sRE/LqsIw&#10;EN0L/kOYC+40vQpFeo0igo+NgtYLLsdmbIvNpDRR698bQXA3h/Ocyaw1lbhT40rLCn4HEQjizOqS&#10;cwXHdNkfg3AeWWNlmRQ8ycFs2u1MMNH2wXu6H3wuQgi7BBUU3teJlC4ryKAb2Jo4cBfbGPQBNrnU&#10;DT5CuKnkMIpiabDk0FBgTYuCsuvhZhTE7hS79Vye7SpL9373T3J7uinV+2nnfyA8tf4r/rg3Oswf&#10;xfB+Jlwgpy8AAAD//wMAUEsBAi0AFAAGAAgAAAAhANvh9svuAAAAhQEAABMAAAAAAAAAAAAAAAAA&#10;AAAAAFtDb250ZW50X1R5cGVzXS54bWxQSwECLQAUAAYACAAAACEAWvQsW78AAAAVAQAACwAAAAAA&#10;AAAAAAAAAAAfAQAAX3JlbHMvLnJlbHNQSwECLQAUAAYACAAAACEA8FII08AAAADcAAAADwAAAAAA&#10;AAAAAAAAAAAHAgAAZHJzL2Rvd25yZXYueG1sUEsFBgAAAAADAAMAtwAAAPQCAAAAAA==&#10;" fillcolor="#7f7f7f [1612]" stroked="f"/>
                  </v:group>
                </w:pict>
              </mc:Fallback>
            </mc:AlternateContent>
          </w:r>
        </w:p>
      </w:tc>
      <w:tc>
        <w:tcPr>
          <w:tcW w:w="4106" w:type="pct"/>
          <w:shd w:val="clear" w:color="auto" w:fill="auto"/>
          <w:vAlign w:val="bottom"/>
        </w:tcPr>
        <w:p w14:paraId="5E2B51EE" w14:textId="672C58EF" w:rsidR="00540656" w:rsidRPr="00963998" w:rsidRDefault="00540656" w:rsidP="00D040AF">
          <w:pPr>
            <w:pStyle w:val="af6"/>
            <w:rPr>
              <w:b/>
              <w:color w:val="808080" w:themeColor="background1" w:themeShade="80"/>
            </w:rPr>
          </w:pPr>
          <w:r>
            <w:rPr>
              <w:rFonts w:ascii="Times New Roman" w:hAnsi="Times New Roman"/>
              <w:b/>
              <w:color w:val="808080" w:themeColor="background1" w:themeShade="80"/>
              <w:szCs w:val="24"/>
            </w:rPr>
            <w:t>Основные тенденции развития экономики</w:t>
          </w:r>
        </w:p>
      </w:tc>
      <w:tc>
        <w:tcPr>
          <w:tcW w:w="477" w:type="pct"/>
          <w:shd w:val="clear" w:color="auto" w:fill="808080" w:themeFill="background1" w:themeFillShade="80"/>
          <w:vAlign w:val="center"/>
        </w:tcPr>
        <w:p w14:paraId="3EF30767" w14:textId="77777777" w:rsidR="00540656" w:rsidRPr="00963998" w:rsidRDefault="00540656" w:rsidP="00D040AF">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sidRPr="00963998">
            <w:rPr>
              <w:rFonts w:ascii="Times New Roman" w:hAnsi="Times New Roman"/>
              <w:b/>
              <w:noProof/>
            </w:rPr>
            <w:t>3</w:t>
          </w:r>
          <w:r w:rsidRPr="00963998">
            <w:rPr>
              <w:rFonts w:ascii="Times New Roman" w:hAnsi="Times New Roman"/>
              <w:b/>
            </w:rPr>
            <w:fldChar w:fldCharType="end"/>
          </w:r>
        </w:p>
      </w:tc>
    </w:tr>
  </w:tbl>
  <w:p w14:paraId="3B50E114" w14:textId="77777777" w:rsidR="00540656" w:rsidRPr="001D3299" w:rsidRDefault="00540656" w:rsidP="001D3299">
    <w:pPr>
      <w:pStyle w:val="af4"/>
    </w:pPr>
    <w:r>
      <w:rPr>
        <w:noProof/>
      </w:rPr>
      <mc:AlternateContent>
        <mc:Choice Requires="wps">
          <w:drawing>
            <wp:anchor distT="0" distB="0" distL="114300" distR="114300" simplePos="0" relativeHeight="251683840" behindDoc="0" locked="0" layoutInCell="1" allowOverlap="1" wp14:anchorId="0AA6FEB2" wp14:editId="43859668">
              <wp:simplePos x="0" y="0"/>
              <wp:positionH relativeFrom="margin">
                <wp:align>right</wp:align>
              </wp:positionH>
              <wp:positionV relativeFrom="paragraph">
                <wp:posOffset>70267</wp:posOffset>
              </wp:positionV>
              <wp:extent cx="5983112" cy="0"/>
              <wp:effectExtent l="0" t="0" r="0" b="0"/>
              <wp:wrapNone/>
              <wp:docPr id="137" name="Прямая соединительная линия 137"/>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5288B7C1" id="Прямая соединительная линия 137" o:spid="_x0000_s1026" style="position:absolute;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HFAIAAE0EAAAOAAAAZHJzL2Uyb0RvYy54bWysVM2O0zAQviPxDpbvNElXC0vUdA+7Wi78&#10;VPw8gOvYrSX/yfY27Q04I/UReAUOi7TSAs+QvBFjJ00RICQQOTiev29mvplkdr5VEm2Y88LoCheT&#10;HCOmqamFXlX4zeurB2cY+UB0TaTRrMI75vH5/P69WWNLNjVrI2vmEIBoXza2wusQbJllnq6ZIn5i&#10;LNNg5MYpEkB0q6x2pAF0JbNpnj/MGuNq6wxl3oP2sjfiecLnnNHwgnPPApIVhtpCOl06l/HM5jNS&#10;rhyxa0GHMsg/VKGI0JB0hLokgaBrJ36BUoI64w0PE2pUZjgXlKUeoJsi/6mbV2tiWeoFyPF2pMn/&#10;P1j6fLNwSNQwu5NHGGmiYEjtx+5tt2+/tJ+6Peretd/az+1Ne9t+bW+793C/6z7APRrbu0G9RzEe&#10;2GysLwH0Qi/cIHm7cJGaLXcqvqFptE0T2I0TYNuAKChPH5+dFMUUI3qwZcdA63x4woxC8VJhKXQk&#10;h5Rk89QHSAauB5eoljqe3khRXwkpkxDXil1IhzYEFmK5KhKAvFbPTN3rTnN4YiOAlrYwuvfSEQls&#10;ET2LzfbtpVvYSdZnfsk4kAoN9QlGoD4HoZTpUAxZpAbvGMahyjEwT5X9MXDwj6EsrfrfBI8RKbPR&#10;YQxWQhv3u+xheyiZ9/4HBvq+IwVLU+/S4BM1sLOJueH7ih/Fj3IKP/4F5t8BAAD//wMAUEsDBBQA&#10;BgAIAAAAIQDksELT2QAAAAYBAAAPAAAAZHJzL2Rvd25yZXYueG1sTI9BT4NAEIXvJv6HzZh4swuk&#10;MYosTYN68Ka0aTxOYQRSdpawC8V/7xgP9vjem7z3TbZZbK9mGn3n2EC8ikARV67uuDGw373ePYDy&#10;AbnG3jEZ+CYPm/z6KsO0dmf+oLkMjZIS9ikaaEMYUq191ZJFv3IDsWRfbrQYRI6Nrkc8S7ntdRJF&#10;99pix7LQ4kBFS9WpnKwB+1y8HHbTXM4Frd+XzybZ49vBmNubZfsEKtAS/o/hF1/QIRemo5u49qo3&#10;II8EceMYlKSP6yQBdfwzdJ7pS/z8BwAA//8DAFBLAQItABQABgAIAAAAIQC2gziS/gAAAOEBAAAT&#10;AAAAAAAAAAAAAAAAAAAAAABbQ29udGVudF9UeXBlc10ueG1sUEsBAi0AFAAGAAgAAAAhADj9If/W&#10;AAAAlAEAAAsAAAAAAAAAAAAAAAAALwEAAF9yZWxzLy5yZWxzUEsBAi0AFAAGAAgAAAAhANQ974cU&#10;AgAATQQAAA4AAAAAAAAAAAAAAAAALgIAAGRycy9lMm9Eb2MueG1sUEsBAi0AFAAGAAgAAAAhAOSw&#10;QtPZAAAABgEAAA8AAAAAAAAAAAAAAAAAbgQAAGRycy9kb3ducmV2LnhtbFBLBQYAAAAABAAEAPMA&#10;AAB0BQAAAAA=&#10;" strokecolor="#7f7f7f [1612]" strokeweight=".5pt">
              <v:stroke joinstyle="miter"/>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558" w:type="pc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80"/>
      <w:gridCol w:w="3009"/>
      <w:gridCol w:w="6410"/>
    </w:tblGrid>
    <w:tr w:rsidR="00540656" w:rsidRPr="004F65D3" w14:paraId="2CD7724E" w14:textId="77777777" w:rsidTr="00540656">
      <w:trPr>
        <w:trHeight w:val="425"/>
      </w:trPr>
      <w:tc>
        <w:tcPr>
          <w:tcW w:w="471" w:type="pct"/>
          <w:shd w:val="clear" w:color="auto" w:fill="808080" w:themeFill="background1" w:themeFillShade="80"/>
          <w:vAlign w:val="center"/>
        </w:tcPr>
        <w:p w14:paraId="4E9D8F98" w14:textId="77777777" w:rsidR="00540656" w:rsidRPr="009940AD" w:rsidRDefault="00540656" w:rsidP="00D040AF">
          <w:pPr>
            <w:pStyle w:val="af6"/>
            <w:ind w:left="-144"/>
            <w:jc w:val="right"/>
            <w:rPr>
              <w:rFonts w:ascii="Times New Roman" w:hAnsi="Times New Roman"/>
              <w:b/>
              <w:sz w:val="24"/>
            </w:rPr>
          </w:pPr>
          <w:r w:rsidRPr="009940AD">
            <w:rPr>
              <w:rFonts w:ascii="Times New Roman" w:hAnsi="Times New Roman"/>
              <w:b/>
            </w:rPr>
            <w:fldChar w:fldCharType="begin"/>
          </w:r>
          <w:r w:rsidRPr="009940AD">
            <w:rPr>
              <w:rFonts w:ascii="Times New Roman" w:hAnsi="Times New Roman"/>
              <w:b/>
            </w:rPr>
            <w:instrText xml:space="preserve"> PAGE   \* MERGEFORMAT </w:instrText>
          </w:r>
          <w:r w:rsidRPr="009940AD">
            <w:rPr>
              <w:rFonts w:ascii="Times New Roman" w:hAnsi="Times New Roman"/>
              <w:b/>
            </w:rPr>
            <w:fldChar w:fldCharType="separate"/>
          </w:r>
          <w:r>
            <w:rPr>
              <w:rFonts w:ascii="Times New Roman" w:hAnsi="Times New Roman"/>
              <w:b/>
            </w:rPr>
            <w:t>6</w:t>
          </w:r>
          <w:r w:rsidRPr="009940AD">
            <w:rPr>
              <w:rFonts w:ascii="Times New Roman" w:hAnsi="Times New Roman"/>
              <w:b/>
            </w:rPr>
            <w:fldChar w:fldCharType="end"/>
          </w:r>
        </w:p>
      </w:tc>
      <w:tc>
        <w:tcPr>
          <w:tcW w:w="1447" w:type="pct"/>
          <w:vAlign w:val="center"/>
        </w:tcPr>
        <w:p w14:paraId="0D9A8A05" w14:textId="77777777" w:rsidR="00540656" w:rsidRPr="002A0F90" w:rsidRDefault="00540656" w:rsidP="00D040AF">
          <w:pPr>
            <w:pStyle w:val="af6"/>
            <w:tabs>
              <w:tab w:val="clear" w:pos="9355"/>
              <w:tab w:val="right" w:pos="9534"/>
            </w:tabs>
            <w:ind w:firstLine="319"/>
            <w:jc w:val="right"/>
            <w:rPr>
              <w:rFonts w:ascii="Montserrat" w:hAnsi="Montserrat"/>
              <w:b/>
              <w:color w:val="2F5496" w:themeColor="accent1" w:themeShade="BF"/>
              <w:sz w:val="16"/>
              <w:szCs w:val="18"/>
            </w:rPr>
          </w:pPr>
        </w:p>
      </w:tc>
      <w:tc>
        <w:tcPr>
          <w:tcW w:w="3082" w:type="pct"/>
          <w:vAlign w:val="bottom"/>
        </w:tcPr>
        <w:p w14:paraId="7CADA673" w14:textId="15BC3F68" w:rsidR="00540656" w:rsidRDefault="00540656" w:rsidP="00D040AF">
          <w:pPr>
            <w:pStyle w:val="af6"/>
            <w:ind w:right="127"/>
            <w:jc w:val="right"/>
          </w:pPr>
          <w:r>
            <w:rPr>
              <w:rFonts w:ascii="Times New Roman" w:hAnsi="Times New Roman"/>
              <w:b/>
              <w:color w:val="808080" w:themeColor="background1" w:themeShade="80"/>
            </w:rPr>
            <w:t>Состояние реального сектора экономики</w:t>
          </w:r>
        </w:p>
      </w:tc>
    </w:tr>
  </w:tbl>
  <w:p w14:paraId="6A7F2A24" w14:textId="3B2B83DB" w:rsidR="00540656" w:rsidRPr="00D040AF" w:rsidRDefault="00540656" w:rsidP="00D040AF">
    <w:pPr>
      <w:pStyle w:val="af4"/>
    </w:pPr>
    <w:r>
      <w:rPr>
        <w:noProof/>
      </w:rPr>
      <mc:AlternateContent>
        <mc:Choice Requires="wpg">
          <w:drawing>
            <wp:anchor distT="0" distB="0" distL="114300" distR="114300" simplePos="0" relativeHeight="251677696" behindDoc="0" locked="0" layoutInCell="1" allowOverlap="1" wp14:anchorId="664B5C5E" wp14:editId="74236F51">
              <wp:simplePos x="0" y="0"/>
              <wp:positionH relativeFrom="rightMargin">
                <wp:align>left</wp:align>
              </wp:positionH>
              <wp:positionV relativeFrom="paragraph">
                <wp:posOffset>-242570</wp:posOffset>
              </wp:positionV>
              <wp:extent cx="284480" cy="266700"/>
              <wp:effectExtent l="0" t="0" r="1270" b="0"/>
              <wp:wrapNone/>
              <wp:docPr id="1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30" name="Rectangle 14"/>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31" name="Rectangle 15"/>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0492C82" id="Group 16" o:spid="_x0000_s1026" style="position:absolute;margin-left:0;margin-top:-19.1pt;width:22.4pt;height:21pt;z-index:251677696;mso-position-horizontal:left;mso-position-horizontal-relative:right-margin-area"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kmpwIAAK8HAAAOAAAAZHJzL2Uyb0RvYy54bWzcVdtu3CAQfa/Uf0C8N76ss9lY8UZRbqqU&#10;tlHTfgCL8UW1gQ7setOv7wD2ZruNVClV81A/WMBcmHPmAGfn274jGwGmVbKgyVFMiZBcla2sC/r1&#10;y827BSXGMlmyTklR0Edh6Pny7ZuzQeciVY3qSgEEk0iTD7qgjbU6jyLDG9Ezc6S0kGisFPTM4hTq&#10;qAQ2YPa+i9I4nkeDglKD4sIYXL0KRrr0+atKcPupqoywpCso1mb9H/x/5f7R8ozlNTDdtHwsg72g&#10;ip61EjfdpbpilpE1tL+l6lsOyqjKHnHVR6qqWi48BkSTxAdobkGttcdS50OtdzQhtQc8vTgt/7i5&#10;B9KW2Lv0lBLJemyS35ckc8fOoOscnW5BP+h7CBBxeKf4N4Pm6NDu5nVwJqvhgyoxH1tb5dnZVtC7&#10;FIibbH0THndNEFtLOC6miyxbYKs4mtL5/CQem8Qb7KSLSpL4ZEYJmpN5nPkiWc6b6zEeo0NwlvrI&#10;iOVhW1/qWJrDhYIzT5yav+P0oWFa+FYZR9fE6QyBBE4/oxSZrDtBkizw6h0nUk1glEh12aCbuABQ&#10;QyNYiXUlzh+r3wtwE4P9+CPFz5I1UT3LRp7dwO0xUcVyDcbeCtUTNygoYPW+g2xzZ2xwnVxcQ43q&#10;2vKm7To/gXp12QHZMHfobtJsdj1m/8Wtk85ZKhcWMroVj9NBCy1aqfIRYYIKJxdvGhw0Cn5QMuCp&#10;Laj5vmYgKOneS6TqNMkcJusn2fEJSoDAvmW1b2GSY6qCWkrC8NKGq2Gtoa0b3CnxoKW6QAVXrQfu&#10;qA9VjcWiil5NTskzcjp+VTklC6zBn70kHc/ev5aTewvETlCrOjSlW/d4uwSRHcf4TRqb3L2e/1/F&#10;+esMXwUPc3zB3LOzP/cKfXpnlz8BAAD//wMAUEsDBBQABgAIAAAAIQANoQaz3QAAAAUBAAAPAAAA&#10;ZHJzL2Rvd25yZXYueG1sTI9Ba8JAFITvhf6H5Qm96SbGlhDzIiJtT1KoFkpva/aZBLO7Ibsm8d/3&#10;9VSPwwwz3+SbybRioN43ziLEiwgE2dLpxlYIX8e3eQrCB2W1ap0lhBt52BSPD7nKtBvtJw2HUAku&#10;sT5TCHUIXSalL2syyi9cR5a9s+uNCiz7SupejVxuWrmMohdpVGN5oVYd7WoqL4erQXgf1bhN4tdh&#10;fznvbj/H54/vfUyIT7NpuwYRaAr/YfjDZ3QomOnkrlZ70SLwkYAwT9IlCLZXKz5yQkhSkEUu7+mL&#10;XwAAAP//AwBQSwECLQAUAAYACAAAACEAtoM4kv4AAADhAQAAEwAAAAAAAAAAAAAAAAAAAAAAW0Nv&#10;bnRlbnRfVHlwZXNdLnhtbFBLAQItABQABgAIAAAAIQA4/SH/1gAAAJQBAAALAAAAAAAAAAAAAAAA&#10;AC8BAABfcmVscy8ucmVsc1BLAQItABQABgAIAAAAIQB3edkmpwIAAK8HAAAOAAAAAAAAAAAAAAAA&#10;AC4CAABkcnMvZTJvRG9jLnhtbFBLAQItABQABgAIAAAAIQANoQaz3QAAAAUBAAAPAAAAAAAAAAAA&#10;AAAAAAEFAABkcnMvZG93bnJldi54bWxQSwUGAAAAAAQABADzAAAACwYAAAAA&#10;">
              <v:rect id="Rectangle 14"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faxQAAANwAAAAPAAAAZHJzL2Rvd25yZXYueG1sRI9Ba8JA&#10;EIXvQv/DMoXedFNLRFNXCYFiKD2o7cHjkB2T0OxsyK4m/fedQ6G3Gd6b977Z7ifXqTsNofVs4HmR&#10;gCKuvG25NvD1+TZfgwoR2WLnmQz8UID97mG2xcz6kU90P8daSQiHDA00MfaZ1qFqyGFY+J5YtKsf&#10;HEZZh1rbAUcJd51eJslKO2xZGhrsqWio+j7fnIH3Q1rr/FImxUfAYxpGt7m6pTFPj1P+CirSFP/N&#10;f9elFfwXwZdnZAK9+wUAAP//AwBQSwECLQAUAAYACAAAACEA2+H2y+4AAACFAQAAEwAAAAAAAAAA&#10;AAAAAAAAAAAAW0NvbnRlbnRfVHlwZXNdLnhtbFBLAQItABQABgAIAAAAIQBa9CxbvwAAABUBAAAL&#10;AAAAAAAAAAAAAAAAAB8BAABfcmVscy8ucmVsc1BLAQItABQABgAIAAAAIQA3ShfaxQAAANwAAAAP&#10;AAAAAAAAAAAAAAAAAAcCAABkcnMvZG93bnJldi54bWxQSwUGAAAAAAMAAwC3AAAA+QIAAAAA&#10;" fillcolor="#0f243e" stroked="f"/>
              <v:rect id="Rectangle 15"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nwQAAANwAAAAPAAAAZHJzL2Rvd25yZXYueG1sRE9Ni8Iw&#10;EL0L+x/CLOxNU10oUpuKLKy7FwWtgsexGdtiMylN1PrvjSB4m8f7nHTem0ZcqXO1ZQXjUQSCuLC6&#10;5lLBLv8dTkE4j6yxsUwK7uRgnn0MUky0vfGGrltfihDCLkEFlfdtIqUrKjLoRrYlDtzJdgZ9gF0p&#10;dYe3EG4aOYmiWBqsOTRU2NJPRcV5ezEKYneI3d9CHu2yyDd+vSe5OlyU+vrsFzMQnnr/Fr/c/zrM&#10;/x7D85lwgcweAAAA//8DAFBLAQItABQABgAIAAAAIQDb4fbL7gAAAIUBAAATAAAAAAAAAAAAAAAA&#10;AAAAAABbQ29udGVudF9UeXBlc10ueG1sUEsBAi0AFAAGAAgAAAAhAFr0LFu/AAAAFQEAAAsAAAAA&#10;AAAAAAAAAAAAHwEAAF9yZWxzLy5yZWxzUEsBAi0AFAAGAAgAAAAhAH+7kKfBAAAA3AAAAA8AAAAA&#10;AAAAAAAAAAAABwIAAGRycy9kb3ducmV2LnhtbFBLBQYAAAAAAwADALcAAAD1AgAAAAA=&#10;" fillcolor="#7f7f7f [1612]" stroked="f"/>
              <w10:wrap anchorx="margin"/>
            </v:group>
          </w:pict>
        </mc:Fallback>
      </mc:AlternateContent>
    </w:r>
    <w:r>
      <w:rPr>
        <w:noProof/>
      </w:rPr>
      <mc:AlternateContent>
        <mc:Choice Requires="wps">
          <w:drawing>
            <wp:anchor distT="0" distB="0" distL="114300" distR="114300" simplePos="0" relativeHeight="251678720" behindDoc="0" locked="0" layoutInCell="1" allowOverlap="1" wp14:anchorId="0E726938" wp14:editId="563B474F">
              <wp:simplePos x="0" y="0"/>
              <wp:positionH relativeFrom="column">
                <wp:posOffset>15135</wp:posOffset>
              </wp:positionH>
              <wp:positionV relativeFrom="paragraph">
                <wp:posOffset>58950</wp:posOffset>
              </wp:positionV>
              <wp:extent cx="5878349" cy="0"/>
              <wp:effectExtent l="0" t="0" r="0" b="0"/>
              <wp:wrapNone/>
              <wp:docPr id="132" name="Прямая соединительная линия 132"/>
              <wp:cNvGraphicFramePr/>
              <a:graphic xmlns:a="http://schemas.openxmlformats.org/drawingml/2006/main">
                <a:graphicData uri="http://schemas.microsoft.com/office/word/2010/wordprocessingShape">
                  <wps:wsp>
                    <wps:cNvCnPr/>
                    <wps:spPr>
                      <a:xfrm>
                        <a:off x="0" y="0"/>
                        <a:ext cx="587834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3AC22E77" id="Прямая соединительная линия 13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65pt" to="46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JWFAIAAE0EAAAOAAAAZHJzL2Uyb0RvYy54bWysVM2O0zAQviPxDpbvNGmXhRI13cOulgs/&#10;FSwP4Dp2a8l/sr1tegPOSH0EXoEDSCstyzMkb8TYSVMECAlEDo7n75uZbyaZndVKog1zXhhd4vEo&#10;x4hpaiqhVyV+c3X5YIqRD0RXRBrNSrxjHp/N79+bbW3BJmZtZMUcAhDti60t8ToEW2SZp2umiB8Z&#10;yzQYuXGKBBDdKqsc2QK6ktkkzx9lW+Mq6wxl3oP2ojPiecLnnNHwknPPApIlhtpCOl06l/HM5jNS&#10;rByxa0H7Msg/VKGI0JB0gLoggaBrJ36BUoI64w0PI2pUZjgXlKUeoJtx/lM3r9fEstQLkOPtQJP/&#10;f7D0xWbhkKhgdicTjDRRMKTmY/u23Tdfm0/tHrXvmm/Nl+Zzc9PcNTfte7jfth/gHo3Nba/eoxgP&#10;bG6tLwD0XC9cL3m7cJGamjsV39A0qtMEdsMEWB0QBeXp9PH05OETjOjBlh0DrfPhKTMKxUuJpdCR&#10;HFKQzTMfIBm4HlyiWup4eiNFdSmkTEJcK3YuHdoQWIjlapwA5LV6bqpOd5rDExsBtLSF0b2Tjkhg&#10;i+hZbLZrL93CTrIu8yvGgVRoqEswAHU5CKVMh3GfRWrwjmEcqhwC81TZHwN7/xjK0qr/TfAQkTIb&#10;HYZgJbRxv8se6kPJvPM/MND1HSlYmmqXBp+ogZ1NzPXfV/wofpRT+PEvMP8OAAD//wMAUEsDBBQA&#10;BgAIAAAAIQAFli602gAAAAUBAAAPAAAAZHJzL2Rvd25yZXYueG1sTI7BTsMwEETvSP0Haytxo05D&#10;hdoQp0IBDtwgrSqO23ibRI3XUeyk4e9xe4HjaEZvXrqdTCtG6l1jWcFyEYEgLq1uuFKw370/rEE4&#10;j6yxtUwKfsjBNpvdpZhoe+EvGgtfiQBhl6CC2vsukdKVNRl0C9sRh+5ke4M+xL6SusdLgJtWxlH0&#10;JA02HB5q7CivqTwXg1FgXvO3w24YizGn1ef0XcV7/DgodT+fXp5BeJr83xiu+kEdsuB0tANrJ1oF&#10;8SoMFWweQYR2E6+XII63LLNU/rfPfgEAAP//AwBQSwECLQAUAAYACAAAACEAtoM4kv4AAADhAQAA&#10;EwAAAAAAAAAAAAAAAAAAAAAAW0NvbnRlbnRfVHlwZXNdLnhtbFBLAQItABQABgAIAAAAIQA4/SH/&#10;1gAAAJQBAAALAAAAAAAAAAAAAAAAAC8BAABfcmVscy8ucmVsc1BLAQItABQABgAIAAAAIQDxCPJW&#10;FAIAAE0EAAAOAAAAAAAAAAAAAAAAAC4CAABkcnMvZTJvRG9jLnhtbFBLAQItABQABgAIAAAAIQAF&#10;li602gAAAAUBAAAPAAAAAAAAAAAAAAAAAG4EAABkcnMvZG93bnJldi54bWxQSwUGAAAAAAQABADz&#10;AAAAdQUAAAAA&#10;" strokecolor="#7f7f7f [1612]" strokeweight=".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540656" w:rsidRPr="004F65D3" w14:paraId="7BA3DF96" w14:textId="77777777" w:rsidTr="00540656">
      <w:trPr>
        <w:trHeight w:val="424"/>
      </w:trPr>
      <w:tc>
        <w:tcPr>
          <w:tcW w:w="417" w:type="pct"/>
        </w:tcPr>
        <w:p w14:paraId="3DCC7F92" w14:textId="77777777" w:rsidR="00540656" w:rsidRPr="00786F7F" w:rsidRDefault="00540656" w:rsidP="00955C44">
          <w:pPr>
            <w:pStyle w:val="af6"/>
            <w:rPr>
              <w:sz w:val="20"/>
            </w:rPr>
          </w:pPr>
          <w:r>
            <w:rPr>
              <w:noProof/>
              <w:sz w:val="20"/>
            </w:rPr>
            <mc:AlternateContent>
              <mc:Choice Requires="wpg">
                <w:drawing>
                  <wp:anchor distT="0" distB="0" distL="114300" distR="114300" simplePos="0" relativeHeight="251707392" behindDoc="0" locked="0" layoutInCell="1" allowOverlap="1" wp14:anchorId="28DBE536" wp14:editId="16F51AE4">
                    <wp:simplePos x="0" y="0"/>
                    <wp:positionH relativeFrom="column">
                      <wp:posOffset>52003</wp:posOffset>
                    </wp:positionH>
                    <wp:positionV relativeFrom="paragraph">
                      <wp:posOffset>26114</wp:posOffset>
                    </wp:positionV>
                    <wp:extent cx="284480" cy="266700"/>
                    <wp:effectExtent l="0" t="0" r="1270" b="0"/>
                    <wp:wrapNone/>
                    <wp:docPr id="19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93"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94"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BFC203D" id="Group 41" o:spid="_x0000_s1026" style="position:absolute;margin-left:4.1pt;margin-top:2.05pt;width:22.4pt;height:21pt;z-index:251707392"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oSpQIAAK8HAAAOAAAAZHJzL2Uyb0RvYy54bWzcVVtv2yAUfp+0/4B4X32Jm6ZWnKpKL5rU&#10;bdW6/QCC8UWzgR1InO7X7wBOmmWVJnVaH+YHCzgXzvm+D5hfbPuObASYVsmCJicxJUJyVbayLujX&#10;LzfvZpQYy2TJOiVFQR+FoReLt2/mg85FqhrVlQIIJpEmH3RBG2t1HkWGN6Jn5kRpIdFYKeiZxSnU&#10;UQlswOx9F6VxPI0GBaUGxYUxuHoVjHTh81eV4PZTVRlhSVdQrM36P/j/yv2jxZzlNTDdtHwsg72g&#10;ip61Ejfdp7pilpE1tL+l6lsOyqjKnnDVR6qqWi58D9hNEh91cwtqrX0vdT7Ueg8TQnuE04vT8o+b&#10;eyBtidydp5RI1iNJfl+SJQ6dQdc5Ot2CftD3EFrE4Z3i3wyao2O7m9fBmayGD6rEfGxtlUdnW0Hv&#10;UmDfZOtJeNyTILaWcFxMZ1k2Q6o4mtLp9CweSeINMumikiQ+m1CC5mQaZ9NAIW+ux3iMDsFZ6iMj&#10;lodtfaljaa4vFJx5wtT8HaYPDdPCU2UcXHtMsdCA6WeUIpN1J0iWBly94w5UExAlUi0bdBOXAGpo&#10;BCuxLs8DVn8Q4CYG+fgjxM+CtYN6ko04u4EjcwcVyzUYeytUT9ygoIDVewbZ5s7Y4LpzcYQa1bXl&#10;Tdt1fgL1atkB2TB36G7SbHI9Zv/FrZPOWSoXFjK6Fd+nay1QtFLlI7YJKpxcvGlw0Cj4QcmAp7ag&#10;5vuagaCkey8RqvMkcz1ZP8lOz1ACBA4tq0MLkxxTFdRSEoZLG66GtYa2bnCnxDct1SUquGp94w76&#10;UNVYLKro1eSUPSOnyavKKZkl49lL0vHs/Ws5ubdA7AW1qgMp3brH2yWI7DTGb6exnbvX8/+rOH+d&#10;4avg2xxfMPfsHM69Qp/e2cVPAAAA//8DAFBLAwQUAAYACAAAACEALKaX7dwAAAAFAQAADwAAAGRy&#10;cy9kb3ducmV2LnhtbEyPQWvCQBSE74X+h+UVequb1SoSsxGRticpVAvF25p9JsHs25Bdk/jv+3qq&#10;x2GGmW+y9ega0WMXak8a1CQBgVR4W1Op4fvw/rIEEaIhaxpPqOGGAdb540NmUusH+sJ+H0vBJRRS&#10;o6GKsU2lDEWFzoSJb5HYO/vOmciyK6XtzMDlrpHTJFlIZ2rihcq0uK2wuOyvTsPHYIbNTL31u8t5&#10;ezse5p8/O4VaPz+NmxWIiGP8D8MfPqNDzkwnfyUbRKNhOeWghlcFgt35jI+dWC4UyDyT9/T5LwAA&#10;AP//AwBQSwECLQAUAAYACAAAACEAtoM4kv4AAADhAQAAEwAAAAAAAAAAAAAAAAAAAAAAW0NvbnRl&#10;bnRfVHlwZXNdLnhtbFBLAQItABQABgAIAAAAIQA4/SH/1gAAAJQBAAALAAAAAAAAAAAAAAAAAC8B&#10;AABfcmVscy8ucmVsc1BLAQItABQABgAIAAAAIQDzcAoSpQIAAK8HAAAOAAAAAAAAAAAAAAAAAC4C&#10;AABkcnMvZTJvRG9jLnhtbFBLAQItABQABgAIAAAAIQAsppft3AAAAAUBAAAPAAAAAAAAAAAAAAAA&#10;AP8EAABkcnMvZG93bnJldi54bWxQSwUGAAAAAAQABADzAAAACAY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XwAAAANwAAAAPAAAAZHJzL2Rvd25yZXYueG1sRE9Ni8Iw&#10;EL0L/ocwgjdNV1G0axQRRBEPWj3scWjGtmwzKU209d8bQfA2j/c5i1VrSvGg2hWWFfwMIxDEqdUF&#10;Zwqul+1gBsJ5ZI2lZVLwJAerZbezwFjbhs/0SHwmQgi7GBXk3lexlC7NyaAb2oo4cDdbG/QB1pnU&#10;NTYh3JRyFEVTabDg0JBjRZuc0v/kbhQcdpNMrv/20ebo8DRxjZnfzEipfq9d/4Lw1Pqv+OPe6zB/&#10;Pob3M+ECuXwBAAD//wMAUEsBAi0AFAAGAAgAAAAhANvh9svuAAAAhQEAABMAAAAAAAAAAAAAAAAA&#10;AAAAAFtDb250ZW50X1R5cGVzXS54bWxQSwECLQAUAAYACAAAACEAWvQsW78AAAAVAQAACwAAAAAA&#10;AAAAAAAAAAAfAQAAX3JlbHMvLnJlbHNQSwECLQAUAAYACAAAACEA4f7Wl8AAAADcAAAADwAAAAAA&#10;AAAAAAAAAAAHAgAAZHJzL2Rvd25yZXYueG1sUEsFBgAAAAADAAMAtwAAAPQCA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wFwQAAANwAAAAPAAAAZHJzL2Rvd25yZXYueG1sRE9Li8Iw&#10;EL4L+x/CLOxN05WlaDUtsuDjoqDugsexGdtiMylN1PrvjSB4m4/vOdOsM7W4Uusqywq+BxEI4tzq&#10;igsFf/t5fwTCeWSNtWVScCcHWfrRm2Ki7Y23dN35QoQQdgkqKL1vEildXpJBN7ANceBOtjXoA2wL&#10;qVu8hXBTy2EUxdJgxaGhxIZ+S8rPu4tRELtD7JYzebSLfL/1m3+S68NFqa/PbjYB4anzb/HLvdJh&#10;/vgHns+EC2T6AAAA//8DAFBLAQItABQABgAIAAAAIQDb4fbL7gAAAIUBAAATAAAAAAAAAAAAAAAA&#10;AAAAAABbQ29udGVudF9UeXBlc10ueG1sUEsBAi0AFAAGAAgAAAAhAFr0LFu/AAAAFQEAAAsAAAAA&#10;AAAAAAAAAAAAHwEAAF9yZWxzLy5yZWxzUEsBAi0AFAAGAAgAAAAhAEmqbAXBAAAA3AAAAA8AAAAA&#10;AAAAAAAAAAAABwIAAGRycy9kb3ducmV2LnhtbFBLBQYAAAAAAwADALcAAAD1AgAAAAA=&#10;" fillcolor="#7f7f7f [1612]" stroked="f"/>
                  </v:group>
                </w:pict>
              </mc:Fallback>
            </mc:AlternateContent>
          </w:r>
        </w:p>
      </w:tc>
      <w:tc>
        <w:tcPr>
          <w:tcW w:w="4106" w:type="pct"/>
          <w:shd w:val="clear" w:color="auto" w:fill="auto"/>
          <w:vAlign w:val="bottom"/>
        </w:tcPr>
        <w:p w14:paraId="6946CD64" w14:textId="33C861C6" w:rsidR="00540656" w:rsidRPr="00963998" w:rsidRDefault="00540656" w:rsidP="00955C44">
          <w:pPr>
            <w:pStyle w:val="af6"/>
            <w:rPr>
              <w:b/>
              <w:color w:val="808080" w:themeColor="background1" w:themeShade="80"/>
            </w:rPr>
          </w:pPr>
          <w:r>
            <w:rPr>
              <w:rFonts w:ascii="Times New Roman" w:hAnsi="Times New Roman"/>
              <w:b/>
              <w:color w:val="808080" w:themeColor="background1" w:themeShade="80"/>
              <w:szCs w:val="24"/>
            </w:rPr>
            <w:t>Состояние реального сектора экономики</w:t>
          </w:r>
        </w:p>
      </w:tc>
      <w:tc>
        <w:tcPr>
          <w:tcW w:w="477" w:type="pct"/>
          <w:shd w:val="clear" w:color="auto" w:fill="808080" w:themeFill="background1" w:themeFillShade="80"/>
          <w:vAlign w:val="center"/>
        </w:tcPr>
        <w:p w14:paraId="5C426EDC" w14:textId="77777777" w:rsidR="00540656" w:rsidRPr="00963998" w:rsidRDefault="00540656" w:rsidP="00955C44">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sidRPr="00963998">
            <w:rPr>
              <w:rFonts w:ascii="Times New Roman" w:hAnsi="Times New Roman"/>
              <w:b/>
              <w:noProof/>
            </w:rPr>
            <w:t>3</w:t>
          </w:r>
          <w:r w:rsidRPr="00963998">
            <w:rPr>
              <w:rFonts w:ascii="Times New Roman" w:hAnsi="Times New Roman"/>
              <w:b/>
            </w:rPr>
            <w:fldChar w:fldCharType="end"/>
          </w:r>
        </w:p>
      </w:tc>
    </w:tr>
  </w:tbl>
  <w:p w14:paraId="58C56C63" w14:textId="77777777" w:rsidR="00540656" w:rsidRDefault="00540656">
    <w:pPr>
      <w:pStyle w:val="af4"/>
    </w:pPr>
    <w:r>
      <w:rPr>
        <w:noProof/>
      </w:rPr>
      <mc:AlternateContent>
        <mc:Choice Requires="wps">
          <w:drawing>
            <wp:anchor distT="0" distB="0" distL="114300" distR="114300" simplePos="0" relativeHeight="251706368" behindDoc="0" locked="0" layoutInCell="1" allowOverlap="1" wp14:anchorId="5415613D" wp14:editId="534034C7">
              <wp:simplePos x="0" y="0"/>
              <wp:positionH relativeFrom="margin">
                <wp:align>right</wp:align>
              </wp:positionH>
              <wp:positionV relativeFrom="paragraph">
                <wp:posOffset>70267</wp:posOffset>
              </wp:positionV>
              <wp:extent cx="5983112" cy="0"/>
              <wp:effectExtent l="0" t="0" r="0" b="0"/>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071EB570" id="Прямая соединительная линия 195" o:spid="_x0000_s1026" style="position:absolute;z-index:2517063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5fEwIAAE0EAAAOAAAAZHJzL2Uyb0RvYy54bWysVM2O0zAQviPxDpbvNElR0W7UdA+7Wi78&#10;VPw8gOvYrSX/yfY27Q04I/UReAUOIK20wDMkb8TYSVMECAlEDo7n75uZbyaZX+yURFvmvDC6wsUk&#10;x4hpamqh1xV+/er6wRlGPhBdE2k0q/CeeXyxuH9v3tiSTc3GyJo5BCDal42t8CYEW2aZpxumiJ8Y&#10;yzQYuXGKBBDdOqsdaQBdyWya54+yxrjaOkOZ96C96o14kfA5ZzQ859yzgGSFobaQTpfOVTyzxZyU&#10;a0fsRtChDPIPVSgiNCQdoa5IIOjGiV+glKDOeMPDhBqVGc4FZakH6KbIf+rm5YZYlnoBcrwdafL/&#10;D5Y+2y4dEjXM7nyGkSYKhtR+6N50h/ZL+7E7oO5t+6393H5qb9uv7W33Du533Xu4R2N7N6gPKMYD&#10;m431JYBe6qUbJG+XLlKz407FNzSNdmkC+3ECbBcQBeXs/OxhUUwxokdbdgq0zofHzCgULxWWQkdy&#10;SEm2T3yAZOB6dIlqqePpjRT1tZAyCXGt2KV0aEtgIVbrIgHIG/XU1L1ulsMTGwG0tIXRvZdOSGCL&#10;6Flstm8v3cJesj7zC8aBVGioTzAC9TkIpUyHYsgiNXjHMA5VjoF5quyPgYN/DGVp1f8meIxImY0O&#10;Y7AS2rjfZQ+7Y8m89z8y0PcdKViZep8Gn6iBnU3MDd9X/Ch+lFP46S+w+A4AAP//AwBQSwMEFAAG&#10;AAgAAAAhAOSwQtPZAAAABgEAAA8AAABkcnMvZG93bnJldi54bWxMj0FPg0AQhe8m/ofNmHizC6Qx&#10;iixNg3rwprRpPE5hBFJ2lrALxX/vGA/2+N6bvPdNtllsr2YafefYQLyKQBFXru64MbDfvd49gPIB&#10;ucbeMRn4Jg+b/Poqw7R2Z/6guQyNkhL2KRpoQxhSrX3VkkW/cgOxZF9utBhEjo2uRzxLue11EkX3&#10;2mLHstDiQEVL1amcrAH7XLwcdtNczgWt35fPJtnj28GY25tl+wQq0BL+j+EXX9AhF6ajm7j2qjcg&#10;jwRx4xiUpI/rJAF1/DN0nulL/PwHAAD//wMAUEsBAi0AFAAGAAgAAAAhALaDOJL+AAAA4QEAABMA&#10;AAAAAAAAAAAAAAAAAAAAAFtDb250ZW50X1R5cGVzXS54bWxQSwECLQAUAAYACAAAACEAOP0h/9YA&#10;AACUAQAACwAAAAAAAAAAAAAAAAAvAQAAX3JlbHMvLnJlbHNQSwECLQAUAAYACAAAACEAABZeXxMC&#10;AABNBAAADgAAAAAAAAAAAAAAAAAuAgAAZHJzL2Uyb0RvYy54bWxQSwECLQAUAAYACAAAACEA5LBC&#10;09kAAAAGAQAADwAAAAAAAAAAAAAAAABtBAAAZHJzL2Rvd25yZXYueG1sUEsFBgAAAAAEAAQA8wAA&#10;AHMFAAAAAA==&#10;" strokecolor="#7f7f7f [1612]" strokeweight=".5pt">
              <v:stroke joinstyle="miter"/>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540656" w:rsidRPr="004F65D3" w14:paraId="57F1F874" w14:textId="77777777" w:rsidTr="00540656">
      <w:trPr>
        <w:trHeight w:val="424"/>
      </w:trPr>
      <w:tc>
        <w:tcPr>
          <w:tcW w:w="417" w:type="pct"/>
        </w:tcPr>
        <w:p w14:paraId="50602D53" w14:textId="77777777" w:rsidR="00540656" w:rsidRPr="00786F7F" w:rsidRDefault="00540656" w:rsidP="00D040AF">
          <w:pPr>
            <w:pStyle w:val="af6"/>
            <w:rPr>
              <w:sz w:val="20"/>
            </w:rPr>
          </w:pPr>
          <w:r>
            <w:rPr>
              <w:noProof/>
              <w:sz w:val="20"/>
            </w:rPr>
            <mc:AlternateContent>
              <mc:Choice Requires="wpg">
                <w:drawing>
                  <wp:anchor distT="0" distB="0" distL="114300" distR="114300" simplePos="0" relativeHeight="251685888" behindDoc="0" locked="0" layoutInCell="1" allowOverlap="1" wp14:anchorId="2D1A3DCD" wp14:editId="62C1BB9C">
                    <wp:simplePos x="0" y="0"/>
                    <wp:positionH relativeFrom="column">
                      <wp:posOffset>52003</wp:posOffset>
                    </wp:positionH>
                    <wp:positionV relativeFrom="paragraph">
                      <wp:posOffset>26114</wp:posOffset>
                    </wp:positionV>
                    <wp:extent cx="284480" cy="266700"/>
                    <wp:effectExtent l="0" t="0" r="1270" b="0"/>
                    <wp:wrapNone/>
                    <wp:docPr id="13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39"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40"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840F4B1" id="Group 41" o:spid="_x0000_s1026" style="position:absolute;margin-left:4.1pt;margin-top:2.05pt;width:22.4pt;height:21pt;z-index:251685888"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N3pgIAAK8HAAAOAAAAZHJzL2Uyb0RvYy54bWzcVVtv0zAUfkfiP1h+Z7k067po6TTtJqQB&#10;E4Mf4DrORSS2OXabjl+/YzvpSkFCGmIP5CGyc45PznexfXa+7TuyEWBaJQuaHMWUCMlV2cq6oF+/&#10;3LxbUGIskyXrlBQFfRSGni/fvjkbdC5S1aiuFECwiDT5oAvaWKvzKDK8ET0zR0oLicFKQc8sTqGO&#10;SmADVu+7KI3jeTQoKDUoLozBr1chSJe+flUJbj9VlRGWdAXF3qx/g3+v3DtanrG8Bqablo9tsBd0&#10;0bNW4k93pa6YZWQN7S+l+paDMqqyR1z1kaqqlguPAdEk8QGaW1Br7bHU+VDrHU1I7QFPLy7LP27u&#10;gbQlajdDqSTrUST/X5Iljp1B1zkm3YJ+0PcQIOLwTvFvBsPRYdzN65BMVsMHVWI9trbKs7OtoHcl&#10;EDfZehEedyKIrSUcP6aLLFugVBxD6Xx+Eo8i8QaVdKuSJD6ZUYLhZB5n8yAhb67H9bg6LM5SvzJi&#10;efitb3VszeFCw5lnTs3fcfrQMC28VMbRteP0dOL0M1qRyboTJEsDrz5xItUERolUlw2miQsANTSC&#10;ldiX1wG731vgJgb1+CPFvyVronqWjTy7gRNzoorlGoy9FaonblBQwO69gmxzZ2xInVKcoEZ1bXnT&#10;dp2fQL267IBsmNt0N2k2ux6r/5TWSZcslVsWKrovHqeDFiRaqfIRYYIKOxdPGhw0Cn5QMuCuLaj5&#10;vmYgKOneS6TqNMkcJusn2fEJWoDAfmS1H2GSY6mCWkrC8NKGo2Gtoa0b/FPiQUt1gQ6uWg/cUR+6&#10;GptFF72WnRy2sEX37DR7VTsli2Tce0k67r1/bSd3F4idoVZ1EKVb93i6BJMdx/hMHpvSvZ//X8f5&#10;4wxvBQ9zvMHctbM/9w59vmeXTwAAAP//AwBQSwMEFAAGAAgAAAAhACyml+3cAAAABQEAAA8AAABk&#10;cnMvZG93bnJldi54bWxMj0FrwkAUhO+F/oflFXqrm9UqErMRkbYnKVQLxduafSbB7NuQXZP47/t6&#10;qsdhhplvsvXoGtFjF2pPGtQkAYFUeFtTqeH78P6yBBGiIWsaT6jhhgHW+eNDZlLrB/rCfh9LwSUU&#10;UqOhirFNpQxFhc6EiW+R2Dv7zpnIsiul7czA5a6R0yRZSGdq4oXKtLitsLjsr07Dx2CGzUy99bvL&#10;eXs7HuafPzuFWj8/jZsViIhj/A/DHz6jQ85MJ38lG0SjYTnloIZXBYLd+YyPnVguFMg8k/f0+S8A&#10;AAD//wMAUEsBAi0AFAAGAAgAAAAhALaDOJL+AAAA4QEAABMAAAAAAAAAAAAAAAAAAAAAAFtDb250&#10;ZW50X1R5cGVzXS54bWxQSwECLQAUAAYACAAAACEAOP0h/9YAAACUAQAACwAAAAAAAAAAAAAAAAAv&#10;AQAAX3JlbHMvLnJlbHNQSwECLQAUAAYACAAAACEA2+jzd6YCAACvBwAADgAAAAAAAAAAAAAAAAAu&#10;AgAAZHJzL2Uyb0RvYy54bWxQSwECLQAUAAYACAAAACEALKaX7dwAAAAFAQAADwAAAAAAAAAAAAAA&#10;AAAABQAAZHJzL2Rvd25yZXYueG1sUEsFBgAAAAAEAAQA8wAAAAkGA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5HwAAAANwAAAAPAAAAZHJzL2Rvd25yZXYueG1sRE9Ni8Iw&#10;EL0L/ocwgjdNV1G0axQRRBEPWj3scWjGtmwzKU209d8bQfA2j/c5i1VrSvGg2hWWFfwMIxDEqdUF&#10;Zwqul+1gBsJ5ZI2lZVLwJAerZbezwFjbhs/0SHwmQgi7GBXk3lexlC7NyaAb2oo4cDdbG/QB1pnU&#10;NTYh3JRyFEVTabDg0JBjRZuc0v/kbhQcdpNMrv/20ebo8DRxjZnfzEipfq9d/4Lw1Pqv+OPe6zB/&#10;PIf3M+ECuXwBAAD//wMAUEsBAi0AFAAGAAgAAAAhANvh9svuAAAAhQEAABMAAAAAAAAAAAAAAAAA&#10;AAAAAFtDb250ZW50X1R5cGVzXS54bWxQSwECLQAUAAYACAAAACEAWvQsW78AAAAVAQAACwAAAAAA&#10;AAAAAAAAAAAfAQAAX3JlbHMvLnJlbHNQSwECLQAUAAYACAAAACEApnC+R8AAAADcAAAADwAAAAAA&#10;AAAAAAAAAAAHAgAAZHJzL2Rvd25yZXYueG1sUEsFBgAAAAADAAMAtwAAAPQCA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ZBwwAAANwAAAAPAAAAZHJzL2Rvd25yZXYueG1sRI9Pi8JA&#10;DMXvwn6HIQvedLqyFKmOIgu77kXBf+AxdmJb7GRKZ9T67c1B8JbwXt77ZTrvXK1u1IbKs4GvYQKK&#10;OPe24sLAfvc7GIMKEdli7ZkMPCjAfPbRm2Jm/Z03dNvGQkkIhwwNlDE2mdYhL8lhGPqGWLSzbx1G&#10;WdtC2xbvEu5qPUqSVDusWBpKbOinpPyyvToDaTimYbnQJ/+X7zZxfSC9Ol6N6X92iwmoSF18m1/X&#10;/1bwvwVfnpEJ9OwJAAD//wMAUEsBAi0AFAAGAAgAAAAhANvh9svuAAAAhQEAABMAAAAAAAAAAAAA&#10;AAAAAAAAAFtDb250ZW50X1R5cGVzXS54bWxQSwECLQAUAAYACAAAACEAWvQsW78AAAAVAQAACwAA&#10;AAAAAAAAAAAAAAAfAQAAX3JlbHMvLnJlbHNQSwECLQAUAAYACAAAACEASPFGQcMAAADcAAAADwAA&#10;AAAAAAAAAAAAAAAHAgAAZHJzL2Rvd25yZXYueG1sUEsFBgAAAAADAAMAtwAAAPcCAAAAAA==&#10;" fillcolor="#7f7f7f [1612]" stroked="f"/>
                  </v:group>
                </w:pict>
              </mc:Fallback>
            </mc:AlternateContent>
          </w:r>
        </w:p>
      </w:tc>
      <w:tc>
        <w:tcPr>
          <w:tcW w:w="4106" w:type="pct"/>
          <w:shd w:val="clear" w:color="auto" w:fill="auto"/>
          <w:vAlign w:val="bottom"/>
        </w:tcPr>
        <w:p w14:paraId="14B7B773" w14:textId="0B00AF2A" w:rsidR="00540656" w:rsidRPr="00963998" w:rsidRDefault="00540656" w:rsidP="00D040AF">
          <w:pPr>
            <w:pStyle w:val="af6"/>
            <w:rPr>
              <w:b/>
              <w:color w:val="808080" w:themeColor="background1" w:themeShade="80"/>
            </w:rPr>
          </w:pPr>
          <w:r>
            <w:rPr>
              <w:rFonts w:ascii="Times New Roman" w:hAnsi="Times New Roman"/>
              <w:b/>
              <w:color w:val="808080" w:themeColor="background1" w:themeShade="80"/>
              <w:szCs w:val="24"/>
            </w:rPr>
            <w:t>Состояние реального сектора экономики</w:t>
          </w:r>
        </w:p>
      </w:tc>
      <w:tc>
        <w:tcPr>
          <w:tcW w:w="477" w:type="pct"/>
          <w:shd w:val="clear" w:color="auto" w:fill="808080" w:themeFill="background1" w:themeFillShade="80"/>
          <w:vAlign w:val="center"/>
        </w:tcPr>
        <w:p w14:paraId="670578A3" w14:textId="77777777" w:rsidR="00540656" w:rsidRPr="00963998" w:rsidRDefault="00540656" w:rsidP="00D040AF">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sidRPr="00963998">
            <w:rPr>
              <w:rFonts w:ascii="Times New Roman" w:hAnsi="Times New Roman"/>
              <w:b/>
              <w:noProof/>
            </w:rPr>
            <w:t>3</w:t>
          </w:r>
          <w:r w:rsidRPr="00963998">
            <w:rPr>
              <w:rFonts w:ascii="Times New Roman" w:hAnsi="Times New Roman"/>
              <w:b/>
            </w:rPr>
            <w:fldChar w:fldCharType="end"/>
          </w:r>
        </w:p>
      </w:tc>
    </w:tr>
  </w:tbl>
  <w:p w14:paraId="78D561EA" w14:textId="77777777" w:rsidR="00540656" w:rsidRPr="001D3299" w:rsidRDefault="00540656" w:rsidP="001D3299">
    <w:pPr>
      <w:pStyle w:val="af4"/>
    </w:pPr>
    <w:r>
      <w:rPr>
        <w:noProof/>
      </w:rPr>
      <mc:AlternateContent>
        <mc:Choice Requires="wps">
          <w:drawing>
            <wp:anchor distT="0" distB="0" distL="114300" distR="114300" simplePos="0" relativeHeight="251686912" behindDoc="0" locked="0" layoutInCell="1" allowOverlap="1" wp14:anchorId="3D473D38" wp14:editId="7104563F">
              <wp:simplePos x="0" y="0"/>
              <wp:positionH relativeFrom="margin">
                <wp:align>right</wp:align>
              </wp:positionH>
              <wp:positionV relativeFrom="paragraph">
                <wp:posOffset>70267</wp:posOffset>
              </wp:positionV>
              <wp:extent cx="5983112" cy="0"/>
              <wp:effectExtent l="0" t="0" r="0" b="0"/>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4ECAF6ED" id="Прямая соединительная линия 141" o:spid="_x0000_s1026" style="position:absolute;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xxEwIAAE0EAAAOAAAAZHJzL2Uyb0RvYy54bWysVM2O0zAQviPxDpbvNElh0RI13cOulgs/&#10;FbAP4Dp2Y8l/sr1tegPOSH0EXoEDSCstyzMkb8TYaVMECAlEDo7n75uZbyaZnbVKojVzXhhd4WKS&#10;Y8Q0NbXQqwpfvbl8cIqRD0TXRBrNKrxlHp/N79+bbWzJpqYxsmYOAYj25cZWuAnBllnmacMU8RNj&#10;mQYjN06RAKJbZbUjG0BXMpvm+eNsY1xtnaHMe9BeDEY8T/icMxpecu5ZQLLCUFtIp0vnMp7ZfEbK&#10;lSO2EXRfBvmHKhQRGpKOUBckEHTtxC9QSlBnvOFhQo3KDOeCstQDdFPkP3XzuiGWpV6AHG9Hmvz/&#10;g6Uv1guHRA2ze1RgpImCIXUf+7f9rvvafep3qH/Xfeu+dJ+7m+6uu+nfw/22/wD3aOxu9+odivHA&#10;5sb6EkDP9cLtJW8XLlLTcqfiG5pGbZrAdpwAawOioDx5cvqwKKYY0YMtOwZa58NTZhSKlwpLoSM5&#10;pCTrZz5AMnA9uES11PH0Ror6UkiZhLhW7Fw6tCawEMtVkQDktXpu6kF3ksMTGwG0tIXRfZCOSGCL&#10;6Flsdmgv3cJWsiHzK8aBVGhoSDACDTkIpUyHRFdCAu8YxqHKMTBPlf0xcO8fQ1la9b8JHiNSZqPD&#10;GKyENu532UN7KJkP/gcGhr4jBUtTb9PgEzWws4m5/fcVP4of5RR+/AvMvwMAAP//AwBQSwMEFAAG&#10;AAgAAAAhAOSwQtPZAAAABgEAAA8AAABkcnMvZG93bnJldi54bWxMj0FPg0AQhe8m/ofNmHizC6Qx&#10;iixNg3rwprRpPE5hBFJ2lrALxX/vGA/2+N6bvPdNtllsr2YafefYQLyKQBFXru64MbDfvd49gPIB&#10;ucbeMRn4Jg+b/Poqw7R2Z/6guQyNkhL2KRpoQxhSrX3VkkW/cgOxZF9utBhEjo2uRzxLue11EkX3&#10;2mLHstDiQEVL1amcrAH7XLwcdtNczgWt35fPJtnj28GY25tl+wQq0BL+j+EXX9AhF6ajm7j2qjcg&#10;jwRx4xiUpI/rJAF1/DN0nulL/PwHAAD//wMAUEsBAi0AFAAGAAgAAAAhALaDOJL+AAAA4QEAABMA&#10;AAAAAAAAAAAAAAAAAAAAAFtDb250ZW50X1R5cGVzXS54bWxQSwECLQAUAAYACAAAACEAOP0h/9YA&#10;AACUAQAACwAAAAAAAAAAAAAAAAAvAQAAX3JlbHMvLnJlbHNQSwECLQAUAAYACAAAACEA2R0McRMC&#10;AABNBAAADgAAAAAAAAAAAAAAAAAuAgAAZHJzL2Uyb0RvYy54bWxQSwECLQAUAAYACAAAACEA5LBC&#10;09kAAAAGAQAADwAAAAAAAAAAAAAAAABtBAAAZHJzL2Rvd25yZXYueG1sUEsFBgAAAAAEAAQA8wAA&#10;AHMFAAAAAA==&#10;" strokecolor="#7f7f7f [1612]" strokeweight=".5pt">
              <v:stroke joinstyle="miter"/>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558" w:type="pc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80"/>
      <w:gridCol w:w="3009"/>
      <w:gridCol w:w="6410"/>
    </w:tblGrid>
    <w:tr w:rsidR="00540656" w:rsidRPr="004F65D3" w14:paraId="1EAFB391" w14:textId="77777777" w:rsidTr="00540656">
      <w:trPr>
        <w:trHeight w:val="425"/>
      </w:trPr>
      <w:tc>
        <w:tcPr>
          <w:tcW w:w="471" w:type="pct"/>
          <w:shd w:val="clear" w:color="auto" w:fill="808080" w:themeFill="background1" w:themeFillShade="80"/>
          <w:vAlign w:val="center"/>
        </w:tcPr>
        <w:p w14:paraId="0D944D48" w14:textId="77777777" w:rsidR="00540656" w:rsidRPr="009940AD" w:rsidRDefault="00540656" w:rsidP="00955C44">
          <w:pPr>
            <w:pStyle w:val="af6"/>
            <w:ind w:left="-144"/>
            <w:jc w:val="right"/>
            <w:rPr>
              <w:rFonts w:ascii="Times New Roman" w:hAnsi="Times New Roman"/>
              <w:b/>
              <w:sz w:val="24"/>
            </w:rPr>
          </w:pPr>
          <w:r w:rsidRPr="009940AD">
            <w:rPr>
              <w:rFonts w:ascii="Times New Roman" w:hAnsi="Times New Roman"/>
              <w:b/>
            </w:rPr>
            <w:fldChar w:fldCharType="begin"/>
          </w:r>
          <w:r w:rsidRPr="009940AD">
            <w:rPr>
              <w:rFonts w:ascii="Times New Roman" w:hAnsi="Times New Roman"/>
              <w:b/>
            </w:rPr>
            <w:instrText xml:space="preserve"> PAGE   \* MERGEFORMAT </w:instrText>
          </w:r>
          <w:r w:rsidRPr="009940AD">
            <w:rPr>
              <w:rFonts w:ascii="Times New Roman" w:hAnsi="Times New Roman"/>
              <w:b/>
            </w:rPr>
            <w:fldChar w:fldCharType="separate"/>
          </w:r>
          <w:r>
            <w:rPr>
              <w:rFonts w:ascii="Times New Roman" w:hAnsi="Times New Roman"/>
              <w:b/>
            </w:rPr>
            <w:t>46</w:t>
          </w:r>
          <w:r w:rsidRPr="009940AD">
            <w:rPr>
              <w:rFonts w:ascii="Times New Roman" w:hAnsi="Times New Roman"/>
              <w:b/>
            </w:rPr>
            <w:fldChar w:fldCharType="end"/>
          </w:r>
        </w:p>
      </w:tc>
      <w:tc>
        <w:tcPr>
          <w:tcW w:w="1447" w:type="pct"/>
          <w:vAlign w:val="center"/>
        </w:tcPr>
        <w:p w14:paraId="0D658B8A" w14:textId="77777777" w:rsidR="00540656" w:rsidRPr="002A0F90" w:rsidRDefault="00540656" w:rsidP="00955C44">
          <w:pPr>
            <w:pStyle w:val="af6"/>
            <w:tabs>
              <w:tab w:val="clear" w:pos="9355"/>
              <w:tab w:val="right" w:pos="9534"/>
            </w:tabs>
            <w:ind w:firstLine="319"/>
            <w:jc w:val="right"/>
            <w:rPr>
              <w:rFonts w:ascii="Montserrat" w:hAnsi="Montserrat"/>
              <w:b/>
              <w:color w:val="2F5496" w:themeColor="accent1" w:themeShade="BF"/>
              <w:sz w:val="16"/>
              <w:szCs w:val="18"/>
            </w:rPr>
          </w:pPr>
        </w:p>
      </w:tc>
      <w:tc>
        <w:tcPr>
          <w:tcW w:w="3082" w:type="pct"/>
          <w:vAlign w:val="bottom"/>
        </w:tcPr>
        <w:p w14:paraId="0BA6F272" w14:textId="2B9E7567" w:rsidR="00540656" w:rsidRDefault="00540656" w:rsidP="00955C44">
          <w:pPr>
            <w:pStyle w:val="af6"/>
            <w:ind w:right="127"/>
            <w:jc w:val="right"/>
          </w:pPr>
          <w:r>
            <w:rPr>
              <w:rFonts w:ascii="Times New Roman" w:hAnsi="Times New Roman"/>
              <w:b/>
              <w:color w:val="808080" w:themeColor="background1" w:themeShade="80"/>
            </w:rPr>
            <w:t>Состояние социальной сферы</w:t>
          </w:r>
        </w:p>
      </w:tc>
    </w:tr>
  </w:tbl>
  <w:p w14:paraId="3ADC690F" w14:textId="4ECCCBA9" w:rsidR="00540656" w:rsidRPr="00955C44" w:rsidRDefault="00540656" w:rsidP="00955C44">
    <w:pPr>
      <w:pStyle w:val="af4"/>
    </w:pPr>
    <w:r>
      <w:rPr>
        <w:noProof/>
      </w:rPr>
      <mc:AlternateContent>
        <mc:Choice Requires="wpg">
          <w:drawing>
            <wp:anchor distT="0" distB="0" distL="114300" distR="114300" simplePos="0" relativeHeight="251703296" behindDoc="0" locked="0" layoutInCell="1" allowOverlap="1" wp14:anchorId="71700EE7" wp14:editId="72F8ABE0">
              <wp:simplePos x="0" y="0"/>
              <wp:positionH relativeFrom="rightMargin">
                <wp:align>left</wp:align>
              </wp:positionH>
              <wp:positionV relativeFrom="paragraph">
                <wp:posOffset>-242570</wp:posOffset>
              </wp:positionV>
              <wp:extent cx="284480" cy="266700"/>
              <wp:effectExtent l="0" t="0" r="1270" b="0"/>
              <wp:wrapNone/>
              <wp:docPr id="18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89" name="Rectangle 14"/>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90" name="Rectangle 15"/>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06858CE" id="Group 16" o:spid="_x0000_s1026" style="position:absolute;margin-left:0;margin-top:-19.1pt;width:22.4pt;height:21pt;z-index:251703296;mso-position-horizontal:left;mso-position-horizontal-relative:right-margin-area"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zqAIAAK8HAAAOAAAAZHJzL2Uyb0RvYy54bWzcVdtu3CAQfa/Uf0C8N76ss9lY642i3FQp&#10;baOm/QAW44tqAx3Y9aZfnwHszTatVClV81A/WMBcmHPmAMuzXd+RrQDTKlnQ5CimREiuylbWBf36&#10;5frdghJjmSxZp6Qo6IMw9Gz19s1y0LlIVaO6UgDBJNLkgy5oY63Oo8jwRvTMHCktJBorBT2zOIU6&#10;KoENmL3vojSO59GgoNSguDAGVy+Dka58/qoS3H6qKiMs6QqKtVn/B/9fu3+0WrK8Bqablo9lsBdU&#10;0bNW4qb7VJfMMrKB9pdUfctBGVXZI676SFVVy4XHgGiS+BmaG1Ab7bHU+VDrPU1I7TOeXpyWf9ze&#10;AWlL7N0CWyVZj03y+5Jk7tgZdJ2j0w3oe30HASIObxX/ZtAcPbe7eR2cyXr4oErMxzZWeXZ2FfQu&#10;BeImO9+Eh30TxM4SjovpIssW2CqOpnQ+P4nHJvEGO+mikiQ+mVGC5mQeZ75IlvPmaozH6BCcpT4y&#10;YnnY1pc6luZwoeDME6fm7zi9b5gWvlXG0bXn9HTi9DNKkcm6EyTJAq/ecSLVBEaJVBcNuolzADU0&#10;gpVYV+L8sfqDADcx2I8/UvxbsiaqZ9nIsxu4PSaqWK7B2BuheuIGBQWs3neQbW+NDa6Ti2uoUV1b&#10;Xrdd5ydQry86IFvmDt11ms2uxuw/uXXSOUvlwkJGt+JxOmihRWtVPiBMUOHk4k2Dg0bBD0oGPLUF&#10;Nd83DAQl3XuJVJ0mmcNk/SQ7PkEJEDi0rA8tTHJMVVBLSRhe2HA1bDS0dYM7JR60VOeo4Kr1wB31&#10;oaqxWFTRa8npFOGEI3ogp+NXlVOySMazl6Tj2fvXcnJvgdgLal2HpnSbHm+XILLjGL9JY5O71/P/&#10;qzh/neGr4GGOL5h7dg7nXqFP7+zqEQAA//8DAFBLAwQUAAYACAAAACEADaEGs90AAAAFAQAADwAA&#10;AGRycy9kb3ducmV2LnhtbEyPQWvCQBSE74X+h+UJvekmxpYQ8yIibU9SqBZKb2v2mQSzuyG7JvHf&#10;9/VUj8MMM9/km8m0YqDeN84ixIsIBNnS6cZWCF/Ht3kKwgdltWqdJYQbedgUjw+5yrQb7ScNh1AJ&#10;LrE+Uwh1CF0mpS9rMsovXEeWvbPrjQos+0rqXo1cblq5jKIXaVRjeaFWHe1qKi+Hq0F4H9W4TeLX&#10;YX85724/x+eP731MiE+zabsGEWgK/2H4w2d0KJjp5K5We9Ei8JGAME/SJQi2Vys+ckJIUpBFLu/p&#10;i18AAAD//wMAUEsBAi0AFAAGAAgAAAAhALaDOJL+AAAA4QEAABMAAAAAAAAAAAAAAAAAAAAAAFtD&#10;b250ZW50X1R5cGVzXS54bWxQSwECLQAUAAYACAAAACEAOP0h/9YAAACUAQAACwAAAAAAAAAAAAAA&#10;AAAvAQAAX3JlbHMvLnJlbHNQSwECLQAUAAYACAAAACEAofrBc6gCAACvBwAADgAAAAAAAAAAAAAA&#10;AAAuAgAAZHJzL2Uyb0RvYy54bWxQSwECLQAUAAYACAAAACEADaEGs90AAAAFAQAADwAAAAAAAAAA&#10;AAAAAAACBQAAZHJzL2Rvd25yZXYueG1sUEsFBgAAAAAEAAQA8wAAAAwGAAAAAA==&#10;">
              <v:rect id="Rectangle 14"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egvgAAANwAAAAPAAAAZHJzL2Rvd25yZXYueG1sRE9LCsIw&#10;EN0L3iGM4E5TBUWrUUQQRVz4W7gcmrEtNpPSRFtvbwTB3Tzed+bLxhTiRZXLLSsY9CMQxInVOacK&#10;rpdNbwLCeWSNhWVS8CYHy0W7NcdY25pP9Dr7VIQQdjEqyLwvYyldkpFB17clceDutjLoA6xSqSus&#10;Q7gp5DCKxtJgzqEhw5LWGSWP89Mo2G9HqVzddtH64PA4crWZ3s1QqW6nWc1AeGr8X/xz73SYP5nC&#10;95lwgVx8AAAA//8DAFBLAQItABQABgAIAAAAIQDb4fbL7gAAAIUBAAATAAAAAAAAAAAAAAAAAAAA&#10;AABbQ29udGVudF9UeXBlc10ueG1sUEsBAi0AFAAGAAgAAAAhAFr0LFu/AAAAFQEAAAsAAAAAAAAA&#10;AAAAAAAAHwEAAF9yZWxzLy5yZWxzUEsBAi0AFAAGAAgAAAAhAAXPd6C+AAAA3AAAAA8AAAAAAAAA&#10;AAAAAAAABwIAAGRycy9kb3ducmV2LnhtbFBLBQYAAAAAAwADALcAAADyAgAAAAA=&#10;" fillcolor="#0f243e" stroked="f"/>
              <v:rect id="Rectangle 15"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oGwwAAANwAAAAPAAAAZHJzL2Rvd25yZXYueG1sRI9Pi8JA&#10;DMXvwn6HIQt70+l6KFodRRZ23YuC/8Bj7MS22MmUzqj125uD4C3hvbz3y3TeuVrdqA2VZwPfgwQU&#10;ce5txYWB/e63PwIVIrLF2jMZeFCA+eyjN8XM+jtv6LaNhZIQDhkaKGNsMq1DXpLDMPANsWhn3zqM&#10;sraFti3eJdzVepgkqXZYsTSU2NBPSflle3UG0nBMw3KhT/4v323i+kB6dbwa8/XZLSagInXxbX5d&#10;/1vBHwu+PCMT6NkTAAD//wMAUEsBAi0AFAAGAAgAAAAhANvh9svuAAAAhQEAABMAAAAAAAAAAAAA&#10;AAAAAAAAAFtDb250ZW50X1R5cGVzXS54bWxQSwECLQAUAAYACAAAACEAWvQsW78AAAAVAQAACwAA&#10;AAAAAAAAAAAAAAAfAQAAX3JlbHMvLnJlbHNQSwECLQAUAAYACAAAACEANpFqBsMAAADcAAAADwAA&#10;AAAAAAAAAAAAAAAHAgAAZHJzL2Rvd25yZXYueG1sUEsFBgAAAAADAAMAtwAAAPcCAAAAAA==&#10;" fillcolor="#7f7f7f [1612]" stroked="f"/>
              <w10:wrap anchorx="margin"/>
            </v:group>
          </w:pict>
        </mc:Fallback>
      </mc:AlternateContent>
    </w:r>
    <w:r>
      <w:rPr>
        <w:noProof/>
      </w:rPr>
      <mc:AlternateContent>
        <mc:Choice Requires="wps">
          <w:drawing>
            <wp:anchor distT="0" distB="0" distL="114300" distR="114300" simplePos="0" relativeHeight="251704320" behindDoc="0" locked="0" layoutInCell="1" allowOverlap="1" wp14:anchorId="48E6A93C" wp14:editId="53F73C2F">
              <wp:simplePos x="0" y="0"/>
              <wp:positionH relativeFrom="column">
                <wp:posOffset>15135</wp:posOffset>
              </wp:positionH>
              <wp:positionV relativeFrom="paragraph">
                <wp:posOffset>58950</wp:posOffset>
              </wp:positionV>
              <wp:extent cx="5878349" cy="0"/>
              <wp:effectExtent l="0" t="0" r="0" b="0"/>
              <wp:wrapNone/>
              <wp:docPr id="191" name="Прямая соединительная линия 191"/>
              <wp:cNvGraphicFramePr/>
              <a:graphic xmlns:a="http://schemas.openxmlformats.org/drawingml/2006/main">
                <a:graphicData uri="http://schemas.microsoft.com/office/word/2010/wordprocessingShape">
                  <wps:wsp>
                    <wps:cNvCnPr/>
                    <wps:spPr>
                      <a:xfrm>
                        <a:off x="0" y="0"/>
                        <a:ext cx="587834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7A53057C" id="Прямая соединительная линия 191"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65pt" to="46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zDFAIAAE0EAAAOAAAAZHJzL2Uyb0RvYy54bWysVM2O0zAQviPxDpbvNOnCQjdquoddLRd+&#10;Kn4ewHXsxpL/ZHvb9AackfoIvAIHkFZa4BmSN2LspCkChAQiB8fz983MN5PMzxsl0YY5L4wu8XSS&#10;Y8Q0NZXQ6xK/fnV1b4aRD0RXRBrNSrxjHp8v7t6Zb23BTkxtZMUcAhDti60tcR2CLbLM05op4ifG&#10;Mg1GbpwiAUS3zipHtoCuZHaS5w+zrXGVdYYy70F72RvxIuFzzmh4zrlnAckSQ20hnS6dq3hmizkp&#10;1o7YWtChDPIPVSgiNCQdoS5JIOjaiV+glKDOeMPDhBqVGc4FZakH6Gaa/9TNy5pYlnoBcrwdafL/&#10;D5Y+2ywdEhXM7myKkSYKhtR+6N50+/ZL+7Hbo+5t+6393H5qb9qv7U33Du633Xu4R2N7O6j3KMYD&#10;m1vrCwC90Es3SN4uXaSm4U7FNzSNmjSB3TgB1gREQXk6ezS7/+AMI3qwZcdA63x4zIxC8VJiKXQk&#10;hxRk88QHSAauB5eoljqe3khRXQkpkxDXil1IhzYEFmK1niYAea2emqrXnebwxEYALW1hdO+lIxLY&#10;InoWm+3bS7ewk6zP/IJxIBUa6hOMQH0OQinTIdGVkMA7hnGocgzMU2V/DBz8YyhLq/43wWNEymx0&#10;GIOV0Mb9LntoDiXz3v/AQN93pGBlql0afKIGdjYxN3xf8aP4UU7hx7/A4jsAAAD//wMAUEsDBBQA&#10;BgAIAAAAIQAFli602gAAAAUBAAAPAAAAZHJzL2Rvd25yZXYueG1sTI7BTsMwEETvSP0Haytxo05D&#10;hdoQp0IBDtwgrSqO23ibRI3XUeyk4e9xe4HjaEZvXrqdTCtG6l1jWcFyEYEgLq1uuFKw370/rEE4&#10;j6yxtUwKfsjBNpvdpZhoe+EvGgtfiQBhl6CC2vsukdKVNRl0C9sRh+5ke4M+xL6SusdLgJtWxlH0&#10;JA02HB5q7CivqTwXg1FgXvO3w24YizGn1ef0XcV7/DgodT+fXp5BeJr83xiu+kEdsuB0tANrJ1oF&#10;8SoMFWweQYR2E6+XII63LLNU/rfPfgEAAP//AwBQSwECLQAUAAYACAAAACEAtoM4kv4AAADhAQAA&#10;EwAAAAAAAAAAAAAAAAAAAAAAW0NvbnRlbnRfVHlwZXNdLnhtbFBLAQItABQABgAIAAAAIQA4/SH/&#10;1gAAAJQBAAALAAAAAAAAAAAAAAAAAC8BAABfcmVscy8ucmVsc1BLAQItABQABgAIAAAAIQCUQQzD&#10;FAIAAE0EAAAOAAAAAAAAAAAAAAAAAC4CAABkcnMvZTJvRG9jLnhtbFBLAQItABQABgAIAAAAIQAF&#10;li602gAAAAUBAAAPAAAAAAAAAAAAAAAAAG4EAABkcnMvZG93bnJldi54bWxQSwUGAAAAAAQABADz&#10;AAAAdQUAAAAA&#10;" strokecolor="#7f7f7f [1612]" strokeweight=".5pt">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5875" w:type="pc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C441"/>
      <w:tblLook w:val="04A0" w:firstRow="1" w:lastRow="0" w:firstColumn="1" w:lastColumn="0" w:noHBand="0" w:noVBand="1"/>
    </w:tblPr>
    <w:tblGrid>
      <w:gridCol w:w="916"/>
      <w:gridCol w:w="9027"/>
      <w:gridCol w:w="1049"/>
    </w:tblGrid>
    <w:tr w:rsidR="00540656" w:rsidRPr="004F65D3" w14:paraId="1CC43802" w14:textId="77777777" w:rsidTr="00540656">
      <w:trPr>
        <w:trHeight w:val="424"/>
      </w:trPr>
      <w:tc>
        <w:tcPr>
          <w:tcW w:w="417" w:type="pct"/>
        </w:tcPr>
        <w:p w14:paraId="73778515" w14:textId="77777777" w:rsidR="00540656" w:rsidRPr="00786F7F" w:rsidRDefault="00540656" w:rsidP="00955C44">
          <w:pPr>
            <w:pStyle w:val="af6"/>
            <w:rPr>
              <w:sz w:val="20"/>
            </w:rPr>
          </w:pPr>
          <w:r>
            <w:rPr>
              <w:noProof/>
              <w:sz w:val="20"/>
            </w:rPr>
            <mc:AlternateContent>
              <mc:Choice Requires="wpg">
                <w:drawing>
                  <wp:anchor distT="0" distB="0" distL="114300" distR="114300" simplePos="0" relativeHeight="251695104" behindDoc="0" locked="0" layoutInCell="1" allowOverlap="1" wp14:anchorId="17721D5C" wp14:editId="0FDD1124">
                    <wp:simplePos x="0" y="0"/>
                    <wp:positionH relativeFrom="column">
                      <wp:posOffset>52003</wp:posOffset>
                    </wp:positionH>
                    <wp:positionV relativeFrom="paragraph">
                      <wp:posOffset>26114</wp:posOffset>
                    </wp:positionV>
                    <wp:extent cx="284480" cy="266700"/>
                    <wp:effectExtent l="0" t="0" r="1270" b="0"/>
                    <wp:wrapNone/>
                    <wp:docPr id="17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66700"/>
                              <a:chOff x="11073" y="16046"/>
                              <a:chExt cx="448" cy="420"/>
                            </a:xfrm>
                          </wpg:grpSpPr>
                          <wps:wsp>
                            <wps:cNvPr id="173" name="Rectangle 42"/>
                            <wps:cNvSpPr>
                              <a:spLocks noChangeArrowheads="1"/>
                            </wps:cNvSpPr>
                            <wps:spPr bwMode="auto">
                              <a:xfrm>
                                <a:off x="11073" y="16046"/>
                                <a:ext cx="340" cy="340"/>
                              </a:xfrm>
                              <a:prstGeom prst="rect">
                                <a:avLst/>
                              </a:prstGeom>
                              <a:solidFill>
                                <a:srgbClr val="0F243E"/>
                              </a:solidFill>
                              <a:ln>
                                <a:noFill/>
                              </a:ln>
                            </wps:spPr>
                            <wps:bodyPr rot="0" vert="horz" wrap="square" lIns="91440" tIns="45720" rIns="91440" bIns="45720" anchor="t" anchorCtr="0" upright="1">
                              <a:noAutofit/>
                            </wps:bodyPr>
                          </wps:wsp>
                          <wps:wsp>
                            <wps:cNvPr id="174" name="Rectangle 43"/>
                            <wps:cNvSpPr>
                              <a:spLocks noChangeArrowheads="1"/>
                            </wps:cNvSpPr>
                            <wps:spPr bwMode="auto">
                              <a:xfrm>
                                <a:off x="11181" y="16126"/>
                                <a:ext cx="340" cy="340"/>
                              </a:xfrm>
                              <a:prstGeom prst="rect">
                                <a:avLst/>
                              </a:prstGeom>
                              <a:solidFill>
                                <a:schemeClr val="bg1">
                                  <a:lumMod val="5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57830E2B" id="Group 41" o:spid="_x0000_s1026" style="position:absolute;margin-left:4.1pt;margin-top:2.05pt;width:22.4pt;height:21pt;z-index:251695104" coordorigin="11073,16046" coordsize="44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QZpQIAAK8HAAAOAAAAZHJzL2Uyb0RvYy54bWzcVVtv2yAUfp+0/4B4X32Jm2RWnapKm2pS&#10;t1Xr9gMIxhfNBnYgcbpf3wM4adZVmtRpfZgfLOBcOOf7PuDsfNd3ZCvAtEoWNDmJKRGSq7KVdUG/&#10;fV29m1NiLJMl65QUBb0Xhp4v3r45G3QuUtWorhRAMIk0+aAL2lir8ygyvBE9MydKC4nGSkHPLE6h&#10;jkpgA2bvuyiN42k0KCg1KC6MwdXLYKQLn7+qBLefq8oIS7qCYm3W/8H/1+4fLc5YXgPTTcvHMtgL&#10;quhZK3HTQ6pLZhnZQPtbqr7loIyq7AlXfaSqquXC94DdJPGTbq5BbbTvpc6HWh9gQmif4PTitPzT&#10;9hZIWyJ3s5QSyXokye9LssShM+g6R6dr0Hf6FkKLOLxR/LtBc/TU7uZ1cCbr4aMqMR/bWOXR2VXQ&#10;uxTYN9l5Eu4PJIidJRwX03mWzZEqjqZ0Op3FI0m8QSZdVJLEswklaE6mcTYNFPLmaozH6BCcpT4y&#10;YnnY1pc6lub6QsGZR0zN32F61zAtPFXGwXXAFAsNmH5BKTJZd4JkacDVO+5BNQFRItWyQTdxAaCG&#10;RrAS6/I8YPVHAW5ikI8/QvwsWHuoJ9mIsxs4MvdQsVyDsddC9cQNCgpYvWeQbW+MDa57F0eoUV1b&#10;rtqu8xOo18sOyJa5Q7dKs8nVmP0Xt046Z6lcWMjoVnyfrrVA0VqV99gmqHBy8abBQaPgJyUDntqC&#10;mh8bBoKS7oNEqN4nmevJ+kl2OkMJEDi2rI8tTHJMVVBLSRgubbgaNhrausGdEt+0VBeo4Kr1jTvo&#10;Q1VjsaiiV5NT9oycJq8qp2SejGcvScez96/l5N4CcRDUug6kdJseb5cgstMYv73G9u5ez/+v4vx1&#10;hq+Cb3N8wdyzczz3Cn18ZxcPAAAA//8DAFBLAwQUAAYACAAAACEALKaX7dwAAAAFAQAADwAAAGRy&#10;cy9kb3ducmV2LnhtbEyPQWvCQBSE74X+h+UVequb1SoSsxGRticpVAvF25p9JsHs25Bdk/jv+3qq&#10;x2GGmW+y9ega0WMXak8a1CQBgVR4W1Op4fvw/rIEEaIhaxpPqOGGAdb540NmUusH+sJ+H0vBJRRS&#10;o6GKsU2lDEWFzoSJb5HYO/vOmciyK6XtzMDlrpHTJFlIZ2rihcq0uK2wuOyvTsPHYIbNTL31u8t5&#10;ezse5p8/O4VaPz+NmxWIiGP8D8MfPqNDzkwnfyUbRKNhOeWghlcFgt35jI+dWC4UyDyT9/T5LwAA&#10;AP//AwBQSwECLQAUAAYACAAAACEAtoM4kv4AAADhAQAAEwAAAAAAAAAAAAAAAAAAAAAAW0NvbnRl&#10;bnRfVHlwZXNdLnhtbFBLAQItABQABgAIAAAAIQA4/SH/1gAAAJQBAAALAAAAAAAAAAAAAAAAAC8B&#10;AABfcmVscy8ucmVsc1BLAQItABQABgAIAAAAIQAMFNQZpQIAAK8HAAAOAAAAAAAAAAAAAAAAAC4C&#10;AABkcnMvZTJvRG9jLnhtbFBLAQItABQABgAIAAAAIQAsppft3AAAAAUBAAAPAAAAAAAAAAAAAAAA&#10;AP8EAABkcnMvZG93bnJldi54bWxQSwUGAAAAAAQABADzAAAACAYAAAAA&#10;">
                    <v:rect id="Rectangle 42" o:spid="_x0000_s1027" style="position:absolute;left:11073;top:1604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BtwAAAANwAAAAPAAAAZHJzL2Rvd25yZXYueG1sRE/LqsIw&#10;EN0L/kMYwZ2mKuq91SgiiCIufNzFXQ7N2BabSWmirX9vBMHdHM5z5svGFOJBlcstKxj0IxDEidU5&#10;pwr+LpveDwjnkTUWlknBkxwsF+3WHGNtaz7R4+xTEULYxagg876MpXRJRgZd35bEgbvayqAPsEql&#10;rrAO4aaQwyiaSIM5h4YMS1pnlNzOd6Ngvx2ncvW/i9YHh8exq83v1QyV6naa1QyEp8Z/xR/3Tof5&#10;0xG8nwkXyMULAAD//wMAUEsBAi0AFAAGAAgAAAAhANvh9svuAAAAhQEAABMAAAAAAAAAAAAAAAAA&#10;AAAAAFtDb250ZW50X1R5cGVzXS54bWxQSwECLQAUAAYACAAAACEAWvQsW78AAAAVAQAACwAAAAAA&#10;AAAAAAAAAAAfAQAAX3JlbHMvLnJlbHNQSwECLQAUAAYACAAAACEAUfIwbcAAAADcAAAADwAAAAAA&#10;AAAAAAAAAAAHAgAAZHJzL2Rvd25yZXYueG1sUEsFBgAAAAADAAMAtwAAAPQCAAAAAA==&#10;" fillcolor="#0f243e" stroked="f"/>
                    <v:rect id="Rectangle 43" o:spid="_x0000_s1028" style="position:absolute;left:11181;top:1612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r/wQAAANwAAAAPAAAAZHJzL2Rvd25yZXYueG1sRE9Li8Iw&#10;EL4L+x/CLOxN05WlSjUtsuDjoqDugsexGdtiMylN1PrvjSB4m4/vOdOsM7W4Uusqywq+BxEI4tzq&#10;igsFf/t5fwzCeWSNtWVScCcHWfrRm2Ki7Y23dN35QoQQdgkqKL1vEildXpJBN7ANceBOtjXoA2wL&#10;qVu8hXBTy2EUxdJgxaGhxIZ+S8rPu4tRELtD7JYzebSLfL/1m3+S68NFqa/PbjYB4anzb/HLvdJh&#10;/ugHns+EC2T6AAAA//8DAFBLAQItABQABgAIAAAAIQDb4fbL7gAAAIUBAAATAAAAAAAAAAAAAAAA&#10;AAAAAABbQ29udGVudF9UeXBlc10ueG1sUEsBAi0AFAAGAAgAAAAhAFr0LFu/AAAAFQEAAAsAAAAA&#10;AAAAAAAAAAAAHwEAAF9yZWxzLy5yZWxzUEsBAi0AFAAGAAgAAAAhAPmmiv/BAAAA3AAAAA8AAAAA&#10;AAAAAAAAAAAABwIAAGRycy9kb3ducmV2LnhtbFBLBQYAAAAAAwADALcAAAD1AgAAAAA=&#10;" fillcolor="#7f7f7f [1612]" stroked="f"/>
                  </v:group>
                </w:pict>
              </mc:Fallback>
            </mc:AlternateContent>
          </w:r>
        </w:p>
      </w:tc>
      <w:tc>
        <w:tcPr>
          <w:tcW w:w="4106" w:type="pct"/>
          <w:shd w:val="clear" w:color="auto" w:fill="auto"/>
          <w:vAlign w:val="bottom"/>
        </w:tcPr>
        <w:p w14:paraId="4B3961C7" w14:textId="2A5A7E5D" w:rsidR="00540656" w:rsidRPr="00963998" w:rsidRDefault="00540656" w:rsidP="00955C44">
          <w:pPr>
            <w:pStyle w:val="af6"/>
            <w:rPr>
              <w:b/>
              <w:color w:val="808080" w:themeColor="background1" w:themeShade="80"/>
            </w:rPr>
          </w:pPr>
          <w:r>
            <w:rPr>
              <w:rFonts w:ascii="Times New Roman" w:hAnsi="Times New Roman"/>
              <w:b/>
              <w:color w:val="808080" w:themeColor="background1" w:themeShade="80"/>
              <w:szCs w:val="24"/>
            </w:rPr>
            <w:t>Состояние социальной сферы</w:t>
          </w:r>
        </w:p>
      </w:tc>
      <w:tc>
        <w:tcPr>
          <w:tcW w:w="477" w:type="pct"/>
          <w:shd w:val="clear" w:color="auto" w:fill="808080" w:themeFill="background1" w:themeFillShade="80"/>
          <w:vAlign w:val="center"/>
        </w:tcPr>
        <w:p w14:paraId="7368F677" w14:textId="77777777" w:rsidR="00540656" w:rsidRPr="00963998" w:rsidRDefault="00540656" w:rsidP="00955C44">
          <w:pPr>
            <w:pStyle w:val="af6"/>
            <w:ind w:right="-187"/>
            <w:rPr>
              <w:rFonts w:ascii="Times New Roman" w:hAnsi="Times New Roman"/>
              <w:b/>
            </w:rPr>
          </w:pPr>
          <w:r w:rsidRPr="00963998">
            <w:rPr>
              <w:rFonts w:ascii="Times New Roman" w:hAnsi="Times New Roman"/>
              <w:b/>
            </w:rPr>
            <w:fldChar w:fldCharType="begin"/>
          </w:r>
          <w:r w:rsidRPr="00963998">
            <w:rPr>
              <w:rFonts w:ascii="Times New Roman" w:hAnsi="Times New Roman"/>
              <w:b/>
            </w:rPr>
            <w:instrText xml:space="preserve"> PAGE   \* MERGEFORMAT </w:instrText>
          </w:r>
          <w:r w:rsidRPr="00963998">
            <w:rPr>
              <w:rFonts w:ascii="Times New Roman" w:hAnsi="Times New Roman"/>
              <w:b/>
            </w:rPr>
            <w:fldChar w:fldCharType="separate"/>
          </w:r>
          <w:r>
            <w:rPr>
              <w:rFonts w:ascii="Times New Roman" w:hAnsi="Times New Roman"/>
              <w:b/>
            </w:rPr>
            <w:t>47</w:t>
          </w:r>
          <w:r w:rsidRPr="00963998">
            <w:rPr>
              <w:rFonts w:ascii="Times New Roman" w:hAnsi="Times New Roman"/>
              <w:b/>
            </w:rPr>
            <w:fldChar w:fldCharType="end"/>
          </w:r>
        </w:p>
      </w:tc>
    </w:tr>
  </w:tbl>
  <w:p w14:paraId="020CFD4E" w14:textId="65630781" w:rsidR="00540656" w:rsidRPr="00955C44" w:rsidRDefault="00540656" w:rsidP="00955C44">
    <w:pPr>
      <w:pStyle w:val="af4"/>
    </w:pPr>
    <w:r>
      <w:rPr>
        <w:noProof/>
      </w:rPr>
      <mc:AlternateContent>
        <mc:Choice Requires="wps">
          <w:drawing>
            <wp:anchor distT="0" distB="0" distL="114300" distR="114300" simplePos="0" relativeHeight="251696128" behindDoc="0" locked="0" layoutInCell="1" allowOverlap="1" wp14:anchorId="2EE746D4" wp14:editId="7995080E">
              <wp:simplePos x="0" y="0"/>
              <wp:positionH relativeFrom="margin">
                <wp:align>right</wp:align>
              </wp:positionH>
              <wp:positionV relativeFrom="paragraph">
                <wp:posOffset>70267</wp:posOffset>
              </wp:positionV>
              <wp:extent cx="5983112" cy="0"/>
              <wp:effectExtent l="0" t="0" r="0" b="0"/>
              <wp:wrapNone/>
              <wp:docPr id="175" name="Прямая соединительная линия 175"/>
              <wp:cNvGraphicFramePr/>
              <a:graphic xmlns:a="http://schemas.openxmlformats.org/drawingml/2006/main">
                <a:graphicData uri="http://schemas.microsoft.com/office/word/2010/wordprocessingShape">
                  <wps:wsp>
                    <wps:cNvCnPr/>
                    <wps:spPr>
                      <a:xfrm>
                        <a:off x="0" y="0"/>
                        <a:ext cx="598311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0AB67E3A" id="Прямая соединительная линия 175" o:spid="_x0000_s1026" style="position:absolute;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9.9pt,5.55pt" to="8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2AEwIAAE0EAAAOAAAAZHJzL2Uyb0RvYy54bWysVM2O0zAQviPxDpbvNElRYYma7mFXy4Wf&#10;ip8HcB27teQ/2d6mvQFnpD4Cr8ABpJUWeIbkjRg7aYoAIYHIwfH8fTPzzSTz852SaMucF0ZXuJjk&#10;GDFNTS30usKvX13dO8PIB6JrIo1mFd4zj88Xd+/MG1uyqdkYWTOHAET7srEV3oRgyyzzdMMU8RNj&#10;mQYjN06RAKJbZ7UjDaArmU3z/EHWGFdbZyjzHrSXvREvEj7njIbnnHsWkKww1BbS6dK5ime2mJNy&#10;7YjdCDqUQf6hCkWEhqQj1CUJBF078QuUEtQZb3iYUKMyw7mgLPUA3RT5T9283BDLUi9AjrcjTf7/&#10;wdJn26VDoobZPZxhpImCIbUfujfdof3SfuwOqHvbfms/t5/am/Zre9O9g/tt9x7u0djeDuoDivHA&#10;ZmN9CaAXeukGyduli9TsuFPxDU2jXZrAfpwA2wVEQTl7dHa/KKYY0aMtOwVa58NjZhSKlwpLoSM5&#10;pCTbJz5AMnA9ukS11PH0Ror6SkiZhLhW7EI6tCWwEKt1kQDktXpq6l43y+GJjQBa2sLo3ksnJLBF&#10;9Cw227eXbmEvWZ/5BeNAKjTUJxiB+hyEUqZDMWSRGrxjGIcqx8A8VfbHwME/hrK06n8TPEakzEaH&#10;MVgJbdzvsofdsWTe+x8Z6PuOFKxMvU+DT9TAzibmhu8rfhQ/yin89BdYfAcAAP//AwBQSwMEFAAG&#10;AAgAAAAhAOSwQtPZAAAABgEAAA8AAABkcnMvZG93bnJldi54bWxMj0FPg0AQhe8m/ofNmHizC6Qx&#10;iixNg3rwprRpPE5hBFJ2lrALxX/vGA/2+N6bvPdNtllsr2YafefYQLyKQBFXru64MbDfvd49gPIB&#10;ucbeMRn4Jg+b/Poqw7R2Z/6guQyNkhL2KRpoQxhSrX3VkkW/cgOxZF9utBhEjo2uRzxLue11EkX3&#10;2mLHstDiQEVL1amcrAH7XLwcdtNczgWt35fPJtnj28GY25tl+wQq0BL+j+EXX9AhF6ajm7j2qjcg&#10;jwRx4xiUpI/rJAF1/DN0nulL/PwHAAD//wMAUEsBAi0AFAAGAAgAAAAhALaDOJL+AAAA4QEAABMA&#10;AAAAAAAAAAAAAAAAAAAAAFtDb250ZW50X1R5cGVzXS54bWxQSwECLQAUAAYACAAAACEAOP0h/9YA&#10;AACUAQAACwAAAAAAAAAAAAAAAAAvAQAAX3JlbHMvLnJlbHNQSwECLQAUAAYACAAAACEAlcNNgBMC&#10;AABNBAAADgAAAAAAAAAAAAAAAAAuAgAAZHJzL2Uyb0RvYy54bWxQSwECLQAUAAYACAAAACEA5LBC&#10;09kAAAAGAQAADwAAAAAAAAAAAAAAAABtBAAAZHJzL2Rvd25yZXYueG1sUEsFBgAAAAAEAAQA8wAA&#10;AHMFAAAAAA==&#10;" strokecolor="#7f7f7f [1612]"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B2FA7"/>
    <w:multiLevelType w:val="hybridMultilevel"/>
    <w:tmpl w:val="2FC87AE0"/>
    <w:lvl w:ilvl="0" w:tplc="4AE6BEDA">
      <w:start w:val="1"/>
      <w:numFmt w:val="decimal"/>
      <w:suff w:val="space"/>
      <w:lvlText w:val="%1."/>
      <w:lvlJc w:val="left"/>
      <w:pPr>
        <w:ind w:left="1211" w:hanging="360"/>
      </w:pPr>
      <w:rPr>
        <w:rFonts w:hint="default"/>
        <w:b w:val="0"/>
        <w:sz w:val="28"/>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 w15:restartNumberingAfterBreak="0">
    <w:nsid w:val="0D6765C2"/>
    <w:multiLevelType w:val="hybridMultilevel"/>
    <w:tmpl w:val="CB8A2060"/>
    <w:lvl w:ilvl="0" w:tplc="66645F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23412443"/>
    <w:multiLevelType w:val="hybridMultilevel"/>
    <w:tmpl w:val="B608E146"/>
    <w:lvl w:ilvl="0" w:tplc="409852D6">
      <w:start w:val="1"/>
      <w:numFmt w:val="bullet"/>
      <w:suff w:val="space"/>
      <w:lvlText w:val=""/>
      <w:lvlJc w:val="left"/>
      <w:pPr>
        <w:ind w:left="928"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 w15:restartNumberingAfterBreak="0">
    <w:nsid w:val="2D887646"/>
    <w:multiLevelType w:val="hybridMultilevel"/>
    <w:tmpl w:val="5BC2B078"/>
    <w:lvl w:ilvl="0" w:tplc="0CE62D6E">
      <w:start w:val="1"/>
      <w:numFmt w:val="bullet"/>
      <w:suff w:val="space"/>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3313CA"/>
    <w:multiLevelType w:val="hybridMultilevel"/>
    <w:tmpl w:val="FF6C6A5C"/>
    <w:lvl w:ilvl="0" w:tplc="2048CE7C">
      <w:start w:val="1"/>
      <w:numFmt w:val="decimal"/>
      <w:suff w:val="space"/>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32912042"/>
    <w:multiLevelType w:val="hybridMultilevel"/>
    <w:tmpl w:val="B8F888AA"/>
    <w:lvl w:ilvl="0" w:tplc="B2446818">
      <w:start w:val="1"/>
      <w:numFmt w:val="bullet"/>
      <w:suff w:val="space"/>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 w15:restartNumberingAfterBreak="0">
    <w:nsid w:val="75045A36"/>
    <w:multiLevelType w:val="hybridMultilevel"/>
    <w:tmpl w:val="3F867C86"/>
    <w:lvl w:ilvl="0" w:tplc="0994A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F763236"/>
    <w:multiLevelType w:val="hybridMultilevel"/>
    <w:tmpl w:val="061239A0"/>
    <w:lvl w:ilvl="0" w:tplc="0994AFCC">
      <w:start w:val="1"/>
      <w:numFmt w:val="bullet"/>
      <w:lvlText w:val=""/>
      <w:lvlJc w:val="left"/>
      <w:pPr>
        <w:ind w:left="1070"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4"/>
  </w:num>
  <w:num w:numId="6">
    <w:abstractNumId w:val="6"/>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E42"/>
    <w:rsid w:val="00004505"/>
    <w:rsid w:val="00023D89"/>
    <w:rsid w:val="000801C5"/>
    <w:rsid w:val="00080B0F"/>
    <w:rsid w:val="000815F4"/>
    <w:rsid w:val="00082975"/>
    <w:rsid w:val="000A128E"/>
    <w:rsid w:val="000A6577"/>
    <w:rsid w:val="000C3FA1"/>
    <w:rsid w:val="000C64B8"/>
    <w:rsid w:val="00122461"/>
    <w:rsid w:val="00131B41"/>
    <w:rsid w:val="00133452"/>
    <w:rsid w:val="001336DB"/>
    <w:rsid w:val="00134087"/>
    <w:rsid w:val="001432F9"/>
    <w:rsid w:val="001463C8"/>
    <w:rsid w:val="00150C6C"/>
    <w:rsid w:val="00163D5F"/>
    <w:rsid w:val="00172681"/>
    <w:rsid w:val="00190CE5"/>
    <w:rsid w:val="001B715E"/>
    <w:rsid w:val="001C04ED"/>
    <w:rsid w:val="001D0457"/>
    <w:rsid w:val="001D3299"/>
    <w:rsid w:val="001F2CEE"/>
    <w:rsid w:val="00201041"/>
    <w:rsid w:val="002212D3"/>
    <w:rsid w:val="0023687F"/>
    <w:rsid w:val="00251788"/>
    <w:rsid w:val="002542A0"/>
    <w:rsid w:val="00256D03"/>
    <w:rsid w:val="00263961"/>
    <w:rsid w:val="002706DB"/>
    <w:rsid w:val="00272F71"/>
    <w:rsid w:val="002827F3"/>
    <w:rsid w:val="0028539C"/>
    <w:rsid w:val="002B169F"/>
    <w:rsid w:val="002B25C9"/>
    <w:rsid w:val="002C39D4"/>
    <w:rsid w:val="002D200C"/>
    <w:rsid w:val="002D6C2B"/>
    <w:rsid w:val="002E0253"/>
    <w:rsid w:val="002E5521"/>
    <w:rsid w:val="0031710B"/>
    <w:rsid w:val="00317949"/>
    <w:rsid w:val="003512F0"/>
    <w:rsid w:val="00375059"/>
    <w:rsid w:val="003B2A62"/>
    <w:rsid w:val="003E2073"/>
    <w:rsid w:val="00424BB5"/>
    <w:rsid w:val="004477AF"/>
    <w:rsid w:val="00452B82"/>
    <w:rsid w:val="0045785D"/>
    <w:rsid w:val="00477F2C"/>
    <w:rsid w:val="00481EB4"/>
    <w:rsid w:val="00490BEB"/>
    <w:rsid w:val="0049764C"/>
    <w:rsid w:val="004A0F28"/>
    <w:rsid w:val="004A7310"/>
    <w:rsid w:val="004E7A46"/>
    <w:rsid w:val="004F6F4B"/>
    <w:rsid w:val="00504995"/>
    <w:rsid w:val="00512021"/>
    <w:rsid w:val="00540656"/>
    <w:rsid w:val="0054299B"/>
    <w:rsid w:val="00570BE4"/>
    <w:rsid w:val="00576B3D"/>
    <w:rsid w:val="005774B9"/>
    <w:rsid w:val="0058139C"/>
    <w:rsid w:val="00591A67"/>
    <w:rsid w:val="005A30A3"/>
    <w:rsid w:val="005A3669"/>
    <w:rsid w:val="005A5141"/>
    <w:rsid w:val="005C483A"/>
    <w:rsid w:val="005E1141"/>
    <w:rsid w:val="005E6341"/>
    <w:rsid w:val="00625EE6"/>
    <w:rsid w:val="006308DD"/>
    <w:rsid w:val="00631788"/>
    <w:rsid w:val="00635376"/>
    <w:rsid w:val="00637A9B"/>
    <w:rsid w:val="00643C4A"/>
    <w:rsid w:val="006608EE"/>
    <w:rsid w:val="00663CA4"/>
    <w:rsid w:val="0067467A"/>
    <w:rsid w:val="00682E42"/>
    <w:rsid w:val="006833F7"/>
    <w:rsid w:val="006970FE"/>
    <w:rsid w:val="006A7DC4"/>
    <w:rsid w:val="006C2BEF"/>
    <w:rsid w:val="006C5F38"/>
    <w:rsid w:val="006E1D00"/>
    <w:rsid w:val="007062C1"/>
    <w:rsid w:val="00723785"/>
    <w:rsid w:val="00726C96"/>
    <w:rsid w:val="00740F00"/>
    <w:rsid w:val="00755965"/>
    <w:rsid w:val="0076705E"/>
    <w:rsid w:val="007908B4"/>
    <w:rsid w:val="007D4E32"/>
    <w:rsid w:val="007E2F26"/>
    <w:rsid w:val="007F42C2"/>
    <w:rsid w:val="007F7CD1"/>
    <w:rsid w:val="008021EF"/>
    <w:rsid w:val="008214E9"/>
    <w:rsid w:val="00831945"/>
    <w:rsid w:val="00832D73"/>
    <w:rsid w:val="00860B50"/>
    <w:rsid w:val="00863ADB"/>
    <w:rsid w:val="0086778A"/>
    <w:rsid w:val="0087132A"/>
    <w:rsid w:val="0087559C"/>
    <w:rsid w:val="008A0869"/>
    <w:rsid w:val="008E362D"/>
    <w:rsid w:val="008F12E3"/>
    <w:rsid w:val="00900764"/>
    <w:rsid w:val="00913147"/>
    <w:rsid w:val="00927482"/>
    <w:rsid w:val="00931A27"/>
    <w:rsid w:val="00934431"/>
    <w:rsid w:val="009502CF"/>
    <w:rsid w:val="0095049F"/>
    <w:rsid w:val="009534EE"/>
    <w:rsid w:val="00955C44"/>
    <w:rsid w:val="00963998"/>
    <w:rsid w:val="00963F38"/>
    <w:rsid w:val="00974106"/>
    <w:rsid w:val="009775B3"/>
    <w:rsid w:val="009940AD"/>
    <w:rsid w:val="009952C8"/>
    <w:rsid w:val="009A7AA1"/>
    <w:rsid w:val="009D686C"/>
    <w:rsid w:val="009E4840"/>
    <w:rsid w:val="00A10E4E"/>
    <w:rsid w:val="00A245EB"/>
    <w:rsid w:val="00A50C84"/>
    <w:rsid w:val="00A72588"/>
    <w:rsid w:val="00A83117"/>
    <w:rsid w:val="00A854C7"/>
    <w:rsid w:val="00AA381B"/>
    <w:rsid w:val="00AB2550"/>
    <w:rsid w:val="00AE12A4"/>
    <w:rsid w:val="00AE58BC"/>
    <w:rsid w:val="00AF4DD8"/>
    <w:rsid w:val="00B22F39"/>
    <w:rsid w:val="00B36F38"/>
    <w:rsid w:val="00B52D76"/>
    <w:rsid w:val="00B538AD"/>
    <w:rsid w:val="00B906C3"/>
    <w:rsid w:val="00BB365B"/>
    <w:rsid w:val="00BD5E62"/>
    <w:rsid w:val="00BE678C"/>
    <w:rsid w:val="00BF5787"/>
    <w:rsid w:val="00C03C54"/>
    <w:rsid w:val="00C25166"/>
    <w:rsid w:val="00C61FD3"/>
    <w:rsid w:val="00CB6D6A"/>
    <w:rsid w:val="00CC49F3"/>
    <w:rsid w:val="00CC680C"/>
    <w:rsid w:val="00CC7C5A"/>
    <w:rsid w:val="00CE05EF"/>
    <w:rsid w:val="00CE10DF"/>
    <w:rsid w:val="00CE4F65"/>
    <w:rsid w:val="00D00221"/>
    <w:rsid w:val="00D040AF"/>
    <w:rsid w:val="00D2552F"/>
    <w:rsid w:val="00D30363"/>
    <w:rsid w:val="00D31F43"/>
    <w:rsid w:val="00D53B3C"/>
    <w:rsid w:val="00D55B53"/>
    <w:rsid w:val="00D650DE"/>
    <w:rsid w:val="00D768A1"/>
    <w:rsid w:val="00D87555"/>
    <w:rsid w:val="00DA0EAC"/>
    <w:rsid w:val="00DB3A90"/>
    <w:rsid w:val="00DC36B1"/>
    <w:rsid w:val="00DC4062"/>
    <w:rsid w:val="00DD5904"/>
    <w:rsid w:val="00DE0AA3"/>
    <w:rsid w:val="00DE5DF8"/>
    <w:rsid w:val="00DF0CC1"/>
    <w:rsid w:val="00E03F39"/>
    <w:rsid w:val="00E16DD0"/>
    <w:rsid w:val="00E170A9"/>
    <w:rsid w:val="00E3676A"/>
    <w:rsid w:val="00E45D43"/>
    <w:rsid w:val="00E71AA3"/>
    <w:rsid w:val="00EB142C"/>
    <w:rsid w:val="00EC2FE3"/>
    <w:rsid w:val="00EC52C1"/>
    <w:rsid w:val="00ED7463"/>
    <w:rsid w:val="00EF0147"/>
    <w:rsid w:val="00F00E1A"/>
    <w:rsid w:val="00F33FCE"/>
    <w:rsid w:val="00F3403F"/>
    <w:rsid w:val="00F55CBE"/>
    <w:rsid w:val="00FB6EC6"/>
    <w:rsid w:val="00FB799F"/>
    <w:rsid w:val="00FC2395"/>
    <w:rsid w:val="00FC293C"/>
    <w:rsid w:val="00FD047C"/>
    <w:rsid w:val="00FD2219"/>
    <w:rsid w:val="00FD4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EBE33A"/>
  <w15:chartTrackingRefBased/>
  <w15:docId w15:val="{D7D8FED8-AB93-425F-A951-ABCFCF71E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169F"/>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8E36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B16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B169F"/>
    <w:rPr>
      <w:rFonts w:asciiTheme="majorHAnsi" w:eastAsiaTheme="majorEastAsia" w:hAnsiTheme="majorHAnsi" w:cstheme="majorBidi"/>
      <w:color w:val="2F5496" w:themeColor="accent1" w:themeShade="BF"/>
      <w:sz w:val="26"/>
      <w:szCs w:val="26"/>
      <w:lang w:eastAsia="ru-RU"/>
    </w:rPr>
  </w:style>
  <w:style w:type="paragraph" w:styleId="a3">
    <w:name w:val="List Paragraph"/>
    <w:basedOn w:val="a"/>
    <w:uiPriority w:val="34"/>
    <w:qFormat/>
    <w:rsid w:val="002B169F"/>
    <w:pPr>
      <w:ind w:left="720"/>
      <w:contextualSpacing/>
    </w:pPr>
  </w:style>
  <w:style w:type="paragraph" w:styleId="a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5"/>
    <w:uiPriority w:val="99"/>
    <w:unhideWhenUsed/>
    <w:rsid w:val="002B169F"/>
    <w:pPr>
      <w:spacing w:after="0" w:line="240" w:lineRule="auto"/>
    </w:pPr>
    <w:rPr>
      <w:sz w:val="20"/>
      <w:szCs w:val="20"/>
    </w:rPr>
  </w:style>
  <w:style w:type="character" w:customStyle="1" w:styleId="a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4"/>
    <w:uiPriority w:val="99"/>
    <w:rsid w:val="002B169F"/>
    <w:rPr>
      <w:rFonts w:ascii="Calibri" w:eastAsia="Times New Roman" w:hAnsi="Calibri" w:cs="Times New Roman"/>
      <w:sz w:val="20"/>
      <w:szCs w:val="20"/>
      <w:lang w:eastAsia="ru-RU"/>
    </w:rPr>
  </w:style>
  <w:style w:type="character" w:styleId="a6">
    <w:name w:val="footnote reference"/>
    <w:aliases w:val="Знак сноски 1,Знак сноски-FN"/>
    <w:unhideWhenUsed/>
    <w:rsid w:val="002B169F"/>
    <w:rPr>
      <w:vertAlign w:val="superscript"/>
    </w:rPr>
  </w:style>
  <w:style w:type="paragraph" w:styleId="3">
    <w:name w:val="Body Text 3"/>
    <w:basedOn w:val="a"/>
    <w:link w:val="30"/>
    <w:uiPriority w:val="99"/>
    <w:rsid w:val="002B169F"/>
    <w:pPr>
      <w:spacing w:after="120"/>
    </w:pPr>
    <w:rPr>
      <w:rFonts w:eastAsia="Calibri"/>
      <w:sz w:val="16"/>
      <w:szCs w:val="16"/>
    </w:rPr>
  </w:style>
  <w:style w:type="character" w:customStyle="1" w:styleId="30">
    <w:name w:val="Основной текст 3 Знак"/>
    <w:basedOn w:val="a0"/>
    <w:link w:val="3"/>
    <w:uiPriority w:val="99"/>
    <w:rsid w:val="002B169F"/>
    <w:rPr>
      <w:rFonts w:ascii="Calibri" w:eastAsia="Calibri" w:hAnsi="Calibri" w:cs="Times New Roman"/>
      <w:sz w:val="16"/>
      <w:szCs w:val="16"/>
      <w:lang w:eastAsia="ru-RU"/>
    </w:rPr>
  </w:style>
  <w:style w:type="character" w:styleId="a7">
    <w:name w:val="annotation reference"/>
    <w:basedOn w:val="a0"/>
    <w:uiPriority w:val="99"/>
    <w:semiHidden/>
    <w:unhideWhenUsed/>
    <w:rsid w:val="002B169F"/>
    <w:rPr>
      <w:sz w:val="16"/>
      <w:szCs w:val="16"/>
    </w:rPr>
  </w:style>
  <w:style w:type="character" w:styleId="a8">
    <w:name w:val="Strong"/>
    <w:uiPriority w:val="22"/>
    <w:qFormat/>
    <w:rsid w:val="002B169F"/>
    <w:rPr>
      <w:rFonts w:cs="Times New Roman"/>
      <w:b/>
    </w:rPr>
  </w:style>
  <w:style w:type="paragraph" w:styleId="a9">
    <w:name w:val="Normal (Web)"/>
    <w:basedOn w:val="a"/>
    <w:uiPriority w:val="99"/>
    <w:semiHidden/>
    <w:unhideWhenUsed/>
    <w:rsid w:val="002B169F"/>
    <w:rPr>
      <w:rFonts w:ascii="Times New Roman" w:hAnsi="Times New Roman"/>
      <w:sz w:val="24"/>
      <w:szCs w:val="24"/>
    </w:rPr>
  </w:style>
  <w:style w:type="table" w:styleId="aa">
    <w:name w:val="Table Grid"/>
    <w:basedOn w:val="a1"/>
    <w:uiPriority w:val="59"/>
    <w:rsid w:val="002B169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1"/>
    <w:uiPriority w:val="46"/>
    <w:rsid w:val="0020104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b">
    <w:name w:val="annotation text"/>
    <w:basedOn w:val="a"/>
    <w:link w:val="ac"/>
    <w:uiPriority w:val="99"/>
    <w:semiHidden/>
    <w:unhideWhenUsed/>
    <w:rsid w:val="00643C4A"/>
    <w:pPr>
      <w:spacing w:line="240" w:lineRule="auto"/>
    </w:pPr>
    <w:rPr>
      <w:sz w:val="20"/>
      <w:szCs w:val="20"/>
    </w:rPr>
  </w:style>
  <w:style w:type="character" w:customStyle="1" w:styleId="ac">
    <w:name w:val="Текст примечания Знак"/>
    <w:basedOn w:val="a0"/>
    <w:link w:val="ab"/>
    <w:uiPriority w:val="99"/>
    <w:semiHidden/>
    <w:rsid w:val="00643C4A"/>
    <w:rPr>
      <w:rFonts w:ascii="Calibri" w:eastAsia="Times New Roman" w:hAnsi="Calibri" w:cs="Times New Roman"/>
      <w:sz w:val="20"/>
      <w:szCs w:val="20"/>
      <w:lang w:eastAsia="ru-RU"/>
    </w:rPr>
  </w:style>
  <w:style w:type="paragraph" w:styleId="ad">
    <w:name w:val="annotation subject"/>
    <w:basedOn w:val="ab"/>
    <w:next w:val="ab"/>
    <w:link w:val="ae"/>
    <w:uiPriority w:val="99"/>
    <w:semiHidden/>
    <w:unhideWhenUsed/>
    <w:rsid w:val="00643C4A"/>
    <w:rPr>
      <w:b/>
      <w:bCs/>
    </w:rPr>
  </w:style>
  <w:style w:type="character" w:customStyle="1" w:styleId="ae">
    <w:name w:val="Тема примечания Знак"/>
    <w:basedOn w:val="ac"/>
    <w:link w:val="ad"/>
    <w:uiPriority w:val="99"/>
    <w:semiHidden/>
    <w:rsid w:val="00643C4A"/>
    <w:rPr>
      <w:rFonts w:ascii="Calibri" w:eastAsia="Times New Roman" w:hAnsi="Calibri" w:cs="Times New Roman"/>
      <w:b/>
      <w:bCs/>
      <w:sz w:val="20"/>
      <w:szCs w:val="20"/>
      <w:lang w:eastAsia="ru-RU"/>
    </w:rPr>
  </w:style>
  <w:style w:type="paragraph" w:styleId="af">
    <w:name w:val="Revision"/>
    <w:hidden/>
    <w:uiPriority w:val="99"/>
    <w:semiHidden/>
    <w:rsid w:val="00643C4A"/>
    <w:pPr>
      <w:spacing w:after="0" w:line="240" w:lineRule="auto"/>
    </w:pPr>
    <w:rPr>
      <w:rFonts w:ascii="Calibri" w:eastAsia="Times New Roman" w:hAnsi="Calibri" w:cs="Times New Roman"/>
      <w:lang w:eastAsia="ru-RU"/>
    </w:rPr>
  </w:style>
  <w:style w:type="paragraph" w:styleId="af0">
    <w:name w:val="Balloon Text"/>
    <w:basedOn w:val="a"/>
    <w:link w:val="af1"/>
    <w:uiPriority w:val="99"/>
    <w:semiHidden/>
    <w:unhideWhenUsed/>
    <w:rsid w:val="00643C4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43C4A"/>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8E362D"/>
    <w:rPr>
      <w:rFonts w:asciiTheme="majorHAnsi" w:eastAsiaTheme="majorEastAsia" w:hAnsiTheme="majorHAnsi" w:cstheme="majorBidi"/>
      <w:color w:val="2F5496" w:themeColor="accent1" w:themeShade="BF"/>
      <w:sz w:val="32"/>
      <w:szCs w:val="32"/>
      <w:lang w:eastAsia="ru-RU"/>
    </w:rPr>
  </w:style>
  <w:style w:type="paragraph" w:styleId="af2">
    <w:name w:val="TOC Heading"/>
    <w:basedOn w:val="1"/>
    <w:next w:val="a"/>
    <w:uiPriority w:val="39"/>
    <w:unhideWhenUsed/>
    <w:qFormat/>
    <w:rsid w:val="008E362D"/>
    <w:pPr>
      <w:spacing w:line="259" w:lineRule="auto"/>
      <w:outlineLvl w:val="9"/>
    </w:pPr>
  </w:style>
  <w:style w:type="paragraph" w:styleId="11">
    <w:name w:val="toc 1"/>
    <w:basedOn w:val="a"/>
    <w:next w:val="a"/>
    <w:autoRedefine/>
    <w:uiPriority w:val="39"/>
    <w:unhideWhenUsed/>
    <w:rsid w:val="006833F7"/>
    <w:pPr>
      <w:tabs>
        <w:tab w:val="right" w:leader="dot" w:pos="9345"/>
      </w:tabs>
      <w:spacing w:after="100" w:line="240" w:lineRule="auto"/>
      <w:jc w:val="both"/>
    </w:pPr>
    <w:rPr>
      <w:rFonts w:ascii="Times New Roman" w:hAnsi="Times New Roman"/>
      <w:b/>
      <w:noProof/>
      <w:sz w:val="28"/>
      <w:szCs w:val="28"/>
    </w:rPr>
  </w:style>
  <w:style w:type="paragraph" w:styleId="21">
    <w:name w:val="toc 2"/>
    <w:basedOn w:val="a"/>
    <w:next w:val="a"/>
    <w:autoRedefine/>
    <w:uiPriority w:val="39"/>
    <w:unhideWhenUsed/>
    <w:rsid w:val="006833F7"/>
    <w:pPr>
      <w:tabs>
        <w:tab w:val="right" w:leader="dot" w:pos="9345"/>
      </w:tabs>
      <w:spacing w:after="0" w:line="240" w:lineRule="auto"/>
      <w:ind w:firstLine="284"/>
    </w:pPr>
    <w:rPr>
      <w:rFonts w:ascii="Times New Roman" w:hAnsi="Times New Roman"/>
      <w:b/>
      <w:noProof/>
      <w:sz w:val="28"/>
      <w:szCs w:val="28"/>
    </w:rPr>
  </w:style>
  <w:style w:type="paragraph" w:styleId="31">
    <w:name w:val="toc 3"/>
    <w:basedOn w:val="a"/>
    <w:next w:val="a"/>
    <w:autoRedefine/>
    <w:uiPriority w:val="39"/>
    <w:unhideWhenUsed/>
    <w:rsid w:val="008E362D"/>
    <w:pPr>
      <w:spacing w:after="100"/>
      <w:ind w:left="440"/>
    </w:pPr>
  </w:style>
  <w:style w:type="character" w:styleId="af3">
    <w:name w:val="Hyperlink"/>
    <w:basedOn w:val="a0"/>
    <w:uiPriority w:val="99"/>
    <w:unhideWhenUsed/>
    <w:rsid w:val="008E362D"/>
    <w:rPr>
      <w:color w:val="0563C1" w:themeColor="hyperlink"/>
      <w:u w:val="single"/>
    </w:rPr>
  </w:style>
  <w:style w:type="paragraph" w:styleId="af4">
    <w:name w:val="header"/>
    <w:basedOn w:val="a"/>
    <w:link w:val="af5"/>
    <w:uiPriority w:val="99"/>
    <w:unhideWhenUsed/>
    <w:rsid w:val="00863AD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863ADB"/>
    <w:rPr>
      <w:rFonts w:ascii="Calibri" w:eastAsia="Times New Roman" w:hAnsi="Calibri" w:cs="Times New Roman"/>
      <w:lang w:eastAsia="ru-RU"/>
    </w:rPr>
  </w:style>
  <w:style w:type="paragraph" w:styleId="af6">
    <w:name w:val="footer"/>
    <w:basedOn w:val="a"/>
    <w:link w:val="af7"/>
    <w:uiPriority w:val="99"/>
    <w:unhideWhenUsed/>
    <w:rsid w:val="00863AD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863ADB"/>
    <w:rPr>
      <w:rFonts w:ascii="Calibri" w:eastAsia="Times New Roman" w:hAnsi="Calibri" w:cs="Times New Roman"/>
      <w:lang w:eastAsia="ru-RU"/>
    </w:rPr>
  </w:style>
  <w:style w:type="character" w:styleId="af8">
    <w:name w:val="FollowedHyperlink"/>
    <w:basedOn w:val="a0"/>
    <w:uiPriority w:val="99"/>
    <w:semiHidden/>
    <w:unhideWhenUsed/>
    <w:rsid w:val="00540656"/>
    <w:rPr>
      <w:color w:val="954F72" w:themeColor="followedHyperlink"/>
      <w:u w:val="single"/>
    </w:rPr>
  </w:style>
  <w:style w:type="character" w:styleId="af9">
    <w:name w:val="Unresolved Mention"/>
    <w:basedOn w:val="a0"/>
    <w:uiPriority w:val="99"/>
    <w:semiHidden/>
    <w:unhideWhenUsed/>
    <w:rsid w:val="00BF5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212612">
      <w:bodyDiv w:val="1"/>
      <w:marLeft w:val="0"/>
      <w:marRight w:val="0"/>
      <w:marTop w:val="0"/>
      <w:marBottom w:val="0"/>
      <w:divBdr>
        <w:top w:val="none" w:sz="0" w:space="0" w:color="auto"/>
        <w:left w:val="none" w:sz="0" w:space="0" w:color="auto"/>
        <w:bottom w:val="none" w:sz="0" w:space="0" w:color="auto"/>
        <w:right w:val="none" w:sz="0" w:space="0" w:color="auto"/>
      </w:divBdr>
    </w:div>
    <w:div w:id="438793212">
      <w:bodyDiv w:val="1"/>
      <w:marLeft w:val="0"/>
      <w:marRight w:val="0"/>
      <w:marTop w:val="0"/>
      <w:marBottom w:val="0"/>
      <w:divBdr>
        <w:top w:val="none" w:sz="0" w:space="0" w:color="auto"/>
        <w:left w:val="none" w:sz="0" w:space="0" w:color="auto"/>
        <w:bottom w:val="none" w:sz="0" w:space="0" w:color="auto"/>
        <w:right w:val="none" w:sz="0" w:space="0" w:color="auto"/>
      </w:divBdr>
    </w:div>
    <w:div w:id="773747996">
      <w:bodyDiv w:val="1"/>
      <w:marLeft w:val="0"/>
      <w:marRight w:val="0"/>
      <w:marTop w:val="0"/>
      <w:marBottom w:val="0"/>
      <w:divBdr>
        <w:top w:val="none" w:sz="0" w:space="0" w:color="auto"/>
        <w:left w:val="none" w:sz="0" w:space="0" w:color="auto"/>
        <w:bottom w:val="none" w:sz="0" w:space="0" w:color="auto"/>
        <w:right w:val="none" w:sz="0" w:space="0" w:color="auto"/>
      </w:divBdr>
    </w:div>
    <w:div w:id="934170074">
      <w:bodyDiv w:val="1"/>
      <w:marLeft w:val="0"/>
      <w:marRight w:val="0"/>
      <w:marTop w:val="0"/>
      <w:marBottom w:val="0"/>
      <w:divBdr>
        <w:top w:val="none" w:sz="0" w:space="0" w:color="auto"/>
        <w:left w:val="none" w:sz="0" w:space="0" w:color="auto"/>
        <w:bottom w:val="none" w:sz="0" w:space="0" w:color="auto"/>
        <w:right w:val="none" w:sz="0" w:space="0" w:color="auto"/>
      </w:divBdr>
    </w:div>
    <w:div w:id="1247960192">
      <w:bodyDiv w:val="1"/>
      <w:marLeft w:val="0"/>
      <w:marRight w:val="0"/>
      <w:marTop w:val="0"/>
      <w:marBottom w:val="0"/>
      <w:divBdr>
        <w:top w:val="none" w:sz="0" w:space="0" w:color="auto"/>
        <w:left w:val="none" w:sz="0" w:space="0" w:color="auto"/>
        <w:bottom w:val="none" w:sz="0" w:space="0" w:color="auto"/>
        <w:right w:val="none" w:sz="0" w:space="0" w:color="auto"/>
      </w:divBdr>
    </w:div>
    <w:div w:id="1390348092">
      <w:bodyDiv w:val="1"/>
      <w:marLeft w:val="0"/>
      <w:marRight w:val="0"/>
      <w:marTop w:val="0"/>
      <w:marBottom w:val="0"/>
      <w:divBdr>
        <w:top w:val="none" w:sz="0" w:space="0" w:color="auto"/>
        <w:left w:val="none" w:sz="0" w:space="0" w:color="auto"/>
        <w:bottom w:val="none" w:sz="0" w:space="0" w:color="auto"/>
        <w:right w:val="none" w:sz="0" w:space="0" w:color="auto"/>
      </w:divBdr>
    </w:div>
    <w:div w:id="1480070350">
      <w:bodyDiv w:val="1"/>
      <w:marLeft w:val="0"/>
      <w:marRight w:val="0"/>
      <w:marTop w:val="0"/>
      <w:marBottom w:val="0"/>
      <w:divBdr>
        <w:top w:val="none" w:sz="0" w:space="0" w:color="auto"/>
        <w:left w:val="none" w:sz="0" w:space="0" w:color="auto"/>
        <w:bottom w:val="none" w:sz="0" w:space="0" w:color="auto"/>
        <w:right w:val="none" w:sz="0" w:space="0" w:color="auto"/>
      </w:divBdr>
    </w:div>
    <w:div w:id="1769961403">
      <w:bodyDiv w:val="1"/>
      <w:marLeft w:val="0"/>
      <w:marRight w:val="0"/>
      <w:marTop w:val="0"/>
      <w:marBottom w:val="0"/>
      <w:divBdr>
        <w:top w:val="none" w:sz="0" w:space="0" w:color="auto"/>
        <w:left w:val="none" w:sz="0" w:space="0" w:color="auto"/>
        <w:bottom w:val="none" w:sz="0" w:space="0" w:color="auto"/>
        <w:right w:val="none" w:sz="0" w:space="0" w:color="auto"/>
      </w:divBdr>
    </w:div>
    <w:div w:id="1949660213">
      <w:bodyDiv w:val="1"/>
      <w:marLeft w:val="0"/>
      <w:marRight w:val="0"/>
      <w:marTop w:val="0"/>
      <w:marBottom w:val="0"/>
      <w:divBdr>
        <w:top w:val="none" w:sz="0" w:space="0" w:color="auto"/>
        <w:left w:val="none" w:sz="0" w:space="0" w:color="auto"/>
        <w:bottom w:val="none" w:sz="0" w:space="0" w:color="auto"/>
        <w:right w:val="none" w:sz="0" w:space="0" w:color="auto"/>
      </w:divBdr>
    </w:div>
    <w:div w:id="208001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4.xml"/><Relationship Id="rId68" Type="http://schemas.openxmlformats.org/officeDocument/2006/relationships/chart" Target="charts/chart46.xml"/><Relationship Id="rId16" Type="http://schemas.openxmlformats.org/officeDocument/2006/relationships/chart" Target="charts/chart4.xml"/><Relationship Id="rId11" Type="http://schemas.openxmlformats.org/officeDocument/2006/relationships/chart" Target="charts/chart1.xml"/><Relationship Id="rId32" Type="http://schemas.openxmlformats.org/officeDocument/2006/relationships/image" Target="media/image8.png"/><Relationship Id="rId37" Type="http://schemas.openxmlformats.org/officeDocument/2006/relationships/chart" Target="charts/chart21.xml"/><Relationship Id="rId53" Type="http://schemas.openxmlformats.org/officeDocument/2006/relationships/header" Target="header7.xml"/><Relationship Id="rId58" Type="http://schemas.openxmlformats.org/officeDocument/2006/relationships/chart" Target="charts/chart39.xml"/><Relationship Id="rId74" Type="http://schemas.openxmlformats.org/officeDocument/2006/relationships/chart" Target="charts/chart49.xml"/><Relationship Id="rId79"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theme" Target="theme/theme1.xml"/><Relationship Id="rId19" Type="http://schemas.openxmlformats.org/officeDocument/2006/relationships/chart" Target="charts/chart7.xml"/><Relationship Id="rId14" Type="http://schemas.openxmlformats.org/officeDocument/2006/relationships/header" Target="header4.xml"/><Relationship Id="rId22" Type="http://schemas.openxmlformats.org/officeDocument/2006/relationships/chart" Target="charts/chart10.xml"/><Relationship Id="rId27" Type="http://schemas.openxmlformats.org/officeDocument/2006/relationships/image" Target="media/image5.png"/><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37.xml"/><Relationship Id="rId64" Type="http://schemas.openxmlformats.org/officeDocument/2006/relationships/header" Target="header8.xml"/><Relationship Id="rId69" Type="http://schemas.openxmlformats.org/officeDocument/2006/relationships/chart" Target="charts/chart47.xml"/><Relationship Id="rId77"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header" Target="header5.xml"/><Relationship Id="rId72" Type="http://schemas.openxmlformats.org/officeDocument/2006/relationships/header" Target="header12.xml"/><Relationship Id="rId80" Type="http://schemas.openxmlformats.org/officeDocument/2006/relationships/header" Target="header19.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0.xml"/><Relationship Id="rId67" Type="http://schemas.openxmlformats.org/officeDocument/2006/relationships/chart" Target="charts/chart45.xml"/><Relationship Id="rId20" Type="http://schemas.openxmlformats.org/officeDocument/2006/relationships/chart" Target="charts/chart8.xml"/><Relationship Id="rId41" Type="http://schemas.openxmlformats.org/officeDocument/2006/relationships/chart" Target="charts/chart25.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48.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6.png"/><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38.xml"/><Relationship Id="rId10" Type="http://schemas.openxmlformats.org/officeDocument/2006/relationships/header" Target="header2.xml"/><Relationship Id="rId31" Type="http://schemas.openxmlformats.org/officeDocument/2006/relationships/chart" Target="charts/chart16.xml"/><Relationship Id="rId44" Type="http://schemas.openxmlformats.org/officeDocument/2006/relationships/chart" Target="charts/chart28.xml"/><Relationship Id="rId52" Type="http://schemas.openxmlformats.org/officeDocument/2006/relationships/header" Target="header6.xml"/><Relationship Id="rId60" Type="http://schemas.openxmlformats.org/officeDocument/2006/relationships/chart" Target="charts/chart41.xml"/><Relationship Id="rId65" Type="http://schemas.openxmlformats.org/officeDocument/2006/relationships/header" Target="header9.xml"/><Relationship Id="rId73" Type="http://schemas.openxmlformats.org/officeDocument/2006/relationships/header" Target="header13.xml"/><Relationship Id="rId78" Type="http://schemas.openxmlformats.org/officeDocument/2006/relationships/header" Target="header17.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6.xm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6.xml"/><Relationship Id="rId76"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12.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header" Target="header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4.xml"/><Relationship Id="rId1" Type="http://schemas.microsoft.com/office/2011/relationships/chartStyle" Target="style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0.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7.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8.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4.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1.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8.xml"/><Relationship Id="rId1" Type="http://schemas.microsoft.com/office/2011/relationships/chartStyle" Target="style8.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9.xml"/><Relationship Id="rId1" Type="http://schemas.microsoft.com/office/2011/relationships/chartStyle" Target="style9.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7.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30.xlsx"/><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12.xml"/><Relationship Id="rId1" Type="http://schemas.microsoft.com/office/2011/relationships/chartStyle" Target="style12.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34.xlsx"/><Relationship Id="rId1" Type="http://schemas.openxmlformats.org/officeDocument/2006/relationships/themeOverride" Target="../theme/themeOverride21.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35.xlsx"/><Relationship Id="rId1" Type="http://schemas.openxmlformats.org/officeDocument/2006/relationships/themeOverride" Target="../theme/themeOverride22.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36.xlsx"/><Relationship Id="rId1" Type="http://schemas.openxmlformats.org/officeDocument/2006/relationships/themeOverride" Target="../theme/themeOverride23.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37.xlsx"/><Relationship Id="rId1" Type="http://schemas.openxmlformats.org/officeDocument/2006/relationships/themeOverride" Target="../theme/themeOverride24.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2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6.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2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7.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15.xml"/><Relationship Id="rId1" Type="http://schemas.microsoft.com/office/2011/relationships/chartStyle" Target="style15.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8.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45.xlsx"/><Relationship Id="rId1" Type="http://schemas.openxmlformats.org/officeDocument/2006/relationships/themeOverride" Target="../theme/themeOverride29.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30.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31.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3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83629567917843"/>
          <c:y val="0.15082034899239291"/>
          <c:w val="0.64748381596392668"/>
          <c:h val="0.7905983874317869"/>
        </c:manualLayout>
      </c:layout>
      <c:barChart>
        <c:barDir val="bar"/>
        <c:grouping val="stack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tx1">
                  <a:lumMod val="75000"/>
                  <a:lumOff val="25000"/>
                </a:schemeClr>
              </a:solidFill>
              <a:ln>
                <a:solidFill>
                  <a:schemeClr val="tx1"/>
                </a:solidFill>
              </a:ln>
              <a:effectLst/>
            </c:spPr>
            <c:extLst>
              <c:ext xmlns:c16="http://schemas.microsoft.com/office/drawing/2014/chart" uri="{C3380CC4-5D6E-409C-BE32-E72D297353CC}">
                <c16:uniqueId val="{00000001-BF5C-47E5-B63B-85B48E6C9C4C}"/>
              </c:ext>
            </c:extLst>
          </c:dPt>
          <c:dPt>
            <c:idx val="1"/>
            <c:invertIfNegative val="0"/>
            <c:bubble3D val="0"/>
            <c:spPr>
              <a:solidFill>
                <a:schemeClr val="bg1">
                  <a:lumMod val="95000"/>
                </a:schemeClr>
              </a:solidFill>
              <a:ln>
                <a:noFill/>
              </a:ln>
              <a:effectLst/>
            </c:spPr>
            <c:extLst>
              <c:ext xmlns:c16="http://schemas.microsoft.com/office/drawing/2014/chart" uri="{C3380CC4-5D6E-409C-BE32-E72D297353CC}">
                <c16:uniqueId val="{00000003-BF5C-47E5-B63B-85B48E6C9C4C}"/>
              </c:ext>
            </c:extLst>
          </c:dPt>
          <c:dPt>
            <c:idx val="2"/>
            <c:invertIfNegative val="0"/>
            <c:bubble3D val="0"/>
            <c:spPr>
              <a:solidFill>
                <a:schemeClr val="bg1">
                  <a:lumMod val="95000"/>
                </a:schemeClr>
              </a:solidFill>
              <a:ln>
                <a:noFill/>
              </a:ln>
              <a:effectLst/>
            </c:spPr>
            <c:extLst>
              <c:ext xmlns:c16="http://schemas.microsoft.com/office/drawing/2014/chart" uri="{C3380CC4-5D6E-409C-BE32-E72D297353CC}">
                <c16:uniqueId val="{00000005-BF5C-47E5-B63B-85B48E6C9C4C}"/>
              </c:ext>
            </c:extLst>
          </c:dPt>
          <c:dPt>
            <c:idx val="3"/>
            <c:invertIfNegative val="0"/>
            <c:bubble3D val="0"/>
            <c:spPr>
              <a:solidFill>
                <a:schemeClr val="bg1">
                  <a:lumMod val="95000"/>
                </a:schemeClr>
              </a:solidFill>
              <a:ln>
                <a:noFill/>
              </a:ln>
              <a:effectLst/>
            </c:spPr>
            <c:extLst>
              <c:ext xmlns:c16="http://schemas.microsoft.com/office/drawing/2014/chart" uri="{C3380CC4-5D6E-409C-BE32-E72D297353CC}">
                <c16:uniqueId val="{00000007-BF5C-47E5-B63B-85B48E6C9C4C}"/>
              </c:ext>
            </c:extLst>
          </c:dPt>
          <c:dPt>
            <c:idx val="4"/>
            <c:invertIfNegative val="0"/>
            <c:bubble3D val="0"/>
            <c:spPr>
              <a:solidFill>
                <a:schemeClr val="bg1">
                  <a:lumMod val="95000"/>
                </a:schemeClr>
              </a:solidFill>
              <a:ln>
                <a:noFill/>
              </a:ln>
              <a:effectLst/>
            </c:spPr>
            <c:extLst>
              <c:ext xmlns:c16="http://schemas.microsoft.com/office/drawing/2014/chart" uri="{C3380CC4-5D6E-409C-BE32-E72D297353CC}">
                <c16:uniqueId val="{00000009-BF5C-47E5-B63B-85B48E6C9C4C}"/>
              </c:ext>
            </c:extLst>
          </c:dPt>
          <c:dPt>
            <c:idx val="5"/>
            <c:invertIfNegative val="0"/>
            <c:bubble3D val="0"/>
            <c:spPr>
              <a:solidFill>
                <a:schemeClr val="tx1">
                  <a:lumMod val="75000"/>
                  <a:lumOff val="25000"/>
                </a:schemeClr>
              </a:solidFill>
              <a:ln>
                <a:solidFill>
                  <a:schemeClr val="tx1"/>
                </a:solidFill>
              </a:ln>
              <a:effectLst/>
            </c:spPr>
            <c:extLst>
              <c:ext xmlns:c16="http://schemas.microsoft.com/office/drawing/2014/chart" uri="{C3380CC4-5D6E-409C-BE32-E72D297353CC}">
                <c16:uniqueId val="{0000000B-BF5C-47E5-B63B-85B48E6C9C4C}"/>
              </c:ext>
            </c:extLst>
          </c:dPt>
          <c:dLbls>
            <c:dLbl>
              <c:idx val="0"/>
              <c:layout>
                <c:manualLayout>
                  <c:x val="0.26071339425511292"/>
                  <c:y val="9.71033980272711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5C-47E5-B63B-85B48E6C9C4C}"/>
                </c:ext>
              </c:extLst>
            </c:dLbl>
            <c:dLbl>
              <c:idx val="5"/>
              <c:layout>
                <c:manualLayout>
                  <c:x val="0.18168528766837214"/>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5C-47E5-B63B-85B48E6C9C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ВВП 2021 год</c:v>
                </c:pt>
                <c:pt idx="1">
                  <c:v>чистые налоги</c:v>
                </c:pt>
                <c:pt idx="2">
                  <c:v>нерыночные услуги</c:v>
                </c:pt>
                <c:pt idx="3">
                  <c:v>рыночные услуги</c:v>
                </c:pt>
                <c:pt idx="4">
                  <c:v>производство товаров</c:v>
                </c:pt>
                <c:pt idx="5">
                  <c:v>ВВП 2020 год</c:v>
                </c:pt>
              </c:strCache>
            </c:strRef>
          </c:cat>
          <c:val>
            <c:numRef>
              <c:f>Лист1!$B$2:$B$7</c:f>
              <c:numCache>
                <c:formatCode>#,##0.0</c:formatCode>
                <c:ptCount val="6"/>
                <c:pt idx="0">
                  <c:v>18912.599999999999</c:v>
                </c:pt>
                <c:pt idx="1">
                  <c:v>18868.3</c:v>
                </c:pt>
                <c:pt idx="2">
                  <c:v>18508.3</c:v>
                </c:pt>
                <c:pt idx="3">
                  <c:v>16898.3</c:v>
                </c:pt>
                <c:pt idx="4">
                  <c:v>14215.4</c:v>
                </c:pt>
                <c:pt idx="5">
                  <c:v>14215.4</c:v>
                </c:pt>
              </c:numCache>
            </c:numRef>
          </c:val>
          <c:extLst>
            <c:ext xmlns:c16="http://schemas.microsoft.com/office/drawing/2014/chart" uri="{C3380CC4-5D6E-409C-BE32-E72D297353CC}">
              <c16:uniqueId val="{0000000C-BF5C-47E5-B63B-85B48E6C9C4C}"/>
            </c:ext>
          </c:extLst>
        </c:ser>
        <c:ser>
          <c:idx val="1"/>
          <c:order val="1"/>
          <c:tx>
            <c:strRef>
              <c:f>Лист1!$C$1</c:f>
              <c:strCache>
                <c:ptCount val="1"/>
                <c:pt idx="0">
                  <c:v>Ряд 2</c:v>
                </c:pt>
              </c:strCache>
            </c:strRef>
          </c:tx>
          <c:spPr>
            <a:solidFill>
              <a:schemeClr val="bg1">
                <a:lumMod val="65000"/>
              </a:schemeClr>
            </a:solidFill>
            <a:ln>
              <a:solidFill>
                <a:schemeClr val="tx1"/>
              </a:solidFill>
            </a:ln>
            <a:effectLst/>
          </c:spPr>
          <c:invertIfNegative val="0"/>
          <c:dLbls>
            <c:dLbl>
              <c:idx val="1"/>
              <c:layout>
                <c:manualLayout>
                  <c:x val="2.9236712958128852E-2"/>
                  <c:y val="-1.4550096466308564E-16"/>
                </c:manualLayout>
              </c:layout>
              <c:tx>
                <c:rich>
                  <a:bodyPr/>
                  <a:lstStyle/>
                  <a:p>
                    <a:r>
                      <a:rPr lang="en-US"/>
                      <a:t>+</a:t>
                    </a:r>
                    <a:fld id="{266786CF-FFE6-46E5-AEAC-68EFEA4BD968}" type="VALUE">
                      <a:rPr lang="en-US"/>
                      <a:pPr/>
                      <a:t>[ЗНАЧЕНИЕ]</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F5C-47E5-B63B-85B48E6C9C4C}"/>
                </c:ext>
              </c:extLst>
            </c:dLbl>
            <c:dLbl>
              <c:idx val="2"/>
              <c:layout>
                <c:manualLayout>
                  <c:x val="3.9797979143097025E-2"/>
                  <c:y val="7.9365741358600386E-3"/>
                </c:manualLayout>
              </c:layout>
              <c:tx>
                <c:rich>
                  <a:bodyPr/>
                  <a:lstStyle/>
                  <a:p>
                    <a:r>
                      <a:rPr lang="en-US"/>
                      <a:t>+</a:t>
                    </a:r>
                    <a:fld id="{0BEA7F32-FB37-4547-865C-4CED571372AD}" type="VALUE">
                      <a:rPr lang="en-US"/>
                      <a:pPr/>
                      <a:t>[ЗНАЧЕНИЕ]</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F5C-47E5-B63B-85B48E6C9C4C}"/>
                </c:ext>
              </c:extLst>
            </c:dLbl>
            <c:dLbl>
              <c:idx val="3"/>
              <c:layout>
                <c:manualLayout>
                  <c:x val="6.4738413462006011E-2"/>
                  <c:y val="7.936782663819468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a:t>
                    </a:r>
                    <a:fld id="{1BA46453-56E9-49EE-A692-C9CB04279600}" type="VALUE">
                      <a:rPr lang="en-US">
                        <a:solidFill>
                          <a:sysClr val="windowText" lastClr="000000"/>
                        </a:solidFill>
                      </a:rPr>
                      <a:pPr>
                        <a:defRPr>
                          <a:solidFill>
                            <a:sysClr val="windowText" lastClr="000000"/>
                          </a:solidFill>
                          <a:latin typeface="Times New Roman" panose="02020603050405020304" pitchFamily="18" charset="0"/>
                          <a:cs typeface="Times New Roman" panose="02020603050405020304" pitchFamily="18" charset="0"/>
                        </a:defRPr>
                      </a:pPr>
                      <a:t>[ЗНАЧЕНИЕ]</a:t>
                    </a:fld>
                    <a:endParaRPr lang="en-US">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3876258983477212E-2"/>
                      <c:h val="5.2956509408781521E-2"/>
                    </c:manualLayout>
                  </c15:layout>
                  <c15:dlblFieldTable/>
                  <c15:showDataLabelsRange val="0"/>
                </c:ext>
                <c:ext xmlns:c16="http://schemas.microsoft.com/office/drawing/2014/chart" uri="{C3380CC4-5D6E-409C-BE32-E72D297353CC}">
                  <c16:uniqueId val="{0000000F-BF5C-47E5-B63B-85B48E6C9C4C}"/>
                </c:ext>
              </c:extLst>
            </c:dLbl>
            <c:dLbl>
              <c:idx val="4"/>
              <c:layout>
                <c:manualLayout>
                  <c:x val="8.9499745528927047E-2"/>
                  <c:y val="-3.9682870679300679E-3"/>
                </c:manualLayout>
              </c:layout>
              <c:tx>
                <c:rich>
                  <a:bodyPr/>
                  <a:lstStyle/>
                  <a:p>
                    <a:r>
                      <a:rPr lang="en-US"/>
                      <a:t>+</a:t>
                    </a:r>
                    <a:fld id="{593721D8-2579-45FA-95BA-5A7503634881}" type="VALUE">
                      <a:rPr lang="en-US"/>
                      <a:pPr/>
                      <a:t>[ЗНАЧЕНИЕ]</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F5C-47E5-B63B-85B48E6C9C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ВВП 2021 год</c:v>
                </c:pt>
                <c:pt idx="1">
                  <c:v>чистые налоги</c:v>
                </c:pt>
                <c:pt idx="2">
                  <c:v>нерыночные услуги</c:v>
                </c:pt>
                <c:pt idx="3">
                  <c:v>рыночные услуги</c:v>
                </c:pt>
                <c:pt idx="4">
                  <c:v>производство товаров</c:v>
                </c:pt>
                <c:pt idx="5">
                  <c:v>ВВП 2020 год</c:v>
                </c:pt>
              </c:strCache>
            </c:strRef>
          </c:cat>
          <c:val>
            <c:numRef>
              <c:f>Лист1!$C$2:$C$7</c:f>
              <c:numCache>
                <c:formatCode>#,##0.0</c:formatCode>
                <c:ptCount val="6"/>
                <c:pt idx="1">
                  <c:v>44.3</c:v>
                </c:pt>
                <c:pt idx="2">
                  <c:v>360</c:v>
                </c:pt>
                <c:pt idx="3">
                  <c:v>1610</c:v>
                </c:pt>
                <c:pt idx="4">
                  <c:v>2682.9</c:v>
                </c:pt>
              </c:numCache>
            </c:numRef>
          </c:val>
          <c:extLst>
            <c:ext xmlns:c16="http://schemas.microsoft.com/office/drawing/2014/chart" uri="{C3380CC4-5D6E-409C-BE32-E72D297353CC}">
              <c16:uniqueId val="{00000011-BF5C-47E5-B63B-85B48E6C9C4C}"/>
            </c:ext>
          </c:extLst>
        </c:ser>
        <c:dLbls>
          <c:showLegendKey val="0"/>
          <c:showVal val="0"/>
          <c:showCatName val="0"/>
          <c:showSerName val="0"/>
          <c:showPercent val="0"/>
          <c:showBubbleSize val="0"/>
        </c:dLbls>
        <c:gapWidth val="5"/>
        <c:overlap val="100"/>
        <c:axId val="228689672"/>
        <c:axId val="228688360"/>
      </c:barChart>
      <c:valAx>
        <c:axId val="228688360"/>
        <c:scaling>
          <c:orientation val="minMax"/>
        </c:scaling>
        <c:delete val="1"/>
        <c:axPos val="t"/>
        <c:numFmt formatCode="#,##0.0" sourceLinked="1"/>
        <c:majorTickMark val="out"/>
        <c:minorTickMark val="none"/>
        <c:tickLblPos val="nextTo"/>
        <c:crossAx val="228689672"/>
        <c:crosses val="max"/>
        <c:crossBetween val="between"/>
      </c:valAx>
      <c:catAx>
        <c:axId val="2286896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68836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550524934383236E-2"/>
          <c:y val="2.4378352023403264E-2"/>
          <c:w val="0.92498651210265359"/>
          <c:h val="0.76081419856647725"/>
        </c:manualLayout>
      </c:layout>
      <c:barChart>
        <c:barDir val="col"/>
        <c:grouping val="clustered"/>
        <c:varyColors val="0"/>
        <c:ser>
          <c:idx val="0"/>
          <c:order val="0"/>
          <c:tx>
            <c:strRef>
              <c:f>Лист1!$A$2</c:f>
              <c:strCache>
                <c:ptCount val="1"/>
                <c:pt idx="0">
                  <c:v>2021 год</c:v>
                </c:pt>
              </c:strCache>
            </c:strRef>
          </c:tx>
          <c:spPr>
            <a:solidFill>
              <a:srgbClr val="595959"/>
            </a:solidFill>
            <a:ln>
              <a:noFill/>
            </a:ln>
            <a:effectLst>
              <a:outerShdw blurRad="40000" dist="23000" dir="5400000" rotWithShape="0">
                <a:srgbClr val="000000">
                  <a:alpha val="35000"/>
                </a:srgbClr>
              </a:outerShdw>
            </a:effectLst>
            <a:scene3d>
              <a:camera prst="orthographicFront"/>
              <a:lightRig rig="threePt" dir="t"/>
            </a:scene3d>
            <a:sp3d/>
          </c:spPr>
          <c:invertIfNegative val="0"/>
          <c:dLbls>
            <c:dLbl>
              <c:idx val="0"/>
              <c:layout>
                <c:manualLayout>
                  <c:x val="0"/>
                  <c:y val="7.8985860555826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CE-4E77-97D5-DE520A5D10A4}"/>
                </c:ext>
              </c:extLst>
            </c:dLbl>
            <c:dLbl>
              <c:idx val="2"/>
              <c:layout>
                <c:manualLayout>
                  <c:x val="4.243778136006674E-17"/>
                  <c:y val="9.84885421745489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CE-4E77-97D5-DE520A5D10A4}"/>
                </c:ext>
              </c:extLst>
            </c:dLbl>
            <c:dLbl>
              <c:idx val="3"/>
              <c:layout>
                <c:manualLayout>
                  <c:x val="0"/>
                  <c:y val="7.41101901511458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CE-4E77-97D5-DE520A5D10A4}"/>
                </c:ext>
              </c:extLst>
            </c:dLbl>
            <c:dLbl>
              <c:idx val="6"/>
              <c:layout>
                <c:manualLayout>
                  <c:x val="0"/>
                  <c:y val="8.87372013651877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CE-4E77-97D5-DE520A5D10A4}"/>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Лист1!$B$2:$M$2</c:f>
              <c:numCache>
                <c:formatCode>General</c:formatCode>
                <c:ptCount val="12"/>
                <c:pt idx="0" formatCode="#,##0.00">
                  <c:v>9.3750000000000018</c:v>
                </c:pt>
                <c:pt idx="1">
                  <c:v>17.114000000000004</c:v>
                </c:pt>
                <c:pt idx="2">
                  <c:v>37.201000000000001</c:v>
                </c:pt>
                <c:pt idx="3">
                  <c:v>56.850999999999999</c:v>
                </c:pt>
                <c:pt idx="4">
                  <c:v>52.339000000000006</c:v>
                </c:pt>
                <c:pt idx="5">
                  <c:v>68.22</c:v>
                </c:pt>
                <c:pt idx="6">
                  <c:v>71.308999999999983</c:v>
                </c:pt>
                <c:pt idx="7">
                  <c:v>73.5</c:v>
                </c:pt>
                <c:pt idx="8" formatCode="0.0">
                  <c:v>78</c:v>
                </c:pt>
                <c:pt idx="9">
                  <c:v>33.5</c:v>
                </c:pt>
                <c:pt idx="10">
                  <c:v>52.1</c:v>
                </c:pt>
                <c:pt idx="11">
                  <c:v>29.4</c:v>
                </c:pt>
              </c:numCache>
            </c:numRef>
          </c:val>
          <c:extLst>
            <c:ext xmlns:c16="http://schemas.microsoft.com/office/drawing/2014/chart" uri="{C3380CC4-5D6E-409C-BE32-E72D297353CC}">
              <c16:uniqueId val="{00000004-0ACE-4E77-97D5-DE520A5D10A4}"/>
            </c:ext>
          </c:extLst>
        </c:ser>
        <c:dLbls>
          <c:showLegendKey val="0"/>
          <c:showVal val="0"/>
          <c:showCatName val="0"/>
          <c:showSerName val="0"/>
          <c:showPercent val="0"/>
          <c:showBubbleSize val="0"/>
        </c:dLbls>
        <c:gapWidth val="113"/>
        <c:axId val="106633088"/>
        <c:axId val="106634624"/>
      </c:barChart>
      <c:lineChart>
        <c:grouping val="standard"/>
        <c:varyColors val="0"/>
        <c:ser>
          <c:idx val="2"/>
          <c:order val="2"/>
          <c:tx>
            <c:strRef>
              <c:f>Лист1!$A$4</c:f>
              <c:strCache>
                <c:ptCount val="1"/>
                <c:pt idx="0">
                  <c:v>средний уровень 2020 года</c:v>
                </c:pt>
              </c:strCache>
            </c:strRef>
          </c:tx>
          <c:spPr>
            <a:ln w="19050">
              <a:solidFill>
                <a:sysClr val="windowText" lastClr="000000"/>
              </a:solidFill>
            </a:ln>
          </c:spPr>
          <c:marker>
            <c:symbol val="none"/>
          </c:marker>
          <c:dLbls>
            <c:dLbl>
              <c:idx val="6"/>
              <c:layout>
                <c:manualLayout>
                  <c:x val="0.36408351941081996"/>
                  <c:y val="6.2357277542473711E-3"/>
                </c:manualLayout>
              </c:layout>
              <c:tx>
                <c:rich>
                  <a:bodyPr/>
                  <a:lstStyle/>
                  <a:p>
                    <a:r>
                      <a:rPr lang="en-US"/>
                      <a:t>49,8</a:t>
                    </a:r>
                  </a:p>
                </c:rich>
              </c:tx>
              <c:showLegendKey val="0"/>
              <c:showVal val="1"/>
              <c:showCatName val="0"/>
              <c:showSerName val="0"/>
              <c:showPercent val="0"/>
              <c:showBubbleSize val="0"/>
              <c:extLst>
                <c:ext xmlns:c15="http://schemas.microsoft.com/office/drawing/2012/chart" uri="{CE6537A1-D6FC-4f65-9D91-7224C49458BB}">
                  <c15:layout>
                    <c:manualLayout>
                      <c:w val="7.407407407407407E-2"/>
                      <c:h val="5.9483178937103844E-2"/>
                    </c:manualLayout>
                  </c15:layout>
                </c:ext>
                <c:ext xmlns:c16="http://schemas.microsoft.com/office/drawing/2014/chart" uri="{C3380CC4-5D6E-409C-BE32-E72D297353CC}">
                  <c16:uniqueId val="{00000005-0ACE-4E77-97D5-DE520A5D10A4}"/>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General</c:formatCode>
                <c:ptCount val="12"/>
                <c:pt idx="0">
                  <c:v>49.778000000000006</c:v>
                </c:pt>
                <c:pt idx="1">
                  <c:v>49.778000000000006</c:v>
                </c:pt>
                <c:pt idx="2">
                  <c:v>49.778000000000006</c:v>
                </c:pt>
                <c:pt idx="3">
                  <c:v>49.778000000000006</c:v>
                </c:pt>
                <c:pt idx="4">
                  <c:v>49.778000000000006</c:v>
                </c:pt>
                <c:pt idx="5">
                  <c:v>49.778000000000006</c:v>
                </c:pt>
                <c:pt idx="6">
                  <c:v>49.778000000000006</c:v>
                </c:pt>
                <c:pt idx="7">
                  <c:v>49.778000000000006</c:v>
                </c:pt>
                <c:pt idx="8">
                  <c:v>49.778000000000006</c:v>
                </c:pt>
                <c:pt idx="9">
                  <c:v>49.778000000000006</c:v>
                </c:pt>
                <c:pt idx="10">
                  <c:v>49.778000000000006</c:v>
                </c:pt>
                <c:pt idx="11">
                  <c:v>49.778000000000006</c:v>
                </c:pt>
              </c:numCache>
            </c:numRef>
          </c:val>
          <c:smooth val="0"/>
          <c:extLst>
            <c:ext xmlns:c16="http://schemas.microsoft.com/office/drawing/2014/chart" uri="{C3380CC4-5D6E-409C-BE32-E72D297353CC}">
              <c16:uniqueId val="{00000006-0ACE-4E77-97D5-DE520A5D10A4}"/>
            </c:ext>
          </c:extLst>
        </c:ser>
        <c:dLbls>
          <c:showLegendKey val="0"/>
          <c:showVal val="0"/>
          <c:showCatName val="0"/>
          <c:showSerName val="0"/>
          <c:showPercent val="0"/>
          <c:showBubbleSize val="0"/>
        </c:dLbls>
        <c:marker val="1"/>
        <c:smooth val="0"/>
        <c:axId val="106633088"/>
        <c:axId val="106634624"/>
      </c:lineChart>
      <c:lineChart>
        <c:grouping val="standard"/>
        <c:varyColors val="0"/>
        <c:ser>
          <c:idx val="1"/>
          <c:order val="1"/>
          <c:tx>
            <c:strRef>
              <c:f>Лист1!$A$3</c:f>
              <c:strCache>
                <c:ptCount val="1"/>
                <c:pt idx="0">
                  <c:v>для темпов</c:v>
                </c:pt>
              </c:strCache>
            </c:strRef>
          </c:tx>
          <c:spPr>
            <a:ln>
              <a:tailEnd type="triangle"/>
            </a:ln>
            <a:effectLst>
              <a:outerShdw blurRad="40000" dist="23000" dir="5400000" rotWithShape="0">
                <a:srgbClr val="000000">
                  <a:alpha val="35000"/>
                </a:srgbClr>
              </a:outerShdw>
            </a:effectLst>
          </c:spPr>
          <c:marker>
            <c:symbol val="none"/>
          </c:marker>
          <c:dPt>
            <c:idx val="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8-0ACE-4E77-97D5-DE520A5D10A4}"/>
              </c:ext>
            </c:extLst>
          </c:dPt>
          <c:dPt>
            <c:idx val="2"/>
            <c:bubble3D val="0"/>
            <c:spPr>
              <a:ln>
                <a:solidFill>
                  <a:sysClr val="window" lastClr="FFFFFF">
                    <a:lumMod val="65000"/>
                  </a:sys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A-0ACE-4E77-97D5-DE520A5D10A4}"/>
              </c:ext>
            </c:extLst>
          </c:dPt>
          <c:dPt>
            <c:idx val="3"/>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C-0ACE-4E77-97D5-DE520A5D10A4}"/>
              </c:ext>
            </c:extLst>
          </c:dPt>
          <c:dPt>
            <c:idx val="4"/>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E-0ACE-4E77-97D5-DE520A5D10A4}"/>
              </c:ext>
            </c:extLst>
          </c:dPt>
          <c:dPt>
            <c:idx val="5"/>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0-0ACE-4E77-97D5-DE520A5D10A4}"/>
              </c:ext>
            </c:extLst>
          </c:dPt>
          <c:dPt>
            <c:idx val="6"/>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2-0ACE-4E77-97D5-DE520A5D10A4}"/>
              </c:ext>
            </c:extLst>
          </c:dPt>
          <c:dPt>
            <c:idx val="7"/>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4-0ACE-4E77-97D5-DE520A5D10A4}"/>
              </c:ext>
            </c:extLst>
          </c:dPt>
          <c:dPt>
            <c:idx val="8"/>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6-0ACE-4E77-97D5-DE520A5D10A4}"/>
              </c:ext>
            </c:extLst>
          </c:dPt>
          <c:dPt>
            <c:idx val="9"/>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8-0ACE-4E77-97D5-DE520A5D10A4}"/>
              </c:ext>
            </c:extLst>
          </c:dPt>
          <c:dPt>
            <c:idx val="10"/>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A-0ACE-4E77-97D5-DE520A5D10A4}"/>
              </c:ext>
            </c:extLst>
          </c:dPt>
          <c:dPt>
            <c:idx val="1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C-0ACE-4E77-97D5-DE520A5D10A4}"/>
              </c:ext>
            </c:extLst>
          </c:dPt>
          <c:dLbls>
            <c:dLbl>
              <c:idx val="0"/>
              <c:delete val="1"/>
              <c:extLst>
                <c:ext xmlns:c15="http://schemas.microsoft.com/office/drawing/2012/chart" uri="{CE6537A1-D6FC-4f65-9D91-7224C49458BB}"/>
                <c:ext xmlns:c16="http://schemas.microsoft.com/office/drawing/2014/chart" uri="{C3380CC4-5D6E-409C-BE32-E72D297353CC}">
                  <c16:uniqueId val="{0000001D-0ACE-4E77-97D5-DE520A5D10A4}"/>
                </c:ext>
              </c:extLst>
            </c:dLbl>
            <c:dLbl>
              <c:idx val="1"/>
              <c:layout>
                <c:manualLayout>
                  <c:x val="-0.12075222368037329"/>
                  <c:y val="3.4434902121876415E-2"/>
                </c:manualLayout>
              </c:layout>
              <c:tx>
                <c:rich>
                  <a:bodyPr/>
                  <a:lstStyle/>
                  <a:p>
                    <a:r>
                      <a:rPr lang="en-US"/>
                      <a:t>+82,5%</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8-0ACE-4E77-97D5-DE520A5D10A4}"/>
                </c:ext>
              </c:extLst>
            </c:dLbl>
            <c:dLbl>
              <c:idx val="2"/>
              <c:layout>
                <c:manualLayout>
                  <c:x val="-0.13348370516185476"/>
                  <c:y val="8.075377096634255E-2"/>
                </c:manualLayout>
              </c:layout>
              <c:tx>
                <c:rich>
                  <a:bodyPr/>
                  <a:lstStyle/>
                  <a:p>
                    <a:r>
                      <a:rPr lang="en-US"/>
                      <a:t>+117,4%</a:t>
                    </a:r>
                  </a:p>
                </c:rich>
              </c:tx>
              <c:dLblPos val="r"/>
              <c:showLegendKey val="0"/>
              <c:showVal val="1"/>
              <c:showCatName val="0"/>
              <c:showSerName val="0"/>
              <c:showPercent val="0"/>
              <c:showBubbleSize val="0"/>
              <c:extLst>
                <c:ext xmlns:c15="http://schemas.microsoft.com/office/drawing/2012/chart" uri="{CE6537A1-D6FC-4f65-9D91-7224C49458BB}">
                  <c15:layout>
                    <c:manualLayout>
                      <c:w val="9.6446850393700781E-2"/>
                      <c:h val="4.4856167723061918E-2"/>
                    </c:manualLayout>
                  </c15:layout>
                </c:ext>
                <c:ext xmlns:c16="http://schemas.microsoft.com/office/drawing/2014/chart" uri="{C3380CC4-5D6E-409C-BE32-E72D297353CC}">
                  <c16:uniqueId val="{0000000A-0ACE-4E77-97D5-DE520A5D10A4}"/>
                </c:ext>
              </c:extLst>
            </c:dLbl>
            <c:dLbl>
              <c:idx val="3"/>
              <c:layout>
                <c:manualLayout>
                  <c:x val="-0.11158254303156857"/>
                  <c:y val="6.7861496392448886E-2"/>
                </c:manualLayout>
              </c:layout>
              <c:tx>
                <c:rich>
                  <a:bodyPr/>
                  <a:lstStyle/>
                  <a:p>
                    <a:r>
                      <a:rPr lang="en-US"/>
                      <a:t>+52,8%</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C-0ACE-4E77-97D5-DE520A5D10A4}"/>
                </c:ext>
              </c:extLst>
            </c:dLbl>
            <c:dLbl>
              <c:idx val="4"/>
              <c:layout>
                <c:manualLayout>
                  <c:x val="-0.10692719435623041"/>
                  <c:y val="-1.8494382762824103E-2"/>
                </c:manualLayout>
              </c:layout>
              <c:tx>
                <c:rich>
                  <a:bodyPr/>
                  <a:lstStyle/>
                  <a:p>
                    <a:r>
                      <a:rPr lang="en-US"/>
                      <a:t>-7,9%</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E-0ACE-4E77-97D5-DE520A5D10A4}"/>
                </c:ext>
              </c:extLst>
            </c:dLbl>
            <c:dLbl>
              <c:idx val="5"/>
              <c:layout>
                <c:manualLayout>
                  <c:x val="-0.10929320557996551"/>
                  <c:y val="5.1828375009609115E-2"/>
                </c:manualLayout>
              </c:layout>
              <c:tx>
                <c:rich>
                  <a:bodyPr/>
                  <a:lstStyle/>
                  <a:p>
                    <a:r>
                      <a:rPr lang="en-US"/>
                      <a:t>+30,3%</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10-0ACE-4E77-97D5-DE520A5D10A4}"/>
                </c:ext>
              </c:extLst>
            </c:dLbl>
            <c:dLbl>
              <c:idx val="6"/>
              <c:layout>
                <c:manualLayout>
                  <c:x val="-0.11389725714534309"/>
                  <c:y val="4.4775365422418433E-3"/>
                </c:manualLayout>
              </c:layout>
              <c:tx>
                <c:rich>
                  <a:bodyPr/>
                  <a:lstStyle/>
                  <a:p>
                    <a:r>
                      <a:rPr lang="en-US"/>
                      <a:t>+4,5%</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12-0ACE-4E77-97D5-DE520A5D10A4}"/>
                </c:ext>
              </c:extLst>
            </c:dLbl>
            <c:dLbl>
              <c:idx val="7"/>
              <c:layout>
                <c:manualLayout>
                  <c:x val="-0.10183117739169426"/>
                  <c:y val="7.6490057552185105E-3"/>
                </c:manualLayout>
              </c:layout>
              <c:tx>
                <c:rich>
                  <a:bodyPr/>
                  <a:lstStyle/>
                  <a:p>
                    <a:r>
                      <a:rPr lang="en-US"/>
                      <a:t>+3,1%</a:t>
                    </a:r>
                  </a:p>
                </c:rich>
              </c:tx>
              <c:dLblPos val="r"/>
              <c:showLegendKey val="0"/>
              <c:showVal val="1"/>
              <c:showCatName val="0"/>
              <c:showSerName val="0"/>
              <c:showPercent val="0"/>
              <c:showBubbleSize val="0"/>
              <c:extLst>
                <c:ext xmlns:c15="http://schemas.microsoft.com/office/drawing/2012/chart" uri="{CE6537A1-D6FC-4f65-9D91-7224C49458BB}">
                  <c15:layout>
                    <c:manualLayout>
                      <c:w val="6.5304344419634119E-2"/>
                      <c:h val="5.5277948825448397E-2"/>
                    </c:manualLayout>
                  </c15:layout>
                </c:ext>
                <c:ext xmlns:c16="http://schemas.microsoft.com/office/drawing/2014/chart" uri="{C3380CC4-5D6E-409C-BE32-E72D297353CC}">
                  <c16:uniqueId val="{00000014-0ACE-4E77-97D5-DE520A5D10A4}"/>
                </c:ext>
              </c:extLst>
            </c:dLbl>
            <c:dLbl>
              <c:idx val="8"/>
              <c:layout>
                <c:manualLayout>
                  <c:x val="-8.5385043287499615E-2"/>
                  <c:y val="-5.5528624645713046E-3"/>
                </c:manualLayout>
              </c:layout>
              <c:tx>
                <c:rich>
                  <a:bodyPr/>
                  <a:lstStyle/>
                  <a:p>
                    <a:r>
                      <a:rPr lang="en-US"/>
                      <a:t>+6,0%</a:t>
                    </a:r>
                  </a:p>
                </c:rich>
              </c:tx>
              <c:dLblPos val="r"/>
              <c:showLegendKey val="0"/>
              <c:showVal val="1"/>
              <c:showCatName val="0"/>
              <c:showSerName val="0"/>
              <c:showPercent val="0"/>
              <c:showBubbleSize val="0"/>
              <c:extLst>
                <c:ext xmlns:c15="http://schemas.microsoft.com/office/drawing/2012/chart" uri="{CE6537A1-D6FC-4f65-9D91-7224C49458BB}">
                  <c15:layout>
                    <c:manualLayout>
                      <c:w val="6.5629176949896187E-2"/>
                      <c:h val="5.5277948825448397E-2"/>
                    </c:manualLayout>
                  </c15:layout>
                </c:ext>
                <c:ext xmlns:c16="http://schemas.microsoft.com/office/drawing/2014/chart" uri="{C3380CC4-5D6E-409C-BE32-E72D297353CC}">
                  <c16:uniqueId val="{00000016-0ACE-4E77-97D5-DE520A5D10A4}"/>
                </c:ext>
              </c:extLst>
            </c:dLbl>
            <c:dLbl>
              <c:idx val="9"/>
              <c:layout>
                <c:manualLayout>
                  <c:x val="-5.6173820879703233E-2"/>
                  <c:y val="-0.12554112554112556"/>
                </c:manualLayout>
              </c:layout>
              <c:tx>
                <c:rich>
                  <a:bodyPr/>
                  <a:lstStyle/>
                  <a:p>
                    <a:r>
                      <a:rPr lang="en-US"/>
                      <a:t>-57,0%</a:t>
                    </a:r>
                  </a:p>
                </c:rich>
              </c:tx>
              <c:dLblPos val="r"/>
              <c:showLegendKey val="0"/>
              <c:showVal val="1"/>
              <c:showCatName val="0"/>
              <c:showSerName val="0"/>
              <c:showPercent val="0"/>
              <c:showBubbleSize val="0"/>
              <c:extLst>
                <c:ext xmlns:c15="http://schemas.microsoft.com/office/drawing/2012/chart" uri="{CE6537A1-D6FC-4f65-9D91-7224C49458BB}">
                  <c15:layout>
                    <c:manualLayout>
                      <c:w val="7.2771595124536306E-2"/>
                      <c:h val="6.1471861471861469E-2"/>
                    </c:manualLayout>
                  </c15:layout>
                </c:ext>
                <c:ext xmlns:c16="http://schemas.microsoft.com/office/drawing/2014/chart" uri="{C3380CC4-5D6E-409C-BE32-E72D297353CC}">
                  <c16:uniqueId val="{00000018-0ACE-4E77-97D5-DE520A5D10A4}"/>
                </c:ext>
              </c:extLst>
            </c:dLbl>
            <c:dLbl>
              <c:idx val="10"/>
              <c:layout>
                <c:manualLayout>
                  <c:x val="-7.339538016645919E-2"/>
                  <c:y val="6.8859155584570952E-2"/>
                </c:manualLayout>
              </c:layout>
              <c:tx>
                <c:rich>
                  <a:bodyPr/>
                  <a:lstStyle/>
                  <a:p>
                    <a:r>
                      <a:rPr lang="en-US"/>
                      <a:t>+55,5%</a:t>
                    </a:r>
                  </a:p>
                </c:rich>
              </c:tx>
              <c:dLblPos val="r"/>
              <c:showLegendKey val="0"/>
              <c:showVal val="1"/>
              <c:showCatName val="0"/>
              <c:showSerName val="0"/>
              <c:showPercent val="0"/>
              <c:showBubbleSize val="0"/>
              <c:extLst>
                <c:ext xmlns:c15="http://schemas.microsoft.com/office/drawing/2012/chart" uri="{CE6537A1-D6FC-4f65-9D91-7224C49458BB}">
                  <c15:layout>
                    <c:manualLayout>
                      <c:w val="7.2463189859115137E-2"/>
                      <c:h val="4.8042297961852241E-2"/>
                    </c:manualLayout>
                  </c15:layout>
                </c:ext>
                <c:ext xmlns:c16="http://schemas.microsoft.com/office/drawing/2014/chart" uri="{C3380CC4-5D6E-409C-BE32-E72D297353CC}">
                  <c16:uniqueId val="{0000001A-0ACE-4E77-97D5-DE520A5D10A4}"/>
                </c:ext>
              </c:extLst>
            </c:dLbl>
            <c:dLbl>
              <c:idx val="11"/>
              <c:layout>
                <c:manualLayout>
                  <c:x val="-6.4995573314529723E-2"/>
                  <c:y val="-0.11070979845930815"/>
                </c:manualLayout>
              </c:layout>
              <c:tx>
                <c:rich>
                  <a:bodyPr/>
                  <a:lstStyle/>
                  <a:p>
                    <a:r>
                      <a:rPr lang="en-US"/>
                      <a:t>-43,6%</a:t>
                    </a:r>
                  </a:p>
                </c:rich>
              </c:tx>
              <c:dLblPos val="r"/>
              <c:showLegendKey val="0"/>
              <c:showVal val="1"/>
              <c:showCatName val="0"/>
              <c:showSerName val="0"/>
              <c:showPercent val="0"/>
              <c:showBubbleSize val="0"/>
              <c:extLst>
                <c:ext xmlns:c15="http://schemas.microsoft.com/office/drawing/2012/chart" uri="{CE6537A1-D6FC-4f65-9D91-7224C49458BB}">
                  <c15:layout>
                    <c:manualLayout>
                      <c:w val="6.8755693654885069E-2"/>
                      <c:h val="4.9097472924187723E-2"/>
                    </c:manualLayout>
                  </c15:layout>
                </c:ext>
                <c:ext xmlns:c16="http://schemas.microsoft.com/office/drawing/2014/chart" uri="{C3380CC4-5D6E-409C-BE32-E72D297353CC}">
                  <c16:uniqueId val="{0000001C-0ACE-4E77-97D5-DE520A5D10A4}"/>
                </c:ext>
              </c:extLst>
            </c:dLbl>
            <c:numFmt formatCode="\+#,##0.0%_ ;\-#,##0.0%" sourceLinked="0"/>
            <c:spPr>
              <a:solidFill>
                <a:sysClr val="window" lastClr="FFFFFF"/>
              </a:solidFill>
              <a:ln>
                <a:solidFill>
                  <a:sysClr val="windowText" lastClr="000000">
                    <a:lumMod val="65000"/>
                    <a:lumOff val="35000"/>
                  </a:sysClr>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Лист1!$B$3:$M$3</c:f>
              <c:numCache>
                <c:formatCode>#,##0.00</c:formatCode>
                <c:ptCount val="12"/>
                <c:pt idx="0">
                  <c:v>24.375</c:v>
                </c:pt>
                <c:pt idx="1">
                  <c:v>32.114000000000004</c:v>
                </c:pt>
                <c:pt idx="2">
                  <c:v>52.201000000000001</c:v>
                </c:pt>
                <c:pt idx="3">
                  <c:v>71.850999999999999</c:v>
                </c:pt>
                <c:pt idx="4">
                  <c:v>67.338999999999999</c:v>
                </c:pt>
                <c:pt idx="5">
                  <c:v>83.22</c:v>
                </c:pt>
                <c:pt idx="6">
                  <c:v>86.308999999999983</c:v>
                </c:pt>
                <c:pt idx="7">
                  <c:v>88.5</c:v>
                </c:pt>
                <c:pt idx="8">
                  <c:v>93</c:v>
                </c:pt>
                <c:pt idx="9">
                  <c:v>48.5</c:v>
                </c:pt>
                <c:pt idx="10">
                  <c:v>67.099999999999994</c:v>
                </c:pt>
                <c:pt idx="11">
                  <c:v>44.4</c:v>
                </c:pt>
              </c:numCache>
            </c:numRef>
          </c:val>
          <c:smooth val="1"/>
          <c:extLst>
            <c:ext xmlns:c16="http://schemas.microsoft.com/office/drawing/2014/chart" uri="{C3380CC4-5D6E-409C-BE32-E72D297353CC}">
              <c16:uniqueId val="{0000001E-0ACE-4E77-97D5-DE520A5D10A4}"/>
            </c:ext>
          </c:extLst>
        </c:ser>
        <c:dLbls>
          <c:showLegendKey val="0"/>
          <c:showVal val="0"/>
          <c:showCatName val="0"/>
          <c:showSerName val="0"/>
          <c:showPercent val="0"/>
          <c:showBubbleSize val="0"/>
        </c:dLbls>
        <c:marker val="1"/>
        <c:smooth val="0"/>
        <c:axId val="106900096"/>
        <c:axId val="106898560"/>
      </c:lineChart>
      <c:catAx>
        <c:axId val="1066330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6634624"/>
        <c:crosses val="autoZero"/>
        <c:auto val="1"/>
        <c:lblAlgn val="ctr"/>
        <c:lblOffset val="100"/>
        <c:noMultiLvlLbl val="0"/>
      </c:catAx>
      <c:valAx>
        <c:axId val="106634624"/>
        <c:scaling>
          <c:orientation val="minMax"/>
        </c:scaling>
        <c:delete val="1"/>
        <c:axPos val="l"/>
        <c:majorGridlines>
          <c:spPr>
            <a:ln w="9525" cap="flat" cmpd="sng" algn="ctr">
              <a:noFill/>
              <a:round/>
            </a:ln>
            <a:effectLst/>
          </c:spPr>
        </c:majorGridlines>
        <c:numFmt formatCode="#,##0" sourceLinked="0"/>
        <c:majorTickMark val="none"/>
        <c:minorTickMark val="none"/>
        <c:tickLblPos val="nextTo"/>
        <c:crossAx val="106633088"/>
        <c:crosses val="autoZero"/>
        <c:crossBetween val="between"/>
      </c:valAx>
      <c:valAx>
        <c:axId val="106898560"/>
        <c:scaling>
          <c:orientation val="minMax"/>
          <c:min val="-0.30000000000000016"/>
        </c:scaling>
        <c:delete val="1"/>
        <c:axPos val="r"/>
        <c:numFmt formatCode="#,##0.00" sourceLinked="1"/>
        <c:majorTickMark val="out"/>
        <c:minorTickMark val="none"/>
        <c:tickLblPos val="nextTo"/>
        <c:crossAx val="106900096"/>
        <c:crosses val="max"/>
        <c:crossBetween val="between"/>
        <c:majorUnit val="0.1"/>
      </c:valAx>
      <c:catAx>
        <c:axId val="106900096"/>
        <c:scaling>
          <c:orientation val="minMax"/>
        </c:scaling>
        <c:delete val="1"/>
        <c:axPos val="b"/>
        <c:numFmt formatCode="General" sourceLinked="1"/>
        <c:majorTickMark val="out"/>
        <c:minorTickMark val="none"/>
        <c:tickLblPos val="nextTo"/>
        <c:crossAx val="106898560"/>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550524934383236E-2"/>
          <c:y val="2.4378352023403264E-2"/>
          <c:w val="0.92498651210265359"/>
          <c:h val="0.76081419856647725"/>
        </c:manualLayout>
      </c:layout>
      <c:barChart>
        <c:barDir val="col"/>
        <c:grouping val="clustered"/>
        <c:varyColors val="0"/>
        <c:ser>
          <c:idx val="0"/>
          <c:order val="0"/>
          <c:tx>
            <c:strRef>
              <c:f>Лист1!$A$2</c:f>
              <c:strCache>
                <c:ptCount val="1"/>
                <c:pt idx="0">
                  <c:v>2021 год</c:v>
                </c:pt>
              </c:strCache>
            </c:strRef>
          </c:tx>
          <c:spPr>
            <a:solidFill>
              <a:srgbClr val="595959"/>
            </a:solidFill>
            <a:ln>
              <a:noFill/>
            </a:ln>
            <a:effectLst>
              <a:outerShdw blurRad="40000" dist="23000" dir="5400000" rotWithShape="0">
                <a:srgbClr val="000000">
                  <a:alpha val="35000"/>
                </a:srgbClr>
              </a:outerShdw>
            </a:effectLst>
            <a:scene3d>
              <a:camera prst="orthographicFront"/>
              <a:lightRig rig="threePt" dir="t"/>
            </a:scene3d>
            <a:sp3d/>
          </c:spPr>
          <c:invertIfNegative val="0"/>
          <c:dLbls>
            <c:dLbl>
              <c:idx val="0"/>
              <c:layout>
                <c:manualLayout>
                  <c:x val="0"/>
                  <c:y val="7.8985860555826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49-4CC4-BF51-883FB1ADA5A1}"/>
                </c:ext>
              </c:extLst>
            </c:dLbl>
            <c:dLbl>
              <c:idx val="2"/>
              <c:layout>
                <c:manualLayout>
                  <c:x val="4.243778136006674E-17"/>
                  <c:y val="9.84885421745489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49-4CC4-BF51-883FB1ADA5A1}"/>
                </c:ext>
              </c:extLst>
            </c:dLbl>
            <c:dLbl>
              <c:idx val="3"/>
              <c:layout>
                <c:manualLayout>
                  <c:x val="0"/>
                  <c:y val="8.87372013651877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49-4CC4-BF51-883FB1ADA5A1}"/>
                </c:ext>
              </c:extLst>
            </c:dLbl>
            <c:dLbl>
              <c:idx val="6"/>
              <c:layout>
                <c:manualLayout>
                  <c:x val="0"/>
                  <c:y val="8.87372013651877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49-4CC4-BF51-883FB1ADA5A1}"/>
                </c:ext>
              </c:extLst>
            </c:dLbl>
            <c:dLbl>
              <c:idx val="8"/>
              <c:layout>
                <c:manualLayout>
                  <c:x val="0"/>
                  <c:y val="6.6941015089163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49-4CC4-BF51-883FB1ADA5A1}"/>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Лист1!$B$2:$M$2</c:f>
              <c:numCache>
                <c:formatCode>General</c:formatCode>
                <c:ptCount val="12"/>
                <c:pt idx="0" formatCode="#,##0.00">
                  <c:v>14.398</c:v>
                </c:pt>
                <c:pt idx="1">
                  <c:v>16.239999999999998</c:v>
                </c:pt>
                <c:pt idx="2">
                  <c:v>24.584</c:v>
                </c:pt>
                <c:pt idx="3">
                  <c:v>22.774999999999999</c:v>
                </c:pt>
                <c:pt idx="4">
                  <c:v>23.613</c:v>
                </c:pt>
                <c:pt idx="5">
                  <c:v>27.907</c:v>
                </c:pt>
                <c:pt idx="6">
                  <c:v>33.292999999999999</c:v>
                </c:pt>
                <c:pt idx="7">
                  <c:v>28.962</c:v>
                </c:pt>
                <c:pt idx="8">
                  <c:v>26.6</c:v>
                </c:pt>
                <c:pt idx="9">
                  <c:v>24.1</c:v>
                </c:pt>
                <c:pt idx="10">
                  <c:v>28.5</c:v>
                </c:pt>
                <c:pt idx="11">
                  <c:v>26.3</c:v>
                </c:pt>
              </c:numCache>
            </c:numRef>
          </c:val>
          <c:extLst>
            <c:ext xmlns:c16="http://schemas.microsoft.com/office/drawing/2014/chart" uri="{C3380CC4-5D6E-409C-BE32-E72D297353CC}">
              <c16:uniqueId val="{00000005-C949-4CC4-BF51-883FB1ADA5A1}"/>
            </c:ext>
          </c:extLst>
        </c:ser>
        <c:dLbls>
          <c:showLegendKey val="0"/>
          <c:showVal val="0"/>
          <c:showCatName val="0"/>
          <c:showSerName val="0"/>
          <c:showPercent val="0"/>
          <c:showBubbleSize val="0"/>
        </c:dLbls>
        <c:gapWidth val="113"/>
        <c:axId val="107200512"/>
        <c:axId val="107202048"/>
      </c:barChart>
      <c:lineChart>
        <c:grouping val="standard"/>
        <c:varyColors val="0"/>
        <c:ser>
          <c:idx val="2"/>
          <c:order val="2"/>
          <c:tx>
            <c:strRef>
              <c:f>Лист1!$A$4</c:f>
              <c:strCache>
                <c:ptCount val="1"/>
                <c:pt idx="0">
                  <c:v>средний уровень 2020 года</c:v>
                </c:pt>
              </c:strCache>
            </c:strRef>
          </c:tx>
          <c:spPr>
            <a:ln w="19050">
              <a:solidFill>
                <a:sysClr val="windowText" lastClr="000000"/>
              </a:solidFill>
            </a:ln>
          </c:spPr>
          <c:marker>
            <c:symbol val="none"/>
          </c:marker>
          <c:dLbls>
            <c:dLbl>
              <c:idx val="6"/>
              <c:layout>
                <c:manualLayout>
                  <c:x val="0.35617545406824147"/>
                  <c:y val="5.4260029996250465E-2"/>
                </c:manualLayout>
              </c:layout>
              <c:showLegendKey val="0"/>
              <c:showVal val="1"/>
              <c:showCatName val="0"/>
              <c:showSerName val="0"/>
              <c:showPercent val="0"/>
              <c:showBubbleSize val="0"/>
              <c:extLst>
                <c:ext xmlns:c15="http://schemas.microsoft.com/office/drawing/2012/chart" uri="{CE6537A1-D6FC-4f65-9D91-7224C49458BB}">
                  <c15:layout>
                    <c:manualLayout>
                      <c:w val="7.407407407407407E-2"/>
                      <c:h val="5.9483178937103844E-2"/>
                    </c:manualLayout>
                  </c15:layout>
                </c:ext>
                <c:ext xmlns:c16="http://schemas.microsoft.com/office/drawing/2014/chart" uri="{C3380CC4-5D6E-409C-BE32-E72D297353CC}">
                  <c16:uniqueId val="{00000006-C949-4CC4-BF51-883FB1ADA5A1}"/>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General</c:formatCode>
                <c:ptCount val="12"/>
                <c:pt idx="0">
                  <c:v>22.6</c:v>
                </c:pt>
                <c:pt idx="1">
                  <c:v>22.6</c:v>
                </c:pt>
                <c:pt idx="2">
                  <c:v>22.6</c:v>
                </c:pt>
                <c:pt idx="3">
                  <c:v>22.6</c:v>
                </c:pt>
                <c:pt idx="4">
                  <c:v>22.6</c:v>
                </c:pt>
                <c:pt idx="5">
                  <c:v>22.6</c:v>
                </c:pt>
                <c:pt idx="6">
                  <c:v>22.6</c:v>
                </c:pt>
                <c:pt idx="7">
                  <c:v>22.6</c:v>
                </c:pt>
                <c:pt idx="8">
                  <c:v>22.6</c:v>
                </c:pt>
                <c:pt idx="9">
                  <c:v>22.6</c:v>
                </c:pt>
                <c:pt idx="10">
                  <c:v>22.6</c:v>
                </c:pt>
                <c:pt idx="11">
                  <c:v>22.6</c:v>
                </c:pt>
              </c:numCache>
            </c:numRef>
          </c:val>
          <c:smooth val="0"/>
          <c:extLst>
            <c:ext xmlns:c16="http://schemas.microsoft.com/office/drawing/2014/chart" uri="{C3380CC4-5D6E-409C-BE32-E72D297353CC}">
              <c16:uniqueId val="{00000007-C949-4CC4-BF51-883FB1ADA5A1}"/>
            </c:ext>
          </c:extLst>
        </c:ser>
        <c:dLbls>
          <c:showLegendKey val="0"/>
          <c:showVal val="0"/>
          <c:showCatName val="0"/>
          <c:showSerName val="0"/>
          <c:showPercent val="0"/>
          <c:showBubbleSize val="0"/>
        </c:dLbls>
        <c:marker val="1"/>
        <c:smooth val="0"/>
        <c:axId val="107200512"/>
        <c:axId val="107202048"/>
      </c:lineChart>
      <c:lineChart>
        <c:grouping val="standard"/>
        <c:varyColors val="0"/>
        <c:ser>
          <c:idx val="1"/>
          <c:order val="1"/>
          <c:tx>
            <c:strRef>
              <c:f>Лист1!$A$3</c:f>
              <c:strCache>
                <c:ptCount val="1"/>
                <c:pt idx="0">
                  <c:v>для темпов</c:v>
                </c:pt>
              </c:strCache>
            </c:strRef>
          </c:tx>
          <c:spPr>
            <a:effectLst>
              <a:outerShdw blurRad="40000" dist="23000" dir="5400000" rotWithShape="0">
                <a:srgbClr val="000000">
                  <a:alpha val="35000"/>
                </a:srgbClr>
              </a:outerShdw>
            </a:effectLst>
          </c:spPr>
          <c:marker>
            <c:symbol val="none"/>
          </c:marker>
          <c:dPt>
            <c:idx val="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9-C949-4CC4-BF51-883FB1ADA5A1}"/>
              </c:ext>
            </c:extLst>
          </c:dPt>
          <c:dPt>
            <c:idx val="2"/>
            <c:bubble3D val="0"/>
            <c:spPr>
              <a:ln>
                <a:solidFill>
                  <a:sysClr val="window" lastClr="FFFFFF">
                    <a:lumMod val="65000"/>
                  </a:sys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B-C949-4CC4-BF51-883FB1ADA5A1}"/>
              </c:ext>
            </c:extLst>
          </c:dPt>
          <c:dPt>
            <c:idx val="3"/>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D-C949-4CC4-BF51-883FB1ADA5A1}"/>
              </c:ext>
            </c:extLst>
          </c:dPt>
          <c:dPt>
            <c:idx val="4"/>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F-C949-4CC4-BF51-883FB1ADA5A1}"/>
              </c:ext>
            </c:extLst>
          </c:dPt>
          <c:dPt>
            <c:idx val="5"/>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1-C949-4CC4-BF51-883FB1ADA5A1}"/>
              </c:ext>
            </c:extLst>
          </c:dPt>
          <c:dPt>
            <c:idx val="6"/>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3-C949-4CC4-BF51-883FB1ADA5A1}"/>
              </c:ext>
            </c:extLst>
          </c:dPt>
          <c:dPt>
            <c:idx val="7"/>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5-C949-4CC4-BF51-883FB1ADA5A1}"/>
              </c:ext>
            </c:extLst>
          </c:dPt>
          <c:dPt>
            <c:idx val="8"/>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7-C949-4CC4-BF51-883FB1ADA5A1}"/>
              </c:ext>
            </c:extLst>
          </c:dPt>
          <c:dPt>
            <c:idx val="9"/>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9-C949-4CC4-BF51-883FB1ADA5A1}"/>
              </c:ext>
            </c:extLst>
          </c:dPt>
          <c:dPt>
            <c:idx val="10"/>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B-C949-4CC4-BF51-883FB1ADA5A1}"/>
              </c:ext>
            </c:extLst>
          </c:dPt>
          <c:dPt>
            <c:idx val="1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D-C949-4CC4-BF51-883FB1ADA5A1}"/>
              </c:ext>
            </c:extLst>
          </c:dPt>
          <c:dLbls>
            <c:dLbl>
              <c:idx val="0"/>
              <c:delete val="1"/>
              <c:extLst>
                <c:ext xmlns:c15="http://schemas.microsoft.com/office/drawing/2012/chart" uri="{CE6537A1-D6FC-4f65-9D91-7224C49458BB}"/>
                <c:ext xmlns:c16="http://schemas.microsoft.com/office/drawing/2014/chart" uri="{C3380CC4-5D6E-409C-BE32-E72D297353CC}">
                  <c16:uniqueId val="{0000001E-C949-4CC4-BF51-883FB1ADA5A1}"/>
                </c:ext>
              </c:extLst>
            </c:dLbl>
            <c:dLbl>
              <c:idx val="1"/>
              <c:layout>
                <c:manualLayout>
                  <c:x val="-0.10134337775085807"/>
                  <c:y val="1.4932219494068621E-2"/>
                </c:manualLayout>
              </c:layout>
              <c:tx>
                <c:rich>
                  <a:bodyPr/>
                  <a:lstStyle/>
                  <a:p>
                    <a:r>
                      <a:rPr lang="en-US"/>
                      <a:t>+12,8%</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9-C949-4CC4-BF51-883FB1ADA5A1}"/>
                </c:ext>
              </c:extLst>
            </c:dLbl>
            <c:dLbl>
              <c:idx val="2"/>
              <c:layout>
                <c:manualLayout>
                  <c:x val="-0.10793164075644396"/>
                  <c:y val="7.8025945681520978E-2"/>
                </c:manualLayout>
              </c:layout>
              <c:tx>
                <c:rich>
                  <a:bodyPr/>
                  <a:lstStyle/>
                  <a:p>
                    <a:r>
                      <a:rPr lang="en-US"/>
                      <a:t>+51,4%</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B-C949-4CC4-BF51-883FB1ADA5A1}"/>
                </c:ext>
              </c:extLst>
            </c:dLbl>
            <c:dLbl>
              <c:idx val="3"/>
              <c:layout>
                <c:manualLayout>
                  <c:x val="-9.0301669022141456E-2"/>
                  <c:y val="-2.1780449486824911E-2"/>
                </c:manualLayout>
              </c:layout>
              <c:tx>
                <c:rich>
                  <a:bodyPr/>
                  <a:lstStyle/>
                  <a:p>
                    <a:r>
                      <a:rPr lang="en-US"/>
                      <a:t>-7,4%</a:t>
                    </a:r>
                  </a:p>
                </c:rich>
              </c:tx>
              <c:dLblPos val="r"/>
              <c:showLegendKey val="0"/>
              <c:showVal val="1"/>
              <c:showCatName val="0"/>
              <c:showSerName val="0"/>
              <c:showPercent val="0"/>
              <c:showBubbleSize val="0"/>
              <c:extLst>
                <c:ext xmlns:c15="http://schemas.microsoft.com/office/drawing/2012/chart" uri="{CE6537A1-D6FC-4f65-9D91-7224C49458BB}">
                  <c15:layout>
                    <c:manualLayout>
                      <c:w val="6.2793088363954502E-2"/>
                      <c:h val="4.4952821757495369E-2"/>
                    </c:manualLayout>
                  </c15:layout>
                </c:ext>
                <c:ext xmlns:c16="http://schemas.microsoft.com/office/drawing/2014/chart" uri="{C3380CC4-5D6E-409C-BE32-E72D297353CC}">
                  <c16:uniqueId val="{0000000D-C949-4CC4-BF51-883FB1ADA5A1}"/>
                </c:ext>
              </c:extLst>
            </c:dLbl>
            <c:dLbl>
              <c:idx val="4"/>
              <c:layout>
                <c:manualLayout>
                  <c:x val="-9.3563665118783293E-2"/>
                  <c:y val="7.5703440295769491E-3"/>
                </c:manualLayout>
              </c:layout>
              <c:tx>
                <c:rich>
                  <a:bodyPr/>
                  <a:lstStyle/>
                  <a:p>
                    <a:r>
                      <a:rPr lang="en-US"/>
                      <a:t>+3,7%</a:t>
                    </a:r>
                  </a:p>
                </c:rich>
              </c:tx>
              <c:dLblPos val="r"/>
              <c:showLegendKey val="0"/>
              <c:showVal val="1"/>
              <c:showCatName val="0"/>
              <c:showSerName val="0"/>
              <c:showPercent val="0"/>
              <c:showBubbleSize val="0"/>
              <c:extLst>
                <c:ext xmlns:c15="http://schemas.microsoft.com/office/drawing/2012/chart" uri="{CE6537A1-D6FC-4f65-9D91-7224C49458BB}">
                  <c15:layout>
                    <c:manualLayout>
                      <c:w val="6.4929840500706645E-2"/>
                      <c:h val="4.4952821757495369E-2"/>
                    </c:manualLayout>
                  </c15:layout>
                </c:ext>
                <c:ext xmlns:c16="http://schemas.microsoft.com/office/drawing/2014/chart" uri="{C3380CC4-5D6E-409C-BE32-E72D297353CC}">
                  <c16:uniqueId val="{0000000F-C949-4CC4-BF51-883FB1ADA5A1}"/>
                </c:ext>
              </c:extLst>
            </c:dLbl>
            <c:dLbl>
              <c:idx val="5"/>
              <c:layout>
                <c:manualLayout>
                  <c:x val="-0.10032833636180093"/>
                  <c:y val="3.2641887505997239E-2"/>
                </c:manualLayout>
              </c:layout>
              <c:tx>
                <c:rich>
                  <a:bodyPr/>
                  <a:lstStyle/>
                  <a:p>
                    <a:r>
                      <a:rPr lang="en-US"/>
                      <a:t>+18,2%</a:t>
                    </a:r>
                  </a:p>
                </c:rich>
              </c:tx>
              <c:dLblPos val="r"/>
              <c:showLegendKey val="0"/>
              <c:showVal val="1"/>
              <c:showCatName val="0"/>
              <c:showSerName val="0"/>
              <c:showPercent val="0"/>
              <c:showBubbleSize val="0"/>
              <c:extLst>
                <c:ext xmlns:c15="http://schemas.microsoft.com/office/drawing/2012/chart" uri="{CE6537A1-D6FC-4f65-9D91-7224C49458BB}">
                  <c15:layout>
                    <c:manualLayout>
                      <c:w val="7.3476849047715176E-2"/>
                      <c:h val="4.9731794278403373E-2"/>
                    </c:manualLayout>
                  </c15:layout>
                </c:ext>
                <c:ext xmlns:c16="http://schemas.microsoft.com/office/drawing/2014/chart" uri="{C3380CC4-5D6E-409C-BE32-E72D297353CC}">
                  <c16:uniqueId val="{00000011-C949-4CC4-BF51-883FB1ADA5A1}"/>
                </c:ext>
              </c:extLst>
            </c:dLbl>
            <c:dLbl>
              <c:idx val="6"/>
              <c:layout>
                <c:manualLayout>
                  <c:x val="-0.10080918971667005"/>
                  <c:y val="4.3574821964458742E-2"/>
                </c:manualLayout>
              </c:layout>
              <c:tx>
                <c:rich>
                  <a:bodyPr/>
                  <a:lstStyle/>
                  <a:p>
                    <a:r>
                      <a:rPr lang="en-US"/>
                      <a:t>+19,3%</a:t>
                    </a:r>
                  </a:p>
                </c:rich>
              </c:tx>
              <c:dLblPos val="r"/>
              <c:showLegendKey val="0"/>
              <c:showVal val="1"/>
              <c:showCatName val="0"/>
              <c:showSerName val="0"/>
              <c:showPercent val="0"/>
              <c:showBubbleSize val="0"/>
              <c:extLst>
                <c:ext xmlns:c15="http://schemas.microsoft.com/office/drawing/2012/chart" uri="{CE6537A1-D6FC-4f65-9D91-7224C49458BB}">
                  <c15:layout>
                    <c:manualLayout>
                      <c:w val="7.1340096910963047E-2"/>
                      <c:h val="4.9731794278403373E-2"/>
                    </c:manualLayout>
                  </c15:layout>
                </c:ext>
                <c:ext xmlns:c16="http://schemas.microsoft.com/office/drawing/2014/chart" uri="{C3380CC4-5D6E-409C-BE32-E72D297353CC}">
                  <c16:uniqueId val="{00000013-C949-4CC4-BF51-883FB1ADA5A1}"/>
                </c:ext>
              </c:extLst>
            </c:dLbl>
            <c:dLbl>
              <c:idx val="7"/>
              <c:layout>
                <c:manualLayout>
                  <c:x val="-9.6777037485698908E-2"/>
                  <c:y val="-4.4026002126078365E-2"/>
                </c:manualLayout>
              </c:layout>
              <c:tx>
                <c:rich>
                  <a:bodyPr/>
                  <a:lstStyle/>
                  <a:p>
                    <a:r>
                      <a:rPr lang="en-US"/>
                      <a:t>-13,0%</a:t>
                    </a:r>
                  </a:p>
                </c:rich>
              </c:tx>
              <c:dLblPos val="r"/>
              <c:showLegendKey val="0"/>
              <c:showVal val="1"/>
              <c:showCatName val="0"/>
              <c:showSerName val="0"/>
              <c:showPercent val="0"/>
              <c:showBubbleSize val="0"/>
              <c:extLst>
                <c:ext xmlns:c15="http://schemas.microsoft.com/office/drawing/2012/chart" uri="{CE6537A1-D6FC-4f65-9D91-7224C49458BB}">
                  <c15:layout>
                    <c:manualLayout>
                      <c:w val="6.6290968436637732E-2"/>
                      <c:h val="4.9828502619968205E-2"/>
                    </c:manualLayout>
                  </c15:layout>
                </c:ext>
                <c:ext xmlns:c16="http://schemas.microsoft.com/office/drawing/2014/chart" uri="{C3380CC4-5D6E-409C-BE32-E72D297353CC}">
                  <c16:uniqueId val="{00000015-C949-4CC4-BF51-883FB1ADA5A1}"/>
                </c:ext>
              </c:extLst>
            </c:dLbl>
            <c:dLbl>
              <c:idx val="8"/>
              <c:layout>
                <c:manualLayout>
                  <c:x val="-9.6776953361599152E-2"/>
                  <c:y val="-1.7016528847872515E-2"/>
                </c:manualLayout>
              </c:layout>
              <c:tx>
                <c:rich>
                  <a:bodyPr/>
                  <a:lstStyle/>
                  <a:p>
                    <a:r>
                      <a:rPr lang="en-US"/>
                      <a:t>-8,2%</a:t>
                    </a:r>
                  </a:p>
                </c:rich>
              </c:tx>
              <c:dLblPos val="r"/>
              <c:showLegendKey val="0"/>
              <c:showVal val="1"/>
              <c:showCatName val="0"/>
              <c:showSerName val="0"/>
              <c:showPercent val="0"/>
              <c:showBubbleSize val="0"/>
              <c:extLst>
                <c:ext xmlns:c15="http://schemas.microsoft.com/office/drawing/2012/chart" uri="{CE6537A1-D6FC-4f65-9D91-7224C49458BB}">
                  <c15:layout>
                    <c:manualLayout>
                      <c:w val="6.4751665657177465E-2"/>
                      <c:h val="4.4952821757495369E-2"/>
                    </c:manualLayout>
                  </c15:layout>
                </c:ext>
                <c:ext xmlns:c16="http://schemas.microsoft.com/office/drawing/2014/chart" uri="{C3380CC4-5D6E-409C-BE32-E72D297353CC}">
                  <c16:uniqueId val="{00000017-C949-4CC4-BF51-883FB1ADA5A1}"/>
                </c:ext>
              </c:extLst>
            </c:dLbl>
            <c:dLbl>
              <c:idx val="9"/>
              <c:layout>
                <c:manualLayout>
                  <c:x val="-9.3482821858806131E-2"/>
                  <c:y val="-3.2921664361847236E-2"/>
                </c:manualLayout>
              </c:layout>
              <c:tx>
                <c:rich>
                  <a:bodyPr/>
                  <a:lstStyle/>
                  <a:p>
                    <a:r>
                      <a:rPr lang="en-US"/>
                      <a:t>-9,2%</a:t>
                    </a:r>
                  </a:p>
                </c:rich>
              </c:tx>
              <c:dLblPos val="r"/>
              <c:showLegendKey val="0"/>
              <c:showVal val="1"/>
              <c:showCatName val="0"/>
              <c:showSerName val="0"/>
              <c:showPercent val="0"/>
              <c:showBubbleSize val="0"/>
              <c:extLst>
                <c:ext xmlns:c15="http://schemas.microsoft.com/office/drawing/2012/chart" uri="{CE6537A1-D6FC-4f65-9D91-7224C49458BB}">
                  <c15:layout>
                    <c:manualLayout>
                      <c:w val="6.6112961841308285E-2"/>
                      <c:h val="4.6409091336701194E-2"/>
                    </c:manualLayout>
                  </c15:layout>
                </c:ext>
                <c:ext xmlns:c16="http://schemas.microsoft.com/office/drawing/2014/chart" uri="{C3380CC4-5D6E-409C-BE32-E72D297353CC}">
                  <c16:uniqueId val="{00000019-C949-4CC4-BF51-883FB1ADA5A1}"/>
                </c:ext>
              </c:extLst>
            </c:dLbl>
            <c:dLbl>
              <c:idx val="10"/>
              <c:layout>
                <c:manualLayout>
                  <c:x val="-9.2552745810619841E-2"/>
                  <c:y val="3.3235684249146268E-2"/>
                </c:manualLayout>
              </c:layout>
              <c:tx>
                <c:rich>
                  <a:bodyPr/>
                  <a:lstStyle/>
                  <a:p>
                    <a:r>
                      <a:rPr lang="en-US"/>
                      <a:t>+18,0%</a:t>
                    </a:r>
                  </a:p>
                </c:rich>
              </c:tx>
              <c:dLblPos val="r"/>
              <c:showLegendKey val="0"/>
              <c:showVal val="1"/>
              <c:showCatName val="0"/>
              <c:showSerName val="0"/>
              <c:showPercent val="0"/>
              <c:showBubbleSize val="0"/>
              <c:extLst>
                <c:ext xmlns:c15="http://schemas.microsoft.com/office/drawing/2012/chart" uri="{CE6537A1-D6FC-4f65-9D91-7224C49458BB}">
                  <c15:layout>
                    <c:manualLayout>
                      <c:w val="7.2827579244902074E-2"/>
                      <c:h val="4.4537389815520363E-2"/>
                    </c:manualLayout>
                  </c15:layout>
                </c:ext>
                <c:ext xmlns:c16="http://schemas.microsoft.com/office/drawing/2014/chart" uri="{C3380CC4-5D6E-409C-BE32-E72D297353CC}">
                  <c16:uniqueId val="{0000001B-C949-4CC4-BF51-883FB1ADA5A1}"/>
                </c:ext>
              </c:extLst>
            </c:dLbl>
            <c:dLbl>
              <c:idx val="11"/>
              <c:layout>
                <c:manualLayout>
                  <c:x val="-7.5854616730600982E-2"/>
                  <c:y val="-3.1063321385902037E-2"/>
                </c:manualLayout>
              </c:layout>
              <c:tx>
                <c:rich>
                  <a:bodyPr/>
                  <a:lstStyle/>
                  <a:p>
                    <a:r>
                      <a:rPr lang="en-US"/>
                      <a:t>-7,7%</a:t>
                    </a:r>
                  </a:p>
                </c:rich>
              </c:tx>
              <c:dLblPos val="r"/>
              <c:showLegendKey val="0"/>
              <c:showVal val="1"/>
              <c:showCatName val="0"/>
              <c:showSerName val="0"/>
              <c:showPercent val="0"/>
              <c:showBubbleSize val="0"/>
              <c:extLst>
                <c:ext xmlns:c15="http://schemas.microsoft.com/office/drawing/2012/chart" uri="{CE6537A1-D6FC-4f65-9D91-7224C49458BB}">
                  <c15:layout>
                    <c:manualLayout>
                      <c:w val="6.4807692307692302E-2"/>
                      <c:h val="4.3966547192353642E-2"/>
                    </c:manualLayout>
                  </c15:layout>
                </c:ext>
                <c:ext xmlns:c16="http://schemas.microsoft.com/office/drawing/2014/chart" uri="{C3380CC4-5D6E-409C-BE32-E72D297353CC}">
                  <c16:uniqueId val="{0000001D-C949-4CC4-BF51-883FB1ADA5A1}"/>
                </c:ext>
              </c:extLst>
            </c:dLbl>
            <c:numFmt formatCode="\+#,##0.0%_ ;\-#,##0.0%" sourceLinked="0"/>
            <c:spPr>
              <a:solidFill>
                <a:sysClr val="window" lastClr="FFFFFF"/>
              </a:solidFill>
              <a:ln>
                <a:solidFill>
                  <a:sysClr val="windowText" lastClr="000000">
                    <a:lumMod val="65000"/>
                    <a:lumOff val="35000"/>
                  </a:sysClr>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Лист1!$B$3:$M$3</c:f>
              <c:numCache>
                <c:formatCode>#,##0.00</c:formatCode>
                <c:ptCount val="12"/>
                <c:pt idx="0">
                  <c:v>24.398</c:v>
                </c:pt>
                <c:pt idx="1">
                  <c:v>26.24</c:v>
                </c:pt>
                <c:pt idx="2">
                  <c:v>34.584000000000003</c:v>
                </c:pt>
                <c:pt idx="3">
                  <c:v>32.774999999999999</c:v>
                </c:pt>
                <c:pt idx="4">
                  <c:v>33.613</c:v>
                </c:pt>
                <c:pt idx="5">
                  <c:v>37.906999999999996</c:v>
                </c:pt>
                <c:pt idx="6">
                  <c:v>43.292999999999999</c:v>
                </c:pt>
                <c:pt idx="7">
                  <c:v>38.962000000000003</c:v>
                </c:pt>
                <c:pt idx="8">
                  <c:v>36.6</c:v>
                </c:pt>
                <c:pt idx="9">
                  <c:v>34.1</c:v>
                </c:pt>
                <c:pt idx="10">
                  <c:v>38.5</c:v>
                </c:pt>
                <c:pt idx="11">
                  <c:v>36.299999999999997</c:v>
                </c:pt>
              </c:numCache>
            </c:numRef>
          </c:val>
          <c:smooth val="1"/>
          <c:extLst>
            <c:ext xmlns:c16="http://schemas.microsoft.com/office/drawing/2014/chart" uri="{C3380CC4-5D6E-409C-BE32-E72D297353CC}">
              <c16:uniqueId val="{0000001F-C949-4CC4-BF51-883FB1ADA5A1}"/>
            </c:ext>
          </c:extLst>
        </c:ser>
        <c:dLbls>
          <c:showLegendKey val="0"/>
          <c:showVal val="0"/>
          <c:showCatName val="0"/>
          <c:showSerName val="0"/>
          <c:showPercent val="0"/>
          <c:showBubbleSize val="0"/>
        </c:dLbls>
        <c:marker val="1"/>
        <c:smooth val="0"/>
        <c:axId val="111756032"/>
        <c:axId val="107203584"/>
      </c:lineChart>
      <c:catAx>
        <c:axId val="1072005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202048"/>
        <c:crosses val="autoZero"/>
        <c:auto val="1"/>
        <c:lblAlgn val="ctr"/>
        <c:lblOffset val="100"/>
        <c:noMultiLvlLbl val="0"/>
      </c:catAx>
      <c:valAx>
        <c:axId val="107202048"/>
        <c:scaling>
          <c:orientation val="minMax"/>
        </c:scaling>
        <c:delete val="1"/>
        <c:axPos val="l"/>
        <c:majorGridlines>
          <c:spPr>
            <a:ln w="9525" cap="flat" cmpd="sng" algn="ctr">
              <a:noFill/>
              <a:round/>
            </a:ln>
            <a:effectLst/>
          </c:spPr>
        </c:majorGridlines>
        <c:numFmt formatCode="#,##0" sourceLinked="0"/>
        <c:majorTickMark val="none"/>
        <c:minorTickMark val="none"/>
        <c:tickLblPos val="nextTo"/>
        <c:crossAx val="107200512"/>
        <c:crosses val="autoZero"/>
        <c:crossBetween val="between"/>
      </c:valAx>
      <c:valAx>
        <c:axId val="107203584"/>
        <c:scaling>
          <c:orientation val="minMax"/>
          <c:min val="-0.30000000000000016"/>
        </c:scaling>
        <c:delete val="1"/>
        <c:axPos val="r"/>
        <c:numFmt formatCode="#,##0.00" sourceLinked="1"/>
        <c:majorTickMark val="out"/>
        <c:minorTickMark val="none"/>
        <c:tickLblPos val="nextTo"/>
        <c:crossAx val="111756032"/>
        <c:crosses val="max"/>
        <c:crossBetween val="between"/>
        <c:majorUnit val="0.1"/>
      </c:valAx>
      <c:catAx>
        <c:axId val="111756032"/>
        <c:scaling>
          <c:orientation val="minMax"/>
        </c:scaling>
        <c:delete val="1"/>
        <c:axPos val="b"/>
        <c:numFmt formatCode="General" sourceLinked="1"/>
        <c:majorTickMark val="out"/>
        <c:minorTickMark val="none"/>
        <c:tickLblPos val="nextTo"/>
        <c:crossAx val="107203584"/>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645584264068541E-2"/>
          <c:y val="0.24881795605145773"/>
          <c:w val="0.97335441573593151"/>
          <c:h val="0.51263255770158778"/>
        </c:manualLayout>
      </c:layout>
      <c:barChart>
        <c:barDir val="col"/>
        <c:grouping val="clustered"/>
        <c:varyColors val="0"/>
        <c:ser>
          <c:idx val="0"/>
          <c:order val="0"/>
          <c:tx>
            <c:strRef>
              <c:f>Лист1!$A$2</c:f>
              <c:strCache>
                <c:ptCount val="1"/>
                <c:pt idx="0">
                  <c:v>2020 год</c:v>
                </c:pt>
              </c:strCache>
            </c:strRef>
          </c:tx>
          <c:spPr>
            <a:solidFill>
              <a:srgbClr val="D9D9D9"/>
            </a:solidFill>
            <a:ln w="12700">
              <a:noFill/>
            </a:ln>
          </c:spPr>
          <c:invertIfNegative val="0"/>
          <c:dLbls>
            <c:dLbl>
              <c:idx val="1"/>
              <c:layout>
                <c:manualLayout>
                  <c:x val="-3.2706192107434302E-7"/>
                  <c:y val="8.0702423407836357E-2"/>
                </c:manualLayout>
              </c:layout>
              <c:numFmt formatCode="#,##0.0" sourceLinked="0"/>
              <c:spPr>
                <a:noFill/>
                <a:ln>
                  <a:noFill/>
                </a:ln>
                <a:effectLst/>
              </c:spPr>
              <c:txPr>
                <a:bodyPr wrap="square" lIns="38100" tIns="19050" rIns="38100" bIns="19050" anchor="ctr">
                  <a:noAutofit/>
                </a:bodyPr>
                <a:lstStyle/>
                <a:p>
                  <a:pPr>
                    <a:defRPr sz="900"/>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8.7740901546185232E-2"/>
                      <c:h val="6.1579746477878609E-2"/>
                    </c:manualLayout>
                  </c15:layout>
                </c:ext>
                <c:ext xmlns:c16="http://schemas.microsoft.com/office/drawing/2014/chart" uri="{C3380CC4-5D6E-409C-BE32-E72D297353CC}">
                  <c16:uniqueId val="{00000000-8727-49B0-8E97-C697EA46505B}"/>
                </c:ext>
              </c:extLst>
            </c:dLbl>
            <c:numFmt formatCode="#,##0.0" sourceLinked="0"/>
            <c:spPr>
              <a:noFill/>
              <a:ln>
                <a:noFill/>
              </a:ln>
              <a:effectLst/>
            </c:spPr>
            <c:txPr>
              <a:bodyPr wrap="square" lIns="38100" tIns="19050" rIns="38100" bIns="19050" anchor="ctr">
                <a:spAutoFit/>
              </a:bodyPr>
              <a:lstStyle/>
              <a:p>
                <a:pPr>
                  <a:defRPr sz="9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3"/>
                <c:pt idx="0">
                  <c:v>валовая продукция
сельского хозяйства</c:v>
                </c:pt>
                <c:pt idx="1">
                  <c:v>продукция животноводства</c:v>
                </c:pt>
                <c:pt idx="2">
                  <c:v>продукция растениеводства</c:v>
                </c:pt>
              </c:strCache>
            </c:strRef>
          </c:cat>
          <c:val>
            <c:numRef>
              <c:f>Лист1!$B$2:$D$2</c:f>
              <c:numCache>
                <c:formatCode>0.0</c:formatCode>
                <c:ptCount val="3"/>
                <c:pt idx="0">
                  <c:v>2974.6</c:v>
                </c:pt>
                <c:pt idx="1">
                  <c:v>691.7</c:v>
                </c:pt>
                <c:pt idx="2" formatCode="#,##0.0">
                  <c:v>2282.9</c:v>
                </c:pt>
              </c:numCache>
            </c:numRef>
          </c:val>
          <c:extLst>
            <c:ext xmlns:c16="http://schemas.microsoft.com/office/drawing/2014/chart" uri="{C3380CC4-5D6E-409C-BE32-E72D297353CC}">
              <c16:uniqueId val="{00000001-8727-49B0-8E97-C697EA46505B}"/>
            </c:ext>
          </c:extLst>
        </c:ser>
        <c:ser>
          <c:idx val="1"/>
          <c:order val="1"/>
          <c:tx>
            <c:strRef>
              <c:f>Лист1!$A$3</c:f>
              <c:strCache>
                <c:ptCount val="1"/>
                <c:pt idx="0">
                  <c:v>2021 год</c:v>
                </c:pt>
              </c:strCache>
            </c:strRef>
          </c:tx>
          <c:spPr>
            <a:solidFill>
              <a:srgbClr val="595959"/>
            </a:solidFill>
            <a:ln w="12700" cmpd="sng">
              <a:noFill/>
              <a:prstDash val="solid"/>
            </a:ln>
          </c:spPr>
          <c:invertIfNegative val="0"/>
          <c:dLbls>
            <c:dLbl>
              <c:idx val="1"/>
              <c:layout>
                <c:manualLayout>
                  <c:x val="3.1152647975077881E-3"/>
                  <c:y val="8.515400821534079E-2"/>
                </c:manualLayout>
              </c:layout>
              <c:numFmt formatCode="#,##0.0" sourceLinked="0"/>
              <c:spPr>
                <a:noFill/>
                <a:ln>
                  <a:noFill/>
                </a:ln>
                <a:effectLst/>
              </c:spPr>
              <c:txPr>
                <a:bodyPr wrap="square" lIns="38100" tIns="19050" rIns="38100" bIns="19050" anchor="ctr">
                  <a:noAutofit/>
                </a:bodyPr>
                <a:lstStyle/>
                <a:p>
                  <a:pPr>
                    <a:defRPr sz="900">
                      <a:solidFill>
                        <a:schemeClr val="bg1"/>
                      </a:solidFil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8.1510371951169655E-2"/>
                      <c:h val="6.019326059578875E-2"/>
                    </c:manualLayout>
                  </c15:layout>
                </c:ext>
                <c:ext xmlns:c16="http://schemas.microsoft.com/office/drawing/2014/chart" uri="{C3380CC4-5D6E-409C-BE32-E72D297353CC}">
                  <c16:uniqueId val="{00000002-8727-49B0-8E97-C697EA46505B}"/>
                </c:ext>
              </c:extLst>
            </c:dLbl>
            <c:numFmt formatCode="#,##0.0" sourceLinked="0"/>
            <c:spPr>
              <a:noFill/>
              <a:ln>
                <a:noFill/>
              </a:ln>
              <a:effectLst/>
            </c:spPr>
            <c:txPr>
              <a:bodyPr wrap="square" lIns="38100" tIns="19050" rIns="38100" bIns="19050" anchor="ctr">
                <a:spAutoFit/>
              </a:bodyPr>
              <a:lstStyle/>
              <a:p>
                <a:pPr>
                  <a:defRPr sz="900">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3"/>
                <c:pt idx="0">
                  <c:v>валовая продукция
сельского хозяйства</c:v>
                </c:pt>
                <c:pt idx="1">
                  <c:v>продукция животноводства</c:v>
                </c:pt>
                <c:pt idx="2">
                  <c:v>продукция растениеводства</c:v>
                </c:pt>
              </c:strCache>
            </c:strRef>
          </c:cat>
          <c:val>
            <c:numRef>
              <c:f>Лист1!$B$3:$D$3</c:f>
              <c:numCache>
                <c:formatCode>0.0</c:formatCode>
                <c:ptCount val="3"/>
                <c:pt idx="0">
                  <c:v>4628.6000000000004</c:v>
                </c:pt>
                <c:pt idx="1">
                  <c:v>673.5</c:v>
                </c:pt>
                <c:pt idx="2" formatCode="#,##0.0">
                  <c:v>3955.1</c:v>
                </c:pt>
              </c:numCache>
            </c:numRef>
          </c:val>
          <c:extLst>
            <c:ext xmlns:c16="http://schemas.microsoft.com/office/drawing/2014/chart" uri="{C3380CC4-5D6E-409C-BE32-E72D297353CC}">
              <c16:uniqueId val="{00000003-8727-49B0-8E97-C697EA46505B}"/>
            </c:ext>
          </c:extLst>
        </c:ser>
        <c:dLbls>
          <c:showLegendKey val="0"/>
          <c:showVal val="1"/>
          <c:showCatName val="0"/>
          <c:showSerName val="0"/>
          <c:showPercent val="0"/>
          <c:showBubbleSize val="0"/>
        </c:dLbls>
        <c:gapWidth val="70"/>
        <c:axId val="79833344"/>
        <c:axId val="79839616"/>
      </c:barChart>
      <c:catAx>
        <c:axId val="79833344"/>
        <c:scaling>
          <c:orientation val="minMax"/>
        </c:scaling>
        <c:delete val="0"/>
        <c:axPos val="b"/>
        <c:numFmt formatCode="General" sourceLinked="1"/>
        <c:majorTickMark val="none"/>
        <c:minorTickMark val="none"/>
        <c:tickLblPos val="nextTo"/>
        <c:spPr>
          <a:ln>
            <a:solidFill>
              <a:sysClr val="window" lastClr="FFFFFF">
                <a:lumMod val="85000"/>
              </a:sysClr>
            </a:solidFill>
          </a:ln>
        </c:spPr>
        <c:txPr>
          <a:bodyPr/>
          <a:lstStyle/>
          <a:p>
            <a:pPr>
              <a:defRPr sz="900" b="0">
                <a:solidFill>
                  <a:sysClr val="windowText" lastClr="000000"/>
                </a:solidFill>
              </a:defRPr>
            </a:pPr>
            <a:endParaRPr lang="ru-RU"/>
          </a:p>
        </c:txPr>
        <c:crossAx val="79839616"/>
        <c:crosses val="autoZero"/>
        <c:auto val="1"/>
        <c:lblAlgn val="ctr"/>
        <c:lblOffset val="100"/>
        <c:noMultiLvlLbl val="0"/>
      </c:catAx>
      <c:valAx>
        <c:axId val="79839616"/>
        <c:scaling>
          <c:orientation val="minMax"/>
          <c:min val="0"/>
        </c:scaling>
        <c:delete val="1"/>
        <c:axPos val="l"/>
        <c:numFmt formatCode="0.0" sourceLinked="1"/>
        <c:majorTickMark val="out"/>
        <c:minorTickMark val="none"/>
        <c:tickLblPos val="nextTo"/>
        <c:crossAx val="79833344"/>
        <c:crosses val="autoZero"/>
        <c:crossBetween val="between"/>
      </c:valAx>
    </c:plotArea>
    <c:legend>
      <c:legendPos val="b"/>
      <c:layout>
        <c:manualLayout>
          <c:xMode val="edge"/>
          <c:yMode val="edge"/>
          <c:x val="0.18481985255944353"/>
          <c:y val="0.9054656573725387"/>
          <c:w val="0.5948331217189895"/>
          <c:h val="8.9281955697566792E-2"/>
        </c:manualLayout>
      </c:layout>
      <c:overlay val="0"/>
      <c:spPr>
        <a:ln>
          <a:noFill/>
        </a:ln>
        <a:effectLst/>
      </c:spPr>
      <c:txPr>
        <a:bodyPr/>
        <a:lstStyle/>
        <a:p>
          <a:pPr>
            <a:defRPr sz="900" b="0">
              <a:solidFill>
                <a:sysClr val="windowText" lastClr="000000"/>
              </a:solidFill>
            </a:defRPr>
          </a:pPr>
          <a:endParaRPr lang="ru-RU"/>
        </a:p>
      </c:txPr>
    </c:legend>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671563177690922E-2"/>
          <c:y val="9.5434931276775686E-2"/>
          <c:w val="0.5245171010579246"/>
          <c:h val="0.74212586498484112"/>
        </c:manualLayout>
      </c:layout>
      <c:barChart>
        <c:barDir val="bar"/>
        <c:grouping val="stacked"/>
        <c:varyColors val="0"/>
        <c:ser>
          <c:idx val="0"/>
          <c:order val="0"/>
          <c:tx>
            <c:strRef>
              <c:f>Лист1!$B$1</c:f>
              <c:strCache>
                <c:ptCount val="1"/>
                <c:pt idx="0">
                  <c:v>2020 год</c:v>
                </c:pt>
              </c:strCache>
            </c:strRef>
          </c:tx>
          <c:spPr>
            <a:solidFill>
              <a:srgbClr val="D9D9D9"/>
            </a:solidFill>
            <a:ln>
              <a:noFill/>
            </a:ln>
            <a:effectLst/>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F0-4D0E-9680-0A2830B05822}"/>
                </c:ext>
              </c:extLst>
            </c:dLbl>
            <c:dLbl>
              <c:idx val="1"/>
              <c:layout>
                <c:manualLayout>
                  <c:x val="-4.6586711256868626E-2"/>
                  <c:y val="1.7226024396626828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0857432879156674E-2"/>
                      <c:h val="5.8390021308592159E-2"/>
                    </c:manualLayout>
                  </c15:layout>
                </c:ext>
                <c:ext xmlns:c16="http://schemas.microsoft.com/office/drawing/2014/chart" uri="{C3380CC4-5D6E-409C-BE32-E72D297353CC}">
                  <c16:uniqueId val="{00000001-94F0-4D0E-9680-0A2830B05822}"/>
                </c:ext>
              </c:extLst>
            </c:dLbl>
            <c:dLbl>
              <c:idx val="2"/>
              <c:layout>
                <c:manualLayout>
                  <c:x val="-4.3517721246242674E-2"/>
                  <c:y val="4.37541019470575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F0-4D0E-9680-0A2830B0582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сельскохозяйственные организации</c:v>
                </c:pt>
                <c:pt idx="1">
                  <c:v>хозяйства населения</c:v>
                </c:pt>
                <c:pt idx="2">
                  <c:v>крестьянские (фермерские) хозяйства и арендаторы</c:v>
                </c:pt>
              </c:strCache>
            </c:strRef>
          </c:cat>
          <c:val>
            <c:numRef>
              <c:f>Лист1!$B$2:$B$4</c:f>
              <c:numCache>
                <c:formatCode>0.00%</c:formatCode>
                <c:ptCount val="3"/>
                <c:pt idx="0">
                  <c:v>-0.441</c:v>
                </c:pt>
                <c:pt idx="1">
                  <c:v>-0.48299999999999998</c:v>
                </c:pt>
                <c:pt idx="2">
                  <c:v>-7.5999999999999998E-2</c:v>
                </c:pt>
              </c:numCache>
            </c:numRef>
          </c:val>
          <c:extLst>
            <c:ext xmlns:c16="http://schemas.microsoft.com/office/drawing/2014/chart" uri="{C3380CC4-5D6E-409C-BE32-E72D297353CC}">
              <c16:uniqueId val="{00000003-94F0-4D0E-9680-0A2830B05822}"/>
            </c:ext>
          </c:extLst>
        </c:ser>
        <c:ser>
          <c:idx val="2"/>
          <c:order val="1"/>
          <c:tx>
            <c:strRef>
              <c:f>Лист1!$D$1</c:f>
              <c:strCache>
                <c:ptCount val="1"/>
                <c:pt idx="0">
                  <c:v>2021 год</c:v>
                </c:pt>
              </c:strCache>
            </c:strRef>
          </c:tx>
          <c:spPr>
            <a:solidFill>
              <a:srgbClr val="595959"/>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F0-4D0E-9680-0A2830B05822}"/>
                </c:ext>
              </c:extLst>
            </c:dLbl>
            <c:dLbl>
              <c:idx val="1"/>
              <c:layout>
                <c:manualLayout>
                  <c:x val="8.563874890729703E-2"/>
                  <c:y val="4.37644375616907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F0-4D0E-9680-0A2830B05822}"/>
                </c:ext>
              </c:extLst>
            </c:dLbl>
            <c:dLbl>
              <c:idx val="2"/>
              <c:layout>
                <c:manualLayout>
                  <c:x val="7.4240064493030888E-2"/>
                  <c:y val="1.0335614633965351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F0-4D0E-9680-0A2830B0582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сельскохозяйственные организации</c:v>
                </c:pt>
                <c:pt idx="1">
                  <c:v>хозяйства населения</c:v>
                </c:pt>
                <c:pt idx="2">
                  <c:v>крестьянские (фермерские) хозяйства и арендаторы</c:v>
                </c:pt>
              </c:strCache>
            </c:strRef>
          </c:cat>
          <c:val>
            <c:numRef>
              <c:f>Лист1!$D$2:$D$4</c:f>
              <c:numCache>
                <c:formatCode>0.00%</c:formatCode>
                <c:ptCount val="3"/>
                <c:pt idx="0">
                  <c:v>0.57799999999999996</c:v>
                </c:pt>
                <c:pt idx="1">
                  <c:v>0.251</c:v>
                </c:pt>
                <c:pt idx="2">
                  <c:v>0.17100000000000001</c:v>
                </c:pt>
              </c:numCache>
            </c:numRef>
          </c:val>
          <c:extLst>
            <c:ext xmlns:c16="http://schemas.microsoft.com/office/drawing/2014/chart" uri="{C3380CC4-5D6E-409C-BE32-E72D297353CC}">
              <c16:uniqueId val="{00000007-94F0-4D0E-9680-0A2830B05822}"/>
            </c:ext>
          </c:extLst>
        </c:ser>
        <c:dLbls>
          <c:showLegendKey val="0"/>
          <c:showVal val="0"/>
          <c:showCatName val="0"/>
          <c:showSerName val="0"/>
          <c:showPercent val="0"/>
          <c:showBubbleSize val="0"/>
        </c:dLbls>
        <c:gapWidth val="113"/>
        <c:overlap val="100"/>
        <c:axId val="81158912"/>
        <c:axId val="81180160"/>
      </c:barChart>
      <c:catAx>
        <c:axId val="81158912"/>
        <c:scaling>
          <c:orientation val="maxMin"/>
        </c:scaling>
        <c:delete val="0"/>
        <c:axPos val="l"/>
        <c:numFmt formatCode="General" sourceLinked="1"/>
        <c:majorTickMark val="none"/>
        <c:minorTickMark val="none"/>
        <c:tickLblPos val="high"/>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180160"/>
        <c:crosses val="autoZero"/>
        <c:auto val="1"/>
        <c:lblAlgn val="ctr"/>
        <c:lblOffset val="100"/>
        <c:noMultiLvlLbl val="0"/>
      </c:catAx>
      <c:valAx>
        <c:axId val="81180160"/>
        <c:scaling>
          <c:orientation val="minMax"/>
          <c:max val="0.6000000000000002"/>
        </c:scaling>
        <c:delete val="0"/>
        <c:axPos val="t"/>
        <c:numFmt formatCode="#,##0.0%;#,##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158912"/>
        <c:crosses val="autoZero"/>
        <c:crossBetween val="between"/>
      </c:valAx>
      <c:spPr>
        <a:noFill/>
        <a:ln>
          <a:noFill/>
        </a:ln>
        <a:effectLst/>
      </c:spPr>
    </c:plotArea>
    <c:legend>
      <c:legendPos val="b"/>
      <c:layout>
        <c:manualLayout>
          <c:xMode val="edge"/>
          <c:yMode val="edge"/>
          <c:x val="6.3036839583819573E-2"/>
          <c:y val="0.86452256176248177"/>
          <c:w val="0.4869097662864984"/>
          <c:h val="6.94174330812020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4082997689803"/>
          <c:y val="0.1022942657951376"/>
          <c:w val="0.84744181170902033"/>
          <c:h val="0.5059955005624297"/>
        </c:manualLayout>
      </c:layout>
      <c:barChart>
        <c:barDir val="col"/>
        <c:grouping val="percentStacked"/>
        <c:varyColors val="0"/>
        <c:ser>
          <c:idx val="0"/>
          <c:order val="0"/>
          <c:tx>
            <c:strRef>
              <c:f>Лист1!$B$1</c:f>
              <c:strCache>
                <c:ptCount val="1"/>
                <c:pt idx="0">
                  <c:v>хозяйства населения</c:v>
                </c:pt>
              </c:strCache>
            </c:strRef>
          </c:tx>
          <c:spPr>
            <a:solidFill>
              <a:srgbClr val="595959"/>
            </a:solidFill>
            <a:ln>
              <a:solidFill>
                <a:schemeClr val="tx1"/>
              </a:solidFill>
            </a:ln>
            <a:effectLst/>
          </c:spPr>
          <c:invertIfNegative val="0"/>
          <c:dLbls>
            <c:dLbl>
              <c:idx val="0"/>
              <c:tx>
                <c:rich>
                  <a:bodyPr/>
                  <a:lstStyle/>
                  <a:p>
                    <a:r>
                      <a:rPr lang="en-US"/>
                      <a:t>50,3%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D8-455B-B05E-6BCFA9E8F68E}"/>
                </c:ext>
              </c:extLst>
            </c:dLbl>
            <c:dLbl>
              <c:idx val="1"/>
              <c:tx>
                <c:rich>
                  <a:bodyPr/>
                  <a:lstStyle/>
                  <a:p>
                    <a:r>
                      <a:rPr lang="en-US"/>
                      <a:t>34,5%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D8-455B-B05E-6BCFA9E8F68E}"/>
                </c:ext>
              </c:extLst>
            </c:dLbl>
            <c:dLbl>
              <c:idx val="2"/>
              <c:tx>
                <c:rich>
                  <a:bodyPr/>
                  <a:lstStyle/>
                  <a:p>
                    <a:r>
                      <a:rPr lang="en-US"/>
                      <a:t>61,4%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D8-455B-B05E-6BCFA9E8F68E}"/>
                </c:ext>
              </c:extLst>
            </c:dLbl>
            <c:dLbl>
              <c:idx val="3"/>
              <c:layout>
                <c:manualLayout>
                  <c:x val="0"/>
                  <c:y val="-5.1942187935834034E-3"/>
                </c:manualLayout>
              </c:layout>
              <c:tx>
                <c:rich>
                  <a:bodyPr/>
                  <a:lstStyle/>
                  <a:p>
                    <a:r>
                      <a:rPr lang="en-US"/>
                      <a:t>34,1%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D8-455B-B05E-6BCFA9E8F6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КРС</c:v>
                </c:pt>
                <c:pt idx="1">
                  <c:v>Свиньи</c:v>
                </c:pt>
                <c:pt idx="2">
                  <c:v>Овцы и козы</c:v>
                </c:pt>
                <c:pt idx="3">
                  <c:v>Птица</c:v>
                </c:pt>
              </c:strCache>
            </c:strRef>
          </c:cat>
          <c:val>
            <c:numRef>
              <c:f>Лист1!$B$2:$B$5</c:f>
              <c:numCache>
                <c:formatCode>0.0</c:formatCode>
                <c:ptCount val="4"/>
                <c:pt idx="0">
                  <c:v>50.3</c:v>
                </c:pt>
                <c:pt idx="1">
                  <c:v>34.5</c:v>
                </c:pt>
                <c:pt idx="2">
                  <c:v>61.4</c:v>
                </c:pt>
                <c:pt idx="3" formatCode="General">
                  <c:v>34.1</c:v>
                </c:pt>
              </c:numCache>
            </c:numRef>
          </c:val>
          <c:extLst>
            <c:ext xmlns:c16="http://schemas.microsoft.com/office/drawing/2014/chart" uri="{C3380CC4-5D6E-409C-BE32-E72D297353CC}">
              <c16:uniqueId val="{00000004-DFD8-455B-B05E-6BCFA9E8F68E}"/>
            </c:ext>
          </c:extLst>
        </c:ser>
        <c:ser>
          <c:idx val="1"/>
          <c:order val="1"/>
          <c:tx>
            <c:strRef>
              <c:f>Лист1!$C$1</c:f>
              <c:strCache>
                <c:ptCount val="1"/>
                <c:pt idx="0">
                  <c:v>сельскохозяйственные организации и подсобные хозяйства</c:v>
                </c:pt>
              </c:strCache>
            </c:strRef>
          </c:tx>
          <c:spPr>
            <a:solidFill>
              <a:schemeClr val="bg1"/>
            </a:solidFill>
            <a:ln>
              <a:solidFill>
                <a:schemeClr val="tx1"/>
              </a:solidFill>
            </a:ln>
            <a:effectLst/>
          </c:spPr>
          <c:invertIfNegative val="0"/>
          <c:dLbls>
            <c:dLbl>
              <c:idx val="0"/>
              <c:tx>
                <c:rich>
                  <a:bodyPr/>
                  <a:lstStyle/>
                  <a:p>
                    <a:r>
                      <a:rPr lang="en-US"/>
                      <a:t>30,4%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D8-455B-B05E-6BCFA9E8F68E}"/>
                </c:ext>
              </c:extLst>
            </c:dLbl>
            <c:dLbl>
              <c:idx val="1"/>
              <c:layout>
                <c:manualLayout>
                  <c:x val="0"/>
                  <c:y val="3.0895048108440865E-17"/>
                </c:manualLayout>
              </c:layout>
              <c:tx>
                <c:rich>
                  <a:bodyPr/>
                  <a:lstStyle/>
                  <a:p>
                    <a:r>
                      <a:rPr lang="en-US"/>
                      <a:t>44,3%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D8-455B-B05E-6BCFA9E8F68E}"/>
                </c:ext>
              </c:extLst>
            </c:dLbl>
            <c:dLbl>
              <c:idx val="2"/>
              <c:tx>
                <c:rich>
                  <a:bodyPr/>
                  <a:lstStyle/>
                  <a:p>
                    <a:r>
                      <a:rPr lang="en-US"/>
                      <a:t>16,3%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D8-455B-B05E-6BCFA9E8F68E}"/>
                </c:ext>
              </c:extLst>
            </c:dLbl>
            <c:dLbl>
              <c:idx val="3"/>
              <c:tx>
                <c:rich>
                  <a:bodyPr/>
                  <a:lstStyle/>
                  <a:p>
                    <a:r>
                      <a:rPr lang="en-US"/>
                      <a:t>60,4%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D8-455B-B05E-6BCFA9E8F6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КРС</c:v>
                </c:pt>
                <c:pt idx="1">
                  <c:v>Свиньи</c:v>
                </c:pt>
                <c:pt idx="2">
                  <c:v>Овцы и козы</c:v>
                </c:pt>
                <c:pt idx="3">
                  <c:v>Птица</c:v>
                </c:pt>
              </c:strCache>
            </c:strRef>
          </c:cat>
          <c:val>
            <c:numRef>
              <c:f>Лист1!$C$2:$C$5</c:f>
              <c:numCache>
                <c:formatCode>General</c:formatCode>
                <c:ptCount val="4"/>
                <c:pt idx="0" formatCode="0.0">
                  <c:v>30.4</c:v>
                </c:pt>
                <c:pt idx="1">
                  <c:v>44.3</c:v>
                </c:pt>
                <c:pt idx="2" formatCode="0.0">
                  <c:v>16.3</c:v>
                </c:pt>
                <c:pt idx="3">
                  <c:v>60.4</c:v>
                </c:pt>
              </c:numCache>
            </c:numRef>
          </c:val>
          <c:extLst>
            <c:ext xmlns:c16="http://schemas.microsoft.com/office/drawing/2014/chart" uri="{C3380CC4-5D6E-409C-BE32-E72D297353CC}">
              <c16:uniqueId val="{00000009-DFD8-455B-B05E-6BCFA9E8F68E}"/>
            </c:ext>
          </c:extLst>
        </c:ser>
        <c:ser>
          <c:idx val="2"/>
          <c:order val="2"/>
          <c:tx>
            <c:strRef>
              <c:f>Лист1!$D$1</c:f>
              <c:strCache>
                <c:ptCount val="1"/>
                <c:pt idx="0">
                  <c:v>крестьянские (фермерские)  хозяйства</c:v>
                </c:pt>
              </c:strCache>
            </c:strRef>
          </c:tx>
          <c:spPr>
            <a:solidFill>
              <a:schemeClr val="bg1">
                <a:lumMod val="75000"/>
              </a:schemeClr>
            </a:solidFill>
            <a:ln>
              <a:solidFill>
                <a:schemeClr val="tx1"/>
              </a:solidFill>
            </a:ln>
            <a:effectLst/>
          </c:spPr>
          <c:invertIfNegative val="0"/>
          <c:dLbls>
            <c:dLbl>
              <c:idx val="0"/>
              <c:tx>
                <c:rich>
                  <a:bodyPr/>
                  <a:lstStyle/>
                  <a:p>
                    <a:r>
                      <a:rPr lang="en-US"/>
                      <a:t>19,3%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D8-455B-B05E-6BCFA9E8F68E}"/>
                </c:ext>
              </c:extLst>
            </c:dLbl>
            <c:dLbl>
              <c:idx val="1"/>
              <c:tx>
                <c:rich>
                  <a:bodyPr/>
                  <a:lstStyle/>
                  <a:p>
                    <a:r>
                      <a:rPr lang="en-US"/>
                      <a:t>21,2%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D8-455B-B05E-6BCFA9E8F68E}"/>
                </c:ext>
              </c:extLst>
            </c:dLbl>
            <c:dLbl>
              <c:idx val="2"/>
              <c:tx>
                <c:rich>
                  <a:bodyPr/>
                  <a:lstStyle/>
                  <a:p>
                    <a:r>
                      <a:rPr lang="en-US"/>
                      <a:t>22,3%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D8-455B-B05E-6BCFA9E8F68E}"/>
                </c:ext>
              </c:extLst>
            </c:dLbl>
            <c:dLbl>
              <c:idx val="3"/>
              <c:layout>
                <c:manualLayout>
                  <c:x val="2.1155260455404628E-3"/>
                  <c:y val="-4.1553750348667005E-2"/>
                </c:manualLayout>
              </c:layout>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FD8-455B-B05E-6BCFA9E8F6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КРС</c:v>
                </c:pt>
                <c:pt idx="1">
                  <c:v>Свиньи</c:v>
                </c:pt>
                <c:pt idx="2">
                  <c:v>Овцы и козы</c:v>
                </c:pt>
                <c:pt idx="3">
                  <c:v>Птица</c:v>
                </c:pt>
              </c:strCache>
            </c:strRef>
          </c:cat>
          <c:val>
            <c:numRef>
              <c:f>Лист1!$D$2:$D$5</c:f>
              <c:numCache>
                <c:formatCode>General</c:formatCode>
                <c:ptCount val="4"/>
                <c:pt idx="0">
                  <c:v>19.3</c:v>
                </c:pt>
                <c:pt idx="1">
                  <c:v>21.2</c:v>
                </c:pt>
                <c:pt idx="2">
                  <c:v>22.3</c:v>
                </c:pt>
                <c:pt idx="3">
                  <c:v>5.5</c:v>
                </c:pt>
              </c:numCache>
            </c:numRef>
          </c:val>
          <c:extLst>
            <c:ext xmlns:c16="http://schemas.microsoft.com/office/drawing/2014/chart" uri="{C3380CC4-5D6E-409C-BE32-E72D297353CC}">
              <c16:uniqueId val="{0000000E-DFD8-455B-B05E-6BCFA9E8F68E}"/>
            </c:ext>
          </c:extLst>
        </c:ser>
        <c:dLbls>
          <c:showLegendKey val="0"/>
          <c:showVal val="0"/>
          <c:showCatName val="0"/>
          <c:showSerName val="0"/>
          <c:showPercent val="0"/>
          <c:showBubbleSize val="0"/>
        </c:dLbls>
        <c:gapWidth val="150"/>
        <c:overlap val="100"/>
        <c:axId val="95017216"/>
        <c:axId val="95045888"/>
      </c:barChart>
      <c:catAx>
        <c:axId val="950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5045888"/>
        <c:crosses val="autoZero"/>
        <c:auto val="1"/>
        <c:lblAlgn val="ctr"/>
        <c:lblOffset val="100"/>
        <c:noMultiLvlLbl val="0"/>
      </c:catAx>
      <c:valAx>
        <c:axId val="95045888"/>
        <c:scaling>
          <c:orientation val="minMax"/>
        </c:scaling>
        <c:delete val="1"/>
        <c:axPos val="l"/>
        <c:numFmt formatCode="0%" sourceLinked="1"/>
        <c:majorTickMark val="none"/>
        <c:minorTickMark val="none"/>
        <c:tickLblPos val="nextTo"/>
        <c:crossAx val="95017216"/>
        <c:crosses val="autoZero"/>
        <c:crossBetween val="between"/>
        <c:majorUnit val="0.2"/>
      </c:valAx>
      <c:spPr>
        <a:noFill/>
        <a:ln>
          <a:noFill/>
        </a:ln>
        <a:effectLst/>
      </c:spPr>
    </c:plotArea>
    <c:legend>
      <c:legendPos val="b"/>
      <c:layout>
        <c:manualLayout>
          <c:xMode val="edge"/>
          <c:yMode val="edge"/>
          <c:x val="0.25368446591234928"/>
          <c:y val="0.73220992750355562"/>
          <c:w val="0.59015155785265383"/>
          <c:h val="0.246576459495961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586694703863921E-2"/>
          <c:y val="0.19454414388982533"/>
          <c:w val="0.97335441573593151"/>
          <c:h val="0.61077877632787059"/>
        </c:manualLayout>
      </c:layout>
      <c:barChart>
        <c:barDir val="col"/>
        <c:grouping val="clustered"/>
        <c:varyColors val="0"/>
        <c:ser>
          <c:idx val="0"/>
          <c:order val="0"/>
          <c:tx>
            <c:strRef>
              <c:f>Лист1!$B$1</c:f>
              <c:strCache>
                <c:ptCount val="1"/>
                <c:pt idx="0">
                  <c:v>2020 год</c:v>
                </c:pt>
              </c:strCache>
            </c:strRef>
          </c:tx>
          <c:spPr>
            <a:solidFill>
              <a:srgbClr val="D9D9D9"/>
            </a:solidFill>
            <a:ln>
              <a:noFill/>
            </a:ln>
            <a:effectLst/>
          </c:spPr>
          <c:invertIfNegative val="0"/>
          <c:dLbls>
            <c:dLbl>
              <c:idx val="1"/>
              <c:layout>
                <c:manualLayout>
                  <c:x val="0"/>
                  <c:y val="7.86338850500830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3E-42AF-846C-D1C6F1543580}"/>
                </c:ext>
              </c:extLst>
            </c:dLbl>
            <c:dLbl>
              <c:idx val="5"/>
              <c:delete val="1"/>
              <c:extLst>
                <c:ext xmlns:c15="http://schemas.microsoft.com/office/drawing/2012/chart" uri="{CE6537A1-D6FC-4f65-9D91-7224C49458BB}"/>
                <c:ext xmlns:c16="http://schemas.microsoft.com/office/drawing/2014/chart" uri="{C3380CC4-5D6E-409C-BE32-E72D297353CC}">
                  <c16:uniqueId val="{00000001-CD3E-42AF-846C-D1C6F154358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фиксированная связь</c:v>
                </c:pt>
                <c:pt idx="1">
                  <c:v>радиовещание</c:v>
                </c:pt>
                <c:pt idx="2">
                  <c:v>мобильная связь</c:v>
                </c:pt>
                <c:pt idx="3">
                  <c:v>интернет </c:v>
                </c:pt>
                <c:pt idx="4">
                  <c:v>телевизионное вещание</c:v>
                </c:pt>
              </c:strCache>
            </c:strRef>
          </c:cat>
          <c:val>
            <c:numRef>
              <c:f>Лист1!$B$2:$B$6</c:f>
              <c:numCache>
                <c:formatCode>#,##0.0</c:formatCode>
                <c:ptCount val="5"/>
                <c:pt idx="0">
                  <c:v>114.9</c:v>
                </c:pt>
                <c:pt idx="1">
                  <c:v>38.4</c:v>
                </c:pt>
                <c:pt idx="2">
                  <c:v>225.2</c:v>
                </c:pt>
                <c:pt idx="3">
                  <c:v>282.10000000000002</c:v>
                </c:pt>
                <c:pt idx="4">
                  <c:v>107.1</c:v>
                </c:pt>
              </c:numCache>
            </c:numRef>
          </c:val>
          <c:extLst>
            <c:ext xmlns:c16="http://schemas.microsoft.com/office/drawing/2014/chart" uri="{C3380CC4-5D6E-409C-BE32-E72D297353CC}">
              <c16:uniqueId val="{00000002-CD3E-42AF-846C-D1C6F1543580}"/>
            </c:ext>
          </c:extLst>
        </c:ser>
        <c:ser>
          <c:idx val="1"/>
          <c:order val="1"/>
          <c:tx>
            <c:strRef>
              <c:f>Лист1!$C$1</c:f>
              <c:strCache>
                <c:ptCount val="1"/>
                <c:pt idx="0">
                  <c:v>2021 год</c:v>
                </c:pt>
              </c:strCache>
            </c:strRef>
          </c:tx>
          <c:spPr>
            <a:solidFill>
              <a:srgbClr val="595959"/>
            </a:solidFill>
            <a:ln>
              <a:noFill/>
            </a:ln>
            <a:effectLst/>
          </c:spPr>
          <c:invertIfNegative val="0"/>
          <c:dLbls>
            <c:dLbl>
              <c:idx val="1"/>
              <c:layout>
                <c:manualLayout>
                  <c:x val="0"/>
                  <c:y val="2.3535843514438881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3E-42AF-846C-D1C6F154358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фиксированная связь</c:v>
                </c:pt>
                <c:pt idx="1">
                  <c:v>радиовещание</c:v>
                </c:pt>
                <c:pt idx="2">
                  <c:v>мобильная связь</c:v>
                </c:pt>
                <c:pt idx="3">
                  <c:v>интернет </c:v>
                </c:pt>
                <c:pt idx="4">
                  <c:v>телевизионное вещание</c:v>
                </c:pt>
              </c:strCache>
            </c:strRef>
          </c:cat>
          <c:val>
            <c:numRef>
              <c:f>Лист1!$C$2:$C$6</c:f>
              <c:numCache>
                <c:formatCode>#,##0.0</c:formatCode>
                <c:ptCount val="5"/>
                <c:pt idx="0">
                  <c:v>112.5</c:v>
                </c:pt>
                <c:pt idx="1">
                  <c:v>37.800000000000011</c:v>
                </c:pt>
                <c:pt idx="2" formatCode="General">
                  <c:v>245.8</c:v>
                </c:pt>
                <c:pt idx="3" formatCode="General">
                  <c:v>303.8</c:v>
                </c:pt>
                <c:pt idx="4" formatCode="General">
                  <c:v>113.2</c:v>
                </c:pt>
              </c:numCache>
            </c:numRef>
          </c:val>
          <c:extLst>
            <c:ext xmlns:c16="http://schemas.microsoft.com/office/drawing/2014/chart" uri="{C3380CC4-5D6E-409C-BE32-E72D297353CC}">
              <c16:uniqueId val="{00000004-CD3E-42AF-846C-D1C6F1543580}"/>
            </c:ext>
          </c:extLst>
        </c:ser>
        <c:dLbls>
          <c:showLegendKey val="0"/>
          <c:showVal val="1"/>
          <c:showCatName val="0"/>
          <c:showSerName val="0"/>
          <c:showPercent val="0"/>
          <c:showBubbleSize val="0"/>
        </c:dLbls>
        <c:gapWidth val="121"/>
        <c:overlap val="3"/>
        <c:axId val="79831040"/>
        <c:axId val="79833728"/>
      </c:barChart>
      <c:catAx>
        <c:axId val="7983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833728"/>
        <c:crosses val="autoZero"/>
        <c:auto val="1"/>
        <c:lblAlgn val="ctr"/>
        <c:lblOffset val="100"/>
        <c:noMultiLvlLbl val="0"/>
      </c:catAx>
      <c:valAx>
        <c:axId val="79833728"/>
        <c:scaling>
          <c:orientation val="minMax"/>
          <c:max val="32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7983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lgn="just">
        <a:defRPr/>
      </a:pPr>
      <a:endParaRPr lang="ru-RU"/>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213908066419838E-2"/>
          <c:y val="0.22653915665386121"/>
          <c:w val="0.97567931575288214"/>
          <c:h val="0.50710795666112674"/>
        </c:manualLayout>
      </c:layout>
      <c:barChart>
        <c:barDir val="col"/>
        <c:grouping val="clustered"/>
        <c:varyColors val="0"/>
        <c:ser>
          <c:idx val="0"/>
          <c:order val="0"/>
          <c:tx>
            <c:strRef>
              <c:f>Лист1!$B$1</c:f>
              <c:strCache>
                <c:ptCount val="1"/>
                <c:pt idx="0">
                  <c:v>2020 год</c:v>
                </c:pt>
              </c:strCache>
            </c:strRef>
          </c:tx>
          <c:spPr>
            <a:solidFill>
              <a:srgbClr val="D9D9D9"/>
            </a:solidFill>
            <a:ln>
              <a:noFill/>
            </a:ln>
            <a:effectLst/>
          </c:spPr>
          <c:invertIfNegative val="0"/>
          <c:dLbls>
            <c:dLbl>
              <c:idx val="1"/>
              <c:layout>
                <c:manualLayout>
                  <c:x val="0"/>
                  <c:y val="8.602929824083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36-434E-85D9-797765090246}"/>
                </c:ext>
              </c:extLst>
            </c:dLbl>
            <c:dLbl>
              <c:idx val="3"/>
              <c:layout>
                <c:manualLayout>
                  <c:x val="-4.106776180698153E-3"/>
                  <c:y val="8.32104908819483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36-434E-85D9-79776509024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внешнеторговый оборот</c:v>
                </c:pt>
                <c:pt idx="1">
                  <c:v>экспорт</c:v>
                </c:pt>
                <c:pt idx="2">
                  <c:v>импорт</c:v>
                </c:pt>
                <c:pt idx="3">
                  <c:v>сальдо</c:v>
                </c:pt>
              </c:strCache>
            </c:strRef>
          </c:cat>
          <c:val>
            <c:numRef>
              <c:f>Лист1!$B$2:$B$5</c:f>
              <c:numCache>
                <c:formatCode>General</c:formatCode>
                <c:ptCount val="4"/>
                <c:pt idx="0">
                  <c:v>1685.9</c:v>
                </c:pt>
                <c:pt idx="1">
                  <c:v>633.1</c:v>
                </c:pt>
                <c:pt idx="2">
                  <c:v>1052.7</c:v>
                </c:pt>
                <c:pt idx="3">
                  <c:v>-419.6</c:v>
                </c:pt>
              </c:numCache>
            </c:numRef>
          </c:val>
          <c:extLst>
            <c:ext xmlns:c16="http://schemas.microsoft.com/office/drawing/2014/chart" uri="{C3380CC4-5D6E-409C-BE32-E72D297353CC}">
              <c16:uniqueId val="{00000002-1A36-434E-85D9-797765090246}"/>
            </c:ext>
          </c:extLst>
        </c:ser>
        <c:ser>
          <c:idx val="1"/>
          <c:order val="1"/>
          <c:tx>
            <c:strRef>
              <c:f>Лист1!$C$1</c:f>
              <c:strCache>
                <c:ptCount val="1"/>
                <c:pt idx="0">
                  <c:v>2021 год</c:v>
                </c:pt>
              </c:strCache>
            </c:strRef>
          </c:tx>
          <c:spPr>
            <a:solidFill>
              <a:srgbClr val="595959"/>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внешнеторговый оборот</c:v>
                </c:pt>
                <c:pt idx="1">
                  <c:v>экспорт</c:v>
                </c:pt>
                <c:pt idx="2">
                  <c:v>импорт</c:v>
                </c:pt>
                <c:pt idx="3">
                  <c:v>сальдо</c:v>
                </c:pt>
              </c:strCache>
            </c:strRef>
          </c:cat>
          <c:val>
            <c:numRef>
              <c:f>Лист1!$C$2:$C$5</c:f>
              <c:numCache>
                <c:formatCode>General</c:formatCode>
                <c:ptCount val="4"/>
                <c:pt idx="0">
                  <c:v>2584.9</c:v>
                </c:pt>
                <c:pt idx="1">
                  <c:v>938.9</c:v>
                </c:pt>
                <c:pt idx="2">
                  <c:v>1646</c:v>
                </c:pt>
                <c:pt idx="3">
                  <c:v>-707.1</c:v>
                </c:pt>
              </c:numCache>
            </c:numRef>
          </c:val>
          <c:extLst>
            <c:ext xmlns:c16="http://schemas.microsoft.com/office/drawing/2014/chart" uri="{C3380CC4-5D6E-409C-BE32-E72D297353CC}">
              <c16:uniqueId val="{00000003-1A36-434E-85D9-797765090246}"/>
            </c:ext>
          </c:extLst>
        </c:ser>
        <c:dLbls>
          <c:showLegendKey val="0"/>
          <c:showVal val="0"/>
          <c:showCatName val="0"/>
          <c:showSerName val="0"/>
          <c:showPercent val="0"/>
          <c:showBubbleSize val="0"/>
        </c:dLbls>
        <c:gapWidth val="84"/>
        <c:axId val="79832960"/>
        <c:axId val="81158144"/>
      </c:barChart>
      <c:catAx>
        <c:axId val="79832960"/>
        <c:scaling>
          <c:orientation val="minMax"/>
        </c:scaling>
        <c:delete val="0"/>
        <c:axPos val="b"/>
        <c:numFmt formatCode="General" sourceLinked="1"/>
        <c:majorTickMark val="none"/>
        <c:minorTickMark val="none"/>
        <c:tickLblPos val="low"/>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158144"/>
        <c:crosses val="autoZero"/>
        <c:auto val="1"/>
        <c:lblAlgn val="ctr"/>
        <c:lblOffset val="100"/>
        <c:noMultiLvlLbl val="0"/>
      </c:catAx>
      <c:valAx>
        <c:axId val="8115814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79832960"/>
        <c:crosses val="autoZero"/>
        <c:crossBetween val="between"/>
      </c:valAx>
      <c:spPr>
        <a:noFill/>
        <a:ln>
          <a:noFill/>
          <a:miter lim="800000"/>
        </a:ln>
        <a:effectLst/>
      </c:spPr>
    </c:plotArea>
    <c:legend>
      <c:legendPos val="b"/>
      <c:layout>
        <c:manualLayout>
          <c:xMode val="edge"/>
          <c:yMode val="edge"/>
          <c:x val="0.3758091480864687"/>
          <c:y val="0.89374074780444823"/>
          <c:w val="0.28739607754369517"/>
          <c:h val="9.03863444405089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88220807835833E-2"/>
          <c:y val="0.14950021709283362"/>
          <c:w val="0.93038899503868044"/>
          <c:h val="0.55289806477539594"/>
        </c:manualLayout>
      </c:layout>
      <c:lineChart>
        <c:grouping val="standard"/>
        <c:varyColors val="0"/>
        <c:ser>
          <c:idx val="1"/>
          <c:order val="0"/>
          <c:tx>
            <c:strRef>
              <c:f>Лист1!$C$1</c:f>
              <c:strCache>
                <c:ptCount val="1"/>
                <c:pt idx="0">
                  <c:v>2020 год</c:v>
                </c:pt>
              </c:strCache>
            </c:strRef>
          </c:tx>
          <c:spPr>
            <a:ln w="22225" cmpd="sng">
              <a:solidFill>
                <a:srgbClr val="B2B2B2"/>
              </a:solidFill>
            </a:ln>
          </c:spPr>
          <c:marker>
            <c:symbol val="circle"/>
            <c:size val="8"/>
            <c:spPr>
              <a:solidFill>
                <a:srgbClr val="C0C0C0"/>
              </a:solidFill>
              <a:ln>
                <a:noFill/>
              </a:ln>
            </c:spPr>
          </c:marker>
          <c:dPt>
            <c:idx val="10"/>
            <c:bubble3D val="0"/>
            <c:spPr>
              <a:ln w="22225" cmpd="sng">
                <a:solidFill>
                  <a:srgbClr val="B2B2B2"/>
                </a:solidFill>
                <a:prstDash val="solid"/>
              </a:ln>
            </c:spPr>
            <c:extLst>
              <c:ext xmlns:c16="http://schemas.microsoft.com/office/drawing/2014/chart" uri="{C3380CC4-5D6E-409C-BE32-E72D297353CC}">
                <c16:uniqueId val="{00000001-E6A5-40A6-9855-F01499735F1B}"/>
              </c:ext>
            </c:extLst>
          </c:dPt>
          <c:dPt>
            <c:idx val="11"/>
            <c:bubble3D val="0"/>
            <c:spPr>
              <a:ln w="22225" cmpd="sng">
                <a:solidFill>
                  <a:srgbClr val="B2B2B2"/>
                </a:solidFill>
                <a:prstDash val="solid"/>
              </a:ln>
            </c:spPr>
            <c:extLst>
              <c:ext xmlns:c16="http://schemas.microsoft.com/office/drawing/2014/chart" uri="{C3380CC4-5D6E-409C-BE32-E72D297353CC}">
                <c16:uniqueId val="{00000003-E6A5-40A6-9855-F01499735F1B}"/>
              </c:ext>
            </c:extLst>
          </c:dPt>
          <c:cat>
            <c:strRef>
              <c:f>Лист1!$A$2:$A$13</c:f>
              <c:strCache>
                <c:ptCount val="12"/>
                <c:pt idx="0">
                  <c:v>январь </c:v>
                </c:pt>
                <c:pt idx="1">
                  <c:v>февраль</c:v>
                </c:pt>
                <c:pt idx="2">
                  <c:v>март </c:v>
                </c:pt>
                <c:pt idx="3">
                  <c:v>апрель</c:v>
                </c:pt>
                <c:pt idx="4">
                  <c:v>май</c:v>
                </c:pt>
                <c:pt idx="5">
                  <c:v>июнь</c:v>
                </c:pt>
                <c:pt idx="6">
                  <c:v>июль </c:v>
                </c:pt>
                <c:pt idx="7">
                  <c:v>август </c:v>
                </c:pt>
                <c:pt idx="8">
                  <c:v>сентябрь</c:v>
                </c:pt>
                <c:pt idx="9">
                  <c:v>октябрь </c:v>
                </c:pt>
                <c:pt idx="10">
                  <c:v>ноябрь </c:v>
                </c:pt>
                <c:pt idx="11">
                  <c:v>декабрь </c:v>
                </c:pt>
              </c:strCache>
            </c:strRef>
          </c:cat>
          <c:val>
            <c:numRef>
              <c:f>Лист1!$C$2:$C$13</c:f>
              <c:numCache>
                <c:formatCode>#,##0.0</c:formatCode>
                <c:ptCount val="12"/>
                <c:pt idx="0">
                  <c:v>46</c:v>
                </c:pt>
                <c:pt idx="1">
                  <c:v>54.5</c:v>
                </c:pt>
                <c:pt idx="2">
                  <c:v>50.091428000000001</c:v>
                </c:pt>
                <c:pt idx="3">
                  <c:v>38.106866999999994</c:v>
                </c:pt>
                <c:pt idx="4">
                  <c:v>46.941073999999993</c:v>
                </c:pt>
                <c:pt idx="5">
                  <c:v>49.79279300000001</c:v>
                </c:pt>
                <c:pt idx="6">
                  <c:v>52.215000000000003</c:v>
                </c:pt>
                <c:pt idx="7">
                  <c:v>54.47</c:v>
                </c:pt>
                <c:pt idx="8">
                  <c:v>54.77</c:v>
                </c:pt>
                <c:pt idx="9">
                  <c:v>64.519000000000005</c:v>
                </c:pt>
                <c:pt idx="10">
                  <c:v>63.04</c:v>
                </c:pt>
                <c:pt idx="11">
                  <c:v>58.63</c:v>
                </c:pt>
              </c:numCache>
            </c:numRef>
          </c:val>
          <c:smooth val="0"/>
          <c:extLst>
            <c:ext xmlns:c16="http://schemas.microsoft.com/office/drawing/2014/chart" uri="{C3380CC4-5D6E-409C-BE32-E72D297353CC}">
              <c16:uniqueId val="{00000004-E6A5-40A6-9855-F01499735F1B}"/>
            </c:ext>
          </c:extLst>
        </c:ser>
        <c:ser>
          <c:idx val="2"/>
          <c:order val="1"/>
          <c:tx>
            <c:strRef>
              <c:f>Лист1!$D$1</c:f>
              <c:strCache>
                <c:ptCount val="1"/>
                <c:pt idx="0">
                  <c:v>2021 год</c:v>
                </c:pt>
              </c:strCache>
            </c:strRef>
          </c:tx>
          <c:spPr>
            <a:ln w="25400">
              <a:solidFill>
                <a:sysClr val="windowText" lastClr="000000">
                  <a:lumMod val="65000"/>
                  <a:lumOff val="35000"/>
                </a:sysClr>
              </a:solidFill>
              <a:prstDash val="solid"/>
            </a:ln>
          </c:spPr>
          <c:marker>
            <c:symbol val="square"/>
            <c:size val="7"/>
            <c:spPr>
              <a:solidFill>
                <a:sysClr val="windowText" lastClr="000000">
                  <a:lumMod val="65000"/>
                  <a:lumOff val="35000"/>
                </a:sysClr>
              </a:solidFill>
              <a:ln w="9525">
                <a:solidFill>
                  <a:sysClr val="windowText" lastClr="000000">
                    <a:lumMod val="65000"/>
                    <a:lumOff val="35000"/>
                  </a:sysClr>
                </a:solidFill>
              </a:ln>
            </c:spPr>
          </c:marker>
          <c:dLbls>
            <c:dLbl>
              <c:idx val="2"/>
              <c:layout>
                <c:manualLayout>
                  <c:x val="-3.641534307324186E-2"/>
                  <c:y val="-5.958281530598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A5-40A6-9855-F01499735F1B}"/>
                </c:ext>
              </c:extLst>
            </c:dLbl>
            <c:dLbl>
              <c:idx val="3"/>
              <c:layout>
                <c:manualLayout>
                  <c:x val="-3.7801723527481891E-17"/>
                  <c:y val="1.5415942147732066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A5-40A6-9855-F01499735F1B}"/>
                </c:ext>
              </c:extLst>
            </c:dLbl>
            <c:dLbl>
              <c:idx val="4"/>
              <c:layout>
                <c:manualLayout>
                  <c:x val="-3.7869431699708335E-2"/>
                  <c:y val="-6.131399364553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A5-40A6-9855-F01499735F1B}"/>
                </c:ext>
              </c:extLst>
            </c:dLbl>
            <c:dLbl>
              <c:idx val="5"/>
              <c:layout>
                <c:manualLayout>
                  <c:x val="-3.7867484493341035E-2"/>
                  <c:y val="-6.5095178892112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A5-40A6-9855-F01499735F1B}"/>
                </c:ext>
              </c:extLst>
            </c:dLbl>
            <c:dLbl>
              <c:idx val="6"/>
              <c:layout>
                <c:manualLayout>
                  <c:x val="-3.3669294390231037E-2"/>
                  <c:y val="-6.8062867408098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A5-40A6-9855-F01499735F1B}"/>
                </c:ext>
              </c:extLst>
            </c:dLbl>
            <c:dLbl>
              <c:idx val="7"/>
              <c:layout>
                <c:manualLayout>
                  <c:x val="-3.5746078615173191E-2"/>
                  <c:y val="-6.197100881062066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4051837270341199E-2"/>
                      <c:h val="0.13003387024754687"/>
                    </c:manualLayout>
                  </c15:layout>
                </c:ext>
                <c:ext xmlns:c16="http://schemas.microsoft.com/office/drawing/2014/chart" uri="{C3380CC4-5D6E-409C-BE32-E72D297353CC}">
                  <c16:uniqueId val="{0000000A-E6A5-40A6-9855-F01499735F1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 </c:v>
                </c:pt>
                <c:pt idx="1">
                  <c:v>февраль</c:v>
                </c:pt>
                <c:pt idx="2">
                  <c:v>март </c:v>
                </c:pt>
                <c:pt idx="3">
                  <c:v>апрель</c:v>
                </c:pt>
                <c:pt idx="4">
                  <c:v>май</c:v>
                </c:pt>
                <c:pt idx="5">
                  <c:v>июнь</c:v>
                </c:pt>
                <c:pt idx="6">
                  <c:v>июль </c:v>
                </c:pt>
                <c:pt idx="7">
                  <c:v>август </c:v>
                </c:pt>
                <c:pt idx="8">
                  <c:v>сентябрь</c:v>
                </c:pt>
                <c:pt idx="9">
                  <c:v>октябрь </c:v>
                </c:pt>
                <c:pt idx="10">
                  <c:v>ноябрь </c:v>
                </c:pt>
                <c:pt idx="11">
                  <c:v>декабрь </c:v>
                </c:pt>
              </c:strCache>
            </c:strRef>
          </c:cat>
          <c:val>
            <c:numRef>
              <c:f>Лист1!$D$2:$D$13</c:f>
              <c:numCache>
                <c:formatCode>#,##0.0</c:formatCode>
                <c:ptCount val="12"/>
                <c:pt idx="0">
                  <c:v>54</c:v>
                </c:pt>
                <c:pt idx="1">
                  <c:v>59.6</c:v>
                </c:pt>
                <c:pt idx="2" formatCode="0.0">
                  <c:v>70.7</c:v>
                </c:pt>
                <c:pt idx="3" formatCode="0.0">
                  <c:v>66.8</c:v>
                </c:pt>
                <c:pt idx="4" formatCode="0.0">
                  <c:v>73.5</c:v>
                </c:pt>
                <c:pt idx="5" formatCode="0.0">
                  <c:v>74.400000000000006</c:v>
                </c:pt>
                <c:pt idx="6" formatCode="0.0">
                  <c:v>82.7</c:v>
                </c:pt>
                <c:pt idx="7" formatCode="0.0">
                  <c:v>98.6</c:v>
                </c:pt>
                <c:pt idx="8" formatCode="0.0">
                  <c:v>94</c:v>
                </c:pt>
                <c:pt idx="9" formatCode="General">
                  <c:v>86.7</c:v>
                </c:pt>
                <c:pt idx="10" formatCode="0.0">
                  <c:v>89.1</c:v>
                </c:pt>
                <c:pt idx="11" formatCode="General">
                  <c:v>88.8</c:v>
                </c:pt>
              </c:numCache>
            </c:numRef>
          </c:val>
          <c:smooth val="0"/>
          <c:extLst>
            <c:ext xmlns:c16="http://schemas.microsoft.com/office/drawing/2014/chart" uri="{C3380CC4-5D6E-409C-BE32-E72D297353CC}">
              <c16:uniqueId val="{0000000B-E6A5-40A6-9855-F01499735F1B}"/>
            </c:ext>
          </c:extLst>
        </c:ser>
        <c:dLbls>
          <c:showLegendKey val="0"/>
          <c:showVal val="0"/>
          <c:showCatName val="0"/>
          <c:showSerName val="0"/>
          <c:showPercent val="0"/>
          <c:showBubbleSize val="0"/>
        </c:dLbls>
        <c:marker val="1"/>
        <c:smooth val="0"/>
        <c:axId val="106158720"/>
        <c:axId val="106496384"/>
      </c:lineChart>
      <c:catAx>
        <c:axId val="106158720"/>
        <c:scaling>
          <c:orientation val="minMax"/>
        </c:scaling>
        <c:delete val="0"/>
        <c:axPos val="b"/>
        <c:numFmt formatCode="General" sourceLinked="0"/>
        <c:majorTickMark val="none"/>
        <c:minorTickMark val="none"/>
        <c:tickLblPos val="nextTo"/>
        <c:spPr>
          <a:ln w="9525">
            <a:solidFill>
              <a:sysClr val="windowText" lastClr="000000"/>
            </a:solidFill>
          </a:ln>
        </c:spPr>
        <c:crossAx val="106496384"/>
        <c:crosses val="autoZero"/>
        <c:auto val="1"/>
        <c:lblAlgn val="ctr"/>
        <c:lblOffset val="100"/>
        <c:noMultiLvlLbl val="0"/>
      </c:catAx>
      <c:valAx>
        <c:axId val="106496384"/>
        <c:scaling>
          <c:orientation val="minMax"/>
          <c:max val="100"/>
          <c:min val="0"/>
        </c:scaling>
        <c:delete val="0"/>
        <c:axPos val="l"/>
        <c:numFmt formatCode="#,##0.0" sourceLinked="1"/>
        <c:majorTickMark val="cross"/>
        <c:minorTickMark val="none"/>
        <c:tickLblPos val="nextTo"/>
        <c:spPr>
          <a:ln w="9525">
            <a:solidFill>
              <a:sysClr val="windowText" lastClr="000000"/>
            </a:solidFill>
          </a:ln>
        </c:spPr>
        <c:crossAx val="106158720"/>
        <c:crosses val="autoZero"/>
        <c:crossBetween val="between"/>
        <c:majorUnit val="25"/>
      </c:valAx>
      <c:spPr>
        <a:noFill/>
      </c:spPr>
    </c:plotArea>
    <c:legend>
      <c:legendPos val="b"/>
      <c:layout>
        <c:manualLayout>
          <c:xMode val="edge"/>
          <c:yMode val="edge"/>
          <c:x val="0.13815209846945031"/>
          <c:y val="0.86473082086113284"/>
          <c:w val="0.7550066487789211"/>
          <c:h val="0.12248452197063885"/>
        </c:manualLayout>
      </c:layout>
      <c:overlay val="0"/>
    </c:legend>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217811923737162E-2"/>
          <c:y val="5.7973953768121804E-2"/>
          <c:w val="0.95178218807626258"/>
          <c:h val="0.40346280655300021"/>
        </c:manualLayout>
      </c:layout>
      <c:barChart>
        <c:barDir val="col"/>
        <c:grouping val="clustered"/>
        <c:varyColors val="0"/>
        <c:ser>
          <c:idx val="0"/>
          <c:order val="0"/>
          <c:tx>
            <c:strRef>
              <c:f>Лист1!$B$1</c:f>
              <c:strCache>
                <c:ptCount val="1"/>
                <c:pt idx="0">
                  <c:v>2020 год</c:v>
                </c:pt>
              </c:strCache>
            </c:strRef>
          </c:tx>
          <c:spPr>
            <a:solidFill>
              <a:srgbClr val="D9D9D9"/>
            </a:solidFill>
            <a:ln w="15875" cap="rnd" cmpd="sng">
              <a:solidFill>
                <a:srgbClr val="D9D9D9"/>
              </a:solidFill>
            </a:ln>
            <a:effectLst>
              <a:softEdge rad="12700"/>
            </a:effectLst>
          </c:spPr>
          <c:invertIfNegative val="0"/>
          <c:dLbls>
            <c:dLbl>
              <c:idx val="0"/>
              <c:layout>
                <c:manualLayout>
                  <c:x val="-1.1626780350741189E-2"/>
                  <c:y val="-3.9941441280062831E-17"/>
                </c:manualLayout>
              </c:layout>
              <c:tx>
                <c:rich>
                  <a:bodyPr/>
                  <a:lstStyle/>
                  <a:p>
                    <a:r>
                      <a:rPr lang="en-US">
                        <a:solidFill>
                          <a:sysClr val="windowText" lastClr="000000"/>
                        </a:solidFill>
                      </a:rPr>
                      <a:t>36,3*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8B-4BF8-9D3C-9ECBF23BE8E9}"/>
                </c:ext>
              </c:extLst>
            </c:dLbl>
            <c:dLbl>
              <c:idx val="1"/>
              <c:layout>
                <c:manualLayout>
                  <c:x val="-2.9384694712274702E-3"/>
                  <c:y val="1.7448372388565937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25,3*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8745042394072959E-2"/>
                      <c:h val="8.4097235937110909E-2"/>
                    </c:manualLayout>
                  </c15:layout>
                </c:ext>
                <c:ext xmlns:c16="http://schemas.microsoft.com/office/drawing/2014/chart" uri="{C3380CC4-5D6E-409C-BE32-E72D297353CC}">
                  <c16:uniqueId val="{00000001-DB8B-4BF8-9D3C-9ECBF23BE8E9}"/>
                </c:ext>
              </c:extLst>
            </c:dLbl>
            <c:dLbl>
              <c:idx val="2"/>
              <c:layout>
                <c:manualLayout>
                  <c:x val="-5.9084194977843448E-3"/>
                  <c:y val="1.3086150490730605E-2"/>
                </c:manualLayout>
              </c:layout>
              <c:tx>
                <c:rich>
                  <a:bodyPr/>
                  <a:lstStyle/>
                  <a:p>
                    <a:r>
                      <a:rPr lang="en-US">
                        <a:solidFill>
                          <a:sysClr val="windowText" lastClr="000000"/>
                        </a:solidFill>
                      </a:rPr>
                      <a:t>15,2*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8B-4BF8-9D3C-9ECBF23BE8E9}"/>
                </c:ext>
              </c:extLst>
            </c:dLbl>
            <c:dLbl>
              <c:idx val="3"/>
              <c:tx>
                <c:rich>
                  <a:bodyPr/>
                  <a:lstStyle/>
                  <a:p>
                    <a:r>
                      <a:rPr lang="en-US">
                        <a:solidFill>
                          <a:sysClr val="windowText" lastClr="000000"/>
                        </a:solidFill>
                      </a:rPr>
                      <a:t>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8B-4BF8-9D3C-9ECBF23BE8E9}"/>
                </c:ext>
              </c:extLst>
            </c:dLbl>
            <c:dLbl>
              <c:idx val="4"/>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4,2*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DB8B-4BF8-9D3C-9ECBF23BE8E9}"/>
                </c:ext>
              </c:extLst>
            </c:dLbl>
            <c:dLbl>
              <c:idx val="5"/>
              <c:layout>
                <c:manualLayout>
                  <c:x val="-3.2056842667049024E-3"/>
                  <c:y val="-4.5924653175222456E-17"/>
                </c:manualLayout>
              </c:layout>
              <c:tx>
                <c:rich>
                  <a:bodyPr/>
                  <a:lstStyle/>
                  <a:p>
                    <a:r>
                      <a:rPr lang="en-US">
                        <a:solidFill>
                          <a:sysClr val="windowText" lastClr="000000"/>
                        </a:solidFill>
                      </a:rPr>
                      <a:t>6,6*</a:t>
                    </a:r>
                  </a:p>
                </c:rich>
              </c:tx>
              <c:showLegendKey val="0"/>
              <c:showVal val="1"/>
              <c:showCatName val="0"/>
              <c:showSerName val="0"/>
              <c:showPercent val="0"/>
              <c:showBubbleSize val="0"/>
              <c:extLst>
                <c:ext xmlns:c15="http://schemas.microsoft.com/office/drawing/2012/chart" uri="{CE6537A1-D6FC-4f65-9D91-7224C49458BB}">
                  <c15:layout>
                    <c:manualLayout>
                      <c:w val="6.5092022829468021E-2"/>
                      <c:h val="5.8211698988528238E-2"/>
                    </c:manualLayout>
                  </c15:layout>
                </c:ext>
                <c:ext xmlns:c16="http://schemas.microsoft.com/office/drawing/2014/chart" uri="{C3380CC4-5D6E-409C-BE32-E72D297353CC}">
                  <c16:uniqueId val="{00000005-DB8B-4BF8-9D3C-9ECBF23BE8E9}"/>
                </c:ext>
              </c:extLst>
            </c:dLbl>
            <c:dLbl>
              <c:idx val="6"/>
              <c:layout>
                <c:manualLayout>
                  <c:x val="-8.5471106703616207E-5"/>
                  <c:y val="1.3410285137203541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2,6*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4975684943782625E-2"/>
                      <c:h val="7.6307733577390999E-2"/>
                    </c:manualLayout>
                  </c15:layout>
                </c:ext>
                <c:ext xmlns:c16="http://schemas.microsoft.com/office/drawing/2014/chart" uri="{C3380CC4-5D6E-409C-BE32-E72D297353CC}">
                  <c16:uniqueId val="{00000006-DB8B-4BF8-9D3C-9ECBF23BE8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металлы и изделия из них</c:v>
                </c:pt>
                <c:pt idx="1">
                  <c:v>топливно-энергетические товары</c:v>
                </c:pt>
                <c:pt idx="2">
                  <c:v>продовольственные товары и сырье</c:v>
                </c:pt>
                <c:pt idx="3">
                  <c:v>продукция легкой промышленности</c:v>
                </c:pt>
                <c:pt idx="4">
                  <c:v>машиностроительная продукция</c:v>
                </c:pt>
                <c:pt idx="5">
                  <c:v>минеральные продукты</c:v>
                </c:pt>
                <c:pt idx="6">
                  <c:v>прочие товары</c:v>
                </c:pt>
              </c:strCache>
            </c:strRef>
          </c:cat>
          <c:val>
            <c:numRef>
              <c:f>Лист1!$B$2:$B$8</c:f>
              <c:numCache>
                <c:formatCode>0.0</c:formatCode>
                <c:ptCount val="7"/>
                <c:pt idx="0">
                  <c:v>229.5</c:v>
                </c:pt>
                <c:pt idx="1">
                  <c:v>159.9</c:v>
                </c:pt>
                <c:pt idx="2">
                  <c:v>96.1</c:v>
                </c:pt>
                <c:pt idx="3">
                  <c:v>62.2</c:v>
                </c:pt>
                <c:pt idx="4">
                  <c:v>26.7</c:v>
                </c:pt>
                <c:pt idx="5">
                  <c:v>41.6</c:v>
                </c:pt>
                <c:pt idx="6">
                  <c:v>17.100000000000001</c:v>
                </c:pt>
              </c:numCache>
            </c:numRef>
          </c:val>
          <c:extLst>
            <c:ext xmlns:c16="http://schemas.microsoft.com/office/drawing/2014/chart" uri="{C3380CC4-5D6E-409C-BE32-E72D297353CC}">
              <c16:uniqueId val="{00000007-DB8B-4BF8-9D3C-9ECBF23BE8E9}"/>
            </c:ext>
          </c:extLst>
        </c:ser>
        <c:ser>
          <c:idx val="1"/>
          <c:order val="1"/>
          <c:tx>
            <c:strRef>
              <c:f>Лист1!$C$1</c:f>
              <c:strCache>
                <c:ptCount val="1"/>
                <c:pt idx="0">
                  <c:v>2021 год</c:v>
                </c:pt>
              </c:strCache>
            </c:strRef>
          </c:tx>
          <c:spPr>
            <a:solidFill>
              <a:srgbClr val="595959"/>
            </a:solidFill>
            <a:ln>
              <a:noFill/>
            </a:ln>
            <a:effectLst/>
            <a:scene3d>
              <a:camera prst="orthographicFront"/>
              <a:lightRig rig="threePt" dir="t"/>
            </a:scene3d>
            <a:sp3d/>
          </c:spPr>
          <c:invertIfNegative val="0"/>
          <c:dLbls>
            <c:dLbl>
              <c:idx val="0"/>
              <c:layout>
                <c:manualLayout>
                  <c:x val="-6.3426340540519583E-5"/>
                  <c:y val="-1.4734799371452613E-3"/>
                </c:manualLayout>
              </c:layout>
              <c:tx>
                <c:rich>
                  <a:bodyPr/>
                  <a:lstStyle/>
                  <a:p>
                    <a:r>
                      <a:rPr lang="en-US">
                        <a:solidFill>
                          <a:sysClr val="windowText" lastClr="000000"/>
                        </a:solidFill>
                      </a:rPr>
                      <a:t>46,0*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8B-4BF8-9D3C-9ECBF23BE8E9}"/>
                </c:ext>
              </c:extLst>
            </c:dLbl>
            <c:dLbl>
              <c:idx val="1"/>
              <c:layout>
                <c:manualLayout>
                  <c:x val="1.1626715050574365E-2"/>
                  <c:y val="0"/>
                </c:manualLayout>
              </c:layout>
              <c:tx>
                <c:rich>
                  <a:bodyPr/>
                  <a:lstStyle/>
                  <a:p>
                    <a:r>
                      <a:rPr lang="en-US">
                        <a:solidFill>
                          <a:sysClr val="windowText" lastClr="000000"/>
                        </a:solidFill>
                      </a:rPr>
                      <a:t>18,8*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8B-4BF8-9D3C-9ECBF23BE8E9}"/>
                </c:ext>
              </c:extLst>
            </c:dLbl>
            <c:dLbl>
              <c:idx val="2"/>
              <c:layout>
                <c:manualLayout>
                  <c:x val="1.0700695796940407E-2"/>
                  <c:y val="3.2541460874504461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17,6*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5861501758410698E-2"/>
                      <c:h val="5.7563946791220233E-2"/>
                    </c:manualLayout>
                  </c15:layout>
                </c:ext>
                <c:ext xmlns:c16="http://schemas.microsoft.com/office/drawing/2014/chart" uri="{C3380CC4-5D6E-409C-BE32-E72D297353CC}">
                  <c16:uniqueId val="{0000000A-DB8B-4BF8-9D3C-9ECBF23BE8E9}"/>
                </c:ext>
              </c:extLst>
            </c:dLbl>
            <c:dLbl>
              <c:idx val="3"/>
              <c:layout>
                <c:manualLayout>
                  <c:x val="3.4387583190947126E-3"/>
                  <c:y val="4.2372145866536228E-3"/>
                </c:manualLayout>
              </c:layout>
              <c:tx>
                <c:rich>
                  <a:bodyPr/>
                  <a:lstStyle/>
                  <a:p>
                    <a:r>
                      <a:rPr lang="en-US">
                        <a:solidFill>
                          <a:sysClr val="windowText" lastClr="000000"/>
                        </a:solidFill>
                      </a:rPr>
                      <a:t>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8B-4BF8-9D3C-9ECBF23BE8E9}"/>
                </c:ext>
              </c:extLst>
            </c:dLbl>
            <c:dLbl>
              <c:idx val="4"/>
              <c:layout>
                <c:manualLayout>
                  <c:x val="7.7511869004941421E-3"/>
                  <c:y val="-4.5981507213559087E-3"/>
                </c:manualLayout>
              </c:layout>
              <c:tx>
                <c:rich>
                  <a:bodyPr/>
                  <a:lstStyle/>
                  <a:p>
                    <a:r>
                      <a:rPr lang="en-US">
                        <a:solidFill>
                          <a:sysClr val="windowText" lastClr="000000"/>
                        </a:solidFill>
                      </a:rPr>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8B-4BF8-9D3C-9ECBF23BE8E9}"/>
                </c:ext>
              </c:extLst>
            </c:dLbl>
            <c:dLbl>
              <c:idx val="5"/>
              <c:layout>
                <c:manualLayout>
                  <c:x val="8.7629183875184945E-3"/>
                  <c:y val="-2.5000745529734107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3,4*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1045487675193862E-2"/>
                      <c:h val="6.1925820144225457E-2"/>
                    </c:manualLayout>
                  </c15:layout>
                </c:ext>
                <c:ext xmlns:c16="http://schemas.microsoft.com/office/drawing/2014/chart" uri="{C3380CC4-5D6E-409C-BE32-E72D297353CC}">
                  <c16:uniqueId val="{0000000D-DB8B-4BF8-9D3C-9ECBF23BE8E9}"/>
                </c:ext>
              </c:extLst>
            </c:dLbl>
            <c:dLbl>
              <c:idx val="6"/>
              <c:layout>
                <c:manualLayout>
                  <c:x val="-2.8803683302864843E-4"/>
                  <c:y val="-4.357139475801998E-3"/>
                </c:manualLayout>
              </c:layout>
              <c:tx>
                <c:rich>
                  <a:bodyPr/>
                  <a:lstStyle/>
                  <a:p>
                    <a:r>
                      <a:rPr lang="en-US">
                        <a:solidFill>
                          <a:sysClr val="windowText" lastClr="000000"/>
                        </a:solidFill>
                      </a:rPr>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8B-4BF8-9D3C-9ECBF23BE8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металлы и изделия из них</c:v>
                </c:pt>
                <c:pt idx="1">
                  <c:v>топливно-энергетические товары</c:v>
                </c:pt>
                <c:pt idx="2">
                  <c:v>продовольственные товары и сырье</c:v>
                </c:pt>
                <c:pt idx="3">
                  <c:v>продукция легкой промышленности</c:v>
                </c:pt>
                <c:pt idx="4">
                  <c:v>машиностроительная продукция</c:v>
                </c:pt>
                <c:pt idx="5">
                  <c:v>минеральные продукты</c:v>
                </c:pt>
                <c:pt idx="6">
                  <c:v>прочие товары</c:v>
                </c:pt>
              </c:strCache>
            </c:strRef>
          </c:cat>
          <c:val>
            <c:numRef>
              <c:f>Лист1!$C$2:$C$8</c:f>
              <c:numCache>
                <c:formatCode>0.0</c:formatCode>
                <c:ptCount val="7"/>
                <c:pt idx="0">
                  <c:v>432.2</c:v>
                </c:pt>
                <c:pt idx="1">
                  <c:v>176.7</c:v>
                </c:pt>
                <c:pt idx="2">
                  <c:v>165</c:v>
                </c:pt>
                <c:pt idx="3">
                  <c:v>79.3</c:v>
                </c:pt>
                <c:pt idx="4">
                  <c:v>31.9</c:v>
                </c:pt>
                <c:pt idx="5">
                  <c:v>32.1</c:v>
                </c:pt>
                <c:pt idx="6">
                  <c:v>21.699999999999992</c:v>
                </c:pt>
              </c:numCache>
            </c:numRef>
          </c:val>
          <c:extLst>
            <c:ext xmlns:c16="http://schemas.microsoft.com/office/drawing/2014/chart" uri="{C3380CC4-5D6E-409C-BE32-E72D297353CC}">
              <c16:uniqueId val="{0000000F-DB8B-4BF8-9D3C-9ECBF23BE8E9}"/>
            </c:ext>
          </c:extLst>
        </c:ser>
        <c:dLbls>
          <c:showLegendKey val="0"/>
          <c:showVal val="1"/>
          <c:showCatName val="0"/>
          <c:showSerName val="0"/>
          <c:showPercent val="0"/>
          <c:showBubbleSize val="0"/>
        </c:dLbls>
        <c:gapWidth val="150"/>
        <c:overlap val="1"/>
        <c:axId val="111891968"/>
        <c:axId val="111919488"/>
      </c:barChart>
      <c:catAx>
        <c:axId val="111891968"/>
        <c:scaling>
          <c:orientation val="minMax"/>
        </c:scaling>
        <c:delete val="0"/>
        <c:axPos val="b"/>
        <c:numFmt formatCode="General" sourceLinked="1"/>
        <c:majorTickMark val="none"/>
        <c:minorTickMark val="none"/>
        <c:tickLblPos val="nextTo"/>
        <c:spPr>
          <a:noFill/>
          <a:ln>
            <a:solidFill>
              <a:sysClr val="windowText" lastClr="000000">
                <a:lumMod val="95000"/>
                <a:lumOff val="5000"/>
              </a:sysClr>
            </a:solidFill>
          </a:ln>
          <a:effectLst/>
        </c:spPr>
        <c:txPr>
          <a:bodyPr rot="-5400000" spcFirstLastPara="1" vertOverflow="ellipsis" wrap="square" anchor="ctr" anchorCtr="1"/>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1919488"/>
        <c:crosses val="autoZero"/>
        <c:auto val="1"/>
        <c:lblAlgn val="ctr"/>
        <c:lblOffset val="100"/>
        <c:noMultiLvlLbl val="0"/>
      </c:catAx>
      <c:valAx>
        <c:axId val="111919488"/>
        <c:scaling>
          <c:orientation val="minMax"/>
        </c:scaling>
        <c:delete val="0"/>
        <c:axPos val="l"/>
        <c:numFmt formatCode="0" sourceLinked="0"/>
        <c:majorTickMark val="cross"/>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1891968"/>
        <c:crosses val="autoZero"/>
        <c:crossBetween val="between"/>
        <c:majorUnit val="100"/>
      </c:valAx>
      <c:spPr>
        <a:noFill/>
        <a:ln>
          <a:noFill/>
        </a:ln>
        <a:effectLst/>
      </c:spPr>
    </c:plotArea>
    <c:legend>
      <c:legendPos val="b"/>
      <c:layout>
        <c:manualLayout>
          <c:xMode val="edge"/>
          <c:yMode val="edge"/>
          <c:x val="0.37366677420254196"/>
          <c:y val="0.89679464845655366"/>
          <c:w val="0.23358370454800978"/>
          <c:h val="0.101866732191778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01847498953202E-2"/>
          <c:y val="0.1018500967921996"/>
          <c:w val="0.91156523461059991"/>
          <c:h val="0.62269949288013227"/>
        </c:manualLayout>
      </c:layout>
      <c:barChart>
        <c:barDir val="col"/>
        <c:grouping val="clustered"/>
        <c:varyColors val="0"/>
        <c:ser>
          <c:idx val="0"/>
          <c:order val="0"/>
          <c:tx>
            <c:strRef>
              <c:f>Лист1!$B$1</c:f>
              <c:strCache>
                <c:ptCount val="1"/>
                <c:pt idx="0">
                  <c:v>2020 год</c:v>
                </c:pt>
              </c:strCache>
            </c:strRef>
          </c:tx>
          <c:spPr>
            <a:solidFill>
              <a:srgbClr val="D9D9D9"/>
            </a:solidFill>
            <a:ln>
              <a:noFill/>
            </a:ln>
            <a:effectLst/>
            <a:scene3d>
              <a:camera prst="orthographicFront"/>
              <a:lightRig rig="threePt" dir="t"/>
            </a:scene3d>
            <a:sp3d/>
          </c:spPr>
          <c:invertIfNegative val="0"/>
          <c:dLbls>
            <c:dLbl>
              <c:idx val="0"/>
              <c:layout>
                <c:manualLayout>
                  <c:x val="-6.1669460639746793E-3"/>
                  <c:y val="1.1901297483703131E-2"/>
                </c:manualLayout>
              </c:layout>
              <c:tx>
                <c:rich>
                  <a:bodyPr/>
                  <a:lstStyle/>
                  <a:p>
                    <a:r>
                      <a:rPr lang="en-US" sz="890" b="0">
                        <a:latin typeface="Times New Roman" pitchFamily="18" charset="0"/>
                        <a:cs typeface="Times New Roman" pitchFamily="18" charset="0"/>
                      </a:rPr>
                      <a:t>42,9*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21-44AC-BD4B-D7B250BBB450}"/>
                </c:ext>
              </c:extLst>
            </c:dLbl>
            <c:dLbl>
              <c:idx val="1"/>
              <c:layout>
                <c:manualLayout>
                  <c:x val="-7.6987728228887012E-3"/>
                  <c:y val="1.3442120639897394E-2"/>
                </c:manualLayout>
              </c:layout>
              <c:tx>
                <c:rich>
                  <a:bodyPr/>
                  <a:lstStyle/>
                  <a:p>
                    <a:r>
                      <a:rPr lang="en-US" sz="890" b="0">
                        <a:latin typeface="Times New Roman" pitchFamily="18" charset="0"/>
                        <a:cs typeface="Times New Roman" pitchFamily="18" charset="0"/>
                      </a:rPr>
                      <a:t>10,3*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21-44AC-BD4B-D7B250BBB450}"/>
                </c:ext>
              </c:extLst>
            </c:dLbl>
            <c:dLbl>
              <c:idx val="2"/>
              <c:layout>
                <c:manualLayout>
                  <c:x val="0.14496974954401892"/>
                  <c:y val="-0.11502476217622114"/>
                </c:manualLayout>
              </c:layout>
              <c:tx>
                <c:rich>
                  <a:bodyPr/>
                  <a:lstStyle/>
                  <a:p>
                    <a:r>
                      <a:rPr lang="en-US" sz="890" b="0">
                        <a:latin typeface="Times New Roman" pitchFamily="18" charset="0"/>
                        <a:cs typeface="Times New Roman" pitchFamily="18" charset="0"/>
                      </a:rPr>
                      <a:t>14,9*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21-44AC-BD4B-D7B250BBB450}"/>
                </c:ext>
              </c:extLst>
            </c:dLbl>
            <c:dLbl>
              <c:idx val="3"/>
              <c:layout>
                <c:manualLayout>
                  <c:x val="0.14418806759324576"/>
                  <c:y val="4.0251303428700369E-2"/>
                </c:manualLayout>
              </c:layout>
              <c:tx>
                <c:rich>
                  <a:bodyPr/>
                  <a:lstStyle/>
                  <a:p>
                    <a:r>
                      <a:rPr lang="en-US" sz="890" b="0">
                        <a:latin typeface="Times New Roman" pitchFamily="18" charset="0"/>
                        <a:cs typeface="Times New Roman" pitchFamily="18" charset="0"/>
                      </a:rPr>
                      <a:t>11,0*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21-44AC-BD4B-D7B250BBB450}"/>
                </c:ext>
              </c:extLst>
            </c:dLbl>
            <c:dLbl>
              <c:idx val="4"/>
              <c:layout>
                <c:manualLayout>
                  <c:x val="-0.3067240535611015"/>
                  <c:y val="7.7202883576204556E-2"/>
                </c:manualLayout>
              </c:layout>
              <c:tx>
                <c:rich>
                  <a:bodyPr/>
                  <a:lstStyle/>
                  <a:p>
                    <a:r>
                      <a:rPr lang="en-US" sz="890" b="0">
                        <a:latin typeface="Times New Roman" pitchFamily="18" charset="0"/>
                        <a:cs typeface="Times New Roman" pitchFamily="18" charset="0"/>
                      </a:rPr>
                      <a:t>4,2*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21-44AC-BD4B-D7B250BBB450}"/>
                </c:ext>
              </c:extLst>
            </c:dLbl>
            <c:dLbl>
              <c:idx val="5"/>
              <c:layout>
                <c:manualLayout>
                  <c:x val="-5.7592628143597639E-3"/>
                  <c:y val="2.141834392716821E-2"/>
                </c:manualLayout>
              </c:layout>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21-44AC-BD4B-D7B250BBB450}"/>
                </c:ext>
              </c:extLst>
            </c:dLbl>
            <c:dLbl>
              <c:idx val="6"/>
              <c:layout>
                <c:manualLayout>
                  <c:x val="-7.247987361740889E-3"/>
                  <c:y val="1.2247827129716912E-2"/>
                </c:manualLayout>
              </c:layout>
              <c:tx>
                <c:rich>
                  <a:bodyPr/>
                  <a:lstStyle/>
                  <a:p>
                    <a:r>
                      <a:rPr lang="en-US" sz="890" b="1">
                        <a:solidFill>
                          <a:sysClr val="windowText" lastClr="000000"/>
                        </a:solidFill>
                        <a:latin typeface="Times New Roman" pitchFamily="18" charset="0"/>
                        <a:cs typeface="Times New Roman" pitchFamily="18" charset="0"/>
                      </a:rPr>
                      <a:t>11,5</a:t>
                    </a:r>
                    <a:r>
                      <a:rPr lang="en-US" sz="890" b="1">
                        <a:latin typeface="Times New Roman" pitchFamily="18" charset="0"/>
                        <a:cs typeface="Times New Roman" pitchFamily="18" charset="0"/>
                      </a:rPr>
                      <a:t>*</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21-44AC-BD4B-D7B250BBB450}"/>
                </c:ext>
              </c:extLst>
            </c:dLbl>
            <c:dLbl>
              <c:idx val="7"/>
              <c:layout>
                <c:manualLayout>
                  <c:x val="1.6173653968929569E-4"/>
                  <c:y val="3.1051770702580327E-3"/>
                </c:manualLayout>
              </c:layout>
              <c:tx>
                <c:rich>
                  <a:bodyPr/>
                  <a:lstStyle/>
                  <a:p>
                    <a:r>
                      <a:rPr lang="ru-RU" sz="890" b="1">
                        <a:latin typeface="Times New Roman" pitchFamily="18" charset="0"/>
                        <a:cs typeface="Times New Roman" pitchFamily="18" charset="0"/>
                      </a:rPr>
                      <a:t>7,9*</a:t>
                    </a:r>
                    <a:endParaRPr lang="en-US" sz="90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21-44AC-BD4B-D7B250BBB450}"/>
                </c:ext>
              </c:extLst>
            </c:dLbl>
            <c:spPr>
              <a:noFill/>
              <a:ln w="25114">
                <a:noFill/>
              </a:ln>
            </c:spPr>
            <c:txPr>
              <a:bodyPr/>
              <a:lstStyle/>
              <a:p>
                <a:pPr>
                  <a:defRPr sz="9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Республика Молдова</c:v>
                </c:pt>
                <c:pt idx="1">
                  <c:v>Украина</c:v>
                </c:pt>
                <c:pt idx="2">
                  <c:v>Польша</c:v>
                </c:pt>
                <c:pt idx="3">
                  <c:v>Румыния</c:v>
                </c:pt>
                <c:pt idx="4">
                  <c:v>Российская Федерация</c:v>
                </c:pt>
                <c:pt idx="5">
                  <c:v>прочие страны</c:v>
                </c:pt>
              </c:strCache>
            </c:strRef>
          </c:cat>
          <c:val>
            <c:numRef>
              <c:f>Лист1!$B$2:$B$7</c:f>
              <c:numCache>
                <c:formatCode>0.0</c:formatCode>
                <c:ptCount val="6"/>
                <c:pt idx="0">
                  <c:v>271.8</c:v>
                </c:pt>
                <c:pt idx="1">
                  <c:v>65</c:v>
                </c:pt>
                <c:pt idx="2">
                  <c:v>26.6</c:v>
                </c:pt>
                <c:pt idx="3">
                  <c:v>94.4</c:v>
                </c:pt>
                <c:pt idx="4">
                  <c:v>69.900000000000006</c:v>
                </c:pt>
                <c:pt idx="5">
                  <c:v>105.4</c:v>
                </c:pt>
              </c:numCache>
            </c:numRef>
          </c:val>
          <c:extLst>
            <c:ext xmlns:c16="http://schemas.microsoft.com/office/drawing/2014/chart" uri="{C3380CC4-5D6E-409C-BE32-E72D297353CC}">
              <c16:uniqueId val="{00000008-7D21-44AC-BD4B-D7B250BBB450}"/>
            </c:ext>
          </c:extLst>
        </c:ser>
        <c:ser>
          <c:idx val="1"/>
          <c:order val="1"/>
          <c:tx>
            <c:strRef>
              <c:f>Лист1!$C$1</c:f>
              <c:strCache>
                <c:ptCount val="1"/>
                <c:pt idx="0">
                  <c:v>2021 год</c:v>
                </c:pt>
              </c:strCache>
            </c:strRef>
          </c:tx>
          <c:spPr>
            <a:solidFill>
              <a:srgbClr val="595959"/>
            </a:solidFill>
            <a:ln>
              <a:noFill/>
            </a:ln>
            <a:effectLst/>
            <a:scene3d>
              <a:camera prst="orthographicFront"/>
              <a:lightRig rig="threePt" dir="t"/>
            </a:scene3d>
            <a:sp3d/>
          </c:spPr>
          <c:invertIfNegative val="0"/>
          <c:dLbls>
            <c:dLbl>
              <c:idx val="0"/>
              <c:layout>
                <c:manualLayout>
                  <c:x val="1.0394626485006454E-2"/>
                  <c:y val="1.6877994352632583E-2"/>
                </c:manualLayout>
              </c:layout>
              <c:tx>
                <c:rich>
                  <a:bodyPr/>
                  <a:lstStyle/>
                  <a:p>
                    <a:r>
                      <a:rPr lang="en-US" sz="890" b="0">
                        <a:latin typeface="Times New Roman" pitchFamily="18" charset="0"/>
                        <a:cs typeface="Times New Roman" pitchFamily="18" charset="0"/>
                      </a:rPr>
                      <a:t>31,8*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21-44AC-BD4B-D7B250BBB450}"/>
                </c:ext>
              </c:extLst>
            </c:dLbl>
            <c:dLbl>
              <c:idx val="1"/>
              <c:layout>
                <c:manualLayout>
                  <c:x val="3.3896716300292232E-3"/>
                  <c:y val="1.0962815168465936E-2"/>
                </c:manualLayout>
              </c:layout>
              <c:tx>
                <c:rich>
                  <a:bodyPr/>
                  <a:lstStyle/>
                  <a:p>
                    <a:r>
                      <a:rPr lang="en-US" sz="890" b="0">
                        <a:latin typeface="Times New Roman" pitchFamily="18" charset="0"/>
                        <a:cs typeface="Times New Roman" pitchFamily="18" charset="0"/>
                      </a:rPr>
                      <a:t>14,4*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21-44AC-BD4B-D7B250BBB450}"/>
                </c:ext>
              </c:extLst>
            </c:dLbl>
            <c:dLbl>
              <c:idx val="2"/>
              <c:layout>
                <c:manualLayout>
                  <c:x val="0.15524839056134934"/>
                  <c:y val="4.2521822781202111E-2"/>
                </c:manualLayout>
              </c:layout>
              <c:tx>
                <c:rich>
                  <a:bodyPr/>
                  <a:lstStyle/>
                  <a:p>
                    <a:r>
                      <a:rPr lang="en-US" sz="890" b="0">
                        <a:latin typeface="Times New Roman" pitchFamily="18" charset="0"/>
                        <a:cs typeface="Times New Roman" pitchFamily="18" charset="0"/>
                      </a:rPr>
                      <a:t>11,4*</a:t>
                    </a:r>
                  </a:p>
                  <a:p>
                    <a:endParaRPr lang="en-US" sz="900" b="0">
                      <a:latin typeface="Times New Roman" pitchFamily="18" charset="0"/>
                      <a:cs typeface="Times New Roman" pitchFamily="18" charset="0"/>
                    </a:endParaRPr>
                  </a:p>
                </c:rich>
              </c:tx>
              <c:showLegendKey val="0"/>
              <c:showVal val="0"/>
              <c:showCatName val="0"/>
              <c:showSerName val="0"/>
              <c:showPercent val="0"/>
              <c:showBubbleSize val="0"/>
              <c:extLst>
                <c:ext xmlns:c15="http://schemas.microsoft.com/office/drawing/2012/chart" uri="{CE6537A1-D6FC-4f65-9D91-7224C49458BB}">
                  <c15:layout>
                    <c:manualLayout>
                      <c:w val="6.3922434506217249E-2"/>
                      <c:h val="9.4829268292682928E-2"/>
                    </c:manualLayout>
                  </c15:layout>
                </c:ext>
                <c:ext xmlns:c16="http://schemas.microsoft.com/office/drawing/2014/chart" uri="{C3380CC4-5D6E-409C-BE32-E72D297353CC}">
                  <c16:uniqueId val="{0000000B-7D21-44AC-BD4B-D7B250BBB450}"/>
                </c:ext>
              </c:extLst>
            </c:dLbl>
            <c:dLbl>
              <c:idx val="3"/>
              <c:layout>
                <c:manualLayout>
                  <c:x val="0.15292201292635033"/>
                  <c:y val="5.0179214023586424E-2"/>
                </c:manualLayout>
              </c:layout>
              <c:tx>
                <c:rich>
                  <a:bodyPr/>
                  <a:lstStyle/>
                  <a:p>
                    <a:r>
                      <a:rPr lang="en-US" sz="890" b="0">
                        <a:latin typeface="Times New Roman" pitchFamily="18" charset="0"/>
                        <a:cs typeface="Times New Roman" pitchFamily="18" charset="0"/>
                      </a:rPr>
                      <a:t>9,2*</a:t>
                    </a:r>
                  </a:p>
                </c:rich>
              </c:tx>
              <c:showLegendKey val="0"/>
              <c:showVal val="0"/>
              <c:showCatName val="0"/>
              <c:showSerName val="0"/>
              <c:showPercent val="0"/>
              <c:showBubbleSize val="0"/>
              <c:extLst>
                <c:ext xmlns:c15="http://schemas.microsoft.com/office/drawing/2012/chart" uri="{CE6537A1-D6FC-4f65-9D91-7224C49458BB}">
                  <c15:layout>
                    <c:manualLayout>
                      <c:w val="4.3533170641805355E-2"/>
                      <c:h val="0.11001532048312963"/>
                    </c:manualLayout>
                  </c15:layout>
                </c:ext>
                <c:ext xmlns:c16="http://schemas.microsoft.com/office/drawing/2014/chart" uri="{C3380CC4-5D6E-409C-BE32-E72D297353CC}">
                  <c16:uniqueId val="{0000000C-7D21-44AC-BD4B-D7B250BBB450}"/>
                </c:ext>
              </c:extLst>
            </c:dLbl>
            <c:dLbl>
              <c:idx val="4"/>
              <c:layout>
                <c:manualLayout>
                  <c:x val="-0.30142593404637996"/>
                  <c:y val="-5.851331931924799E-2"/>
                </c:manualLayout>
              </c:layout>
              <c:tx>
                <c:rich>
                  <a:bodyPr/>
                  <a:lstStyle/>
                  <a:p>
                    <a:r>
                      <a:rPr lang="en-US" sz="890" b="0">
                        <a:latin typeface="Times New Roman" pitchFamily="18" charset="0"/>
                        <a:cs typeface="Times New Roman" pitchFamily="18" charset="0"/>
                      </a:rPr>
                      <a:t>13,7*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D21-44AC-BD4B-D7B250BBB450}"/>
                </c:ext>
              </c:extLst>
            </c:dLbl>
            <c:dLbl>
              <c:idx val="5"/>
              <c:layout>
                <c:manualLayout>
                  <c:x val="3.7700518823477053E-3"/>
                  <c:y val="1.6226721659792529E-2"/>
                </c:manualLayout>
              </c:layout>
              <c:tx>
                <c:rich>
                  <a:bodyPr/>
                  <a:lstStyle/>
                  <a:p>
                    <a:r>
                      <a:rPr lang="en-US" sz="890" b="0">
                        <a:latin typeface="Times New Roman" pitchFamily="18" charset="0"/>
                        <a:cs typeface="Times New Roman" pitchFamily="18" charset="0"/>
                      </a:rPr>
                      <a:t>19,5*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D21-44AC-BD4B-D7B250BBB450}"/>
                </c:ext>
              </c:extLst>
            </c:dLbl>
            <c:dLbl>
              <c:idx val="6"/>
              <c:layout>
                <c:manualLayout>
                  <c:x val="6.4095591654654534E-3"/>
                  <c:y val="1.4009509680855741E-2"/>
                </c:manualLayout>
              </c:layout>
              <c:tx>
                <c:rich>
                  <a:bodyPr/>
                  <a:lstStyle/>
                  <a:p>
                    <a:r>
                      <a:rPr lang="en-US" sz="890" b="1">
                        <a:solidFill>
                          <a:sysClr val="windowText" lastClr="000000"/>
                        </a:solidFill>
                        <a:latin typeface="Times New Roman" pitchFamily="18" charset="0"/>
                        <a:cs typeface="Times New Roman" pitchFamily="18" charset="0"/>
                      </a:rPr>
                      <a:t>16,8</a:t>
                    </a:r>
                    <a:r>
                      <a:rPr lang="en-US" sz="890" b="1">
                        <a:latin typeface="Times New Roman" pitchFamily="18" charset="0"/>
                        <a:cs typeface="Times New Roman" pitchFamily="18" charset="0"/>
                      </a:rPr>
                      <a:t>*</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D21-44AC-BD4B-D7B250BBB450}"/>
                </c:ext>
              </c:extLst>
            </c:dLbl>
            <c:dLbl>
              <c:idx val="7"/>
              <c:layout>
                <c:manualLayout>
                  <c:x val="1.415226249871919E-2"/>
                  <c:y val="7.8058503556620923E-3"/>
                </c:manualLayout>
              </c:layout>
              <c:tx>
                <c:rich>
                  <a:bodyPr/>
                  <a:lstStyle/>
                  <a:p>
                    <a:r>
                      <a:rPr lang="ru-RU" sz="890" b="1">
                        <a:latin typeface="Times New Roman" pitchFamily="18" charset="0"/>
                        <a:cs typeface="Times New Roman" pitchFamily="18" charset="0"/>
                      </a:rPr>
                      <a:t>8,1*</a:t>
                    </a:r>
                    <a:endParaRPr lang="en-US" sz="90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D21-44AC-BD4B-D7B250BBB450}"/>
                </c:ext>
              </c:extLst>
            </c:dLbl>
            <c:spPr>
              <a:noFill/>
              <a:ln w="25114">
                <a:noFill/>
              </a:ln>
            </c:spPr>
            <c:txPr>
              <a:bodyPr/>
              <a:lstStyle/>
              <a:p>
                <a:pPr>
                  <a:defRPr sz="9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Республика Молдова</c:v>
                </c:pt>
                <c:pt idx="1">
                  <c:v>Украина</c:v>
                </c:pt>
                <c:pt idx="2">
                  <c:v>Польша</c:v>
                </c:pt>
                <c:pt idx="3">
                  <c:v>Румыния</c:v>
                </c:pt>
                <c:pt idx="4">
                  <c:v>Российская Федерация</c:v>
                </c:pt>
                <c:pt idx="5">
                  <c:v>прочие страны</c:v>
                </c:pt>
              </c:strCache>
            </c:strRef>
          </c:cat>
          <c:val>
            <c:numRef>
              <c:f>Лист1!$C$2:$C$7</c:f>
              <c:numCache>
                <c:formatCode>0.0</c:formatCode>
                <c:ptCount val="6"/>
                <c:pt idx="0">
                  <c:v>298.5</c:v>
                </c:pt>
                <c:pt idx="1">
                  <c:v>134.80000000000001</c:v>
                </c:pt>
                <c:pt idx="2">
                  <c:v>128.4</c:v>
                </c:pt>
                <c:pt idx="3">
                  <c:v>106.6</c:v>
                </c:pt>
                <c:pt idx="4">
                  <c:v>86.8</c:v>
                </c:pt>
                <c:pt idx="5">
                  <c:v>183.79999999999998</c:v>
                </c:pt>
              </c:numCache>
            </c:numRef>
          </c:val>
          <c:extLst>
            <c:ext xmlns:c16="http://schemas.microsoft.com/office/drawing/2014/chart" uri="{C3380CC4-5D6E-409C-BE32-E72D297353CC}">
              <c16:uniqueId val="{00000011-7D21-44AC-BD4B-D7B250BBB450}"/>
            </c:ext>
          </c:extLst>
        </c:ser>
        <c:dLbls>
          <c:showLegendKey val="0"/>
          <c:showVal val="0"/>
          <c:showCatName val="0"/>
          <c:showSerName val="0"/>
          <c:showPercent val="0"/>
          <c:showBubbleSize val="0"/>
        </c:dLbls>
        <c:gapWidth val="150"/>
        <c:axId val="112223360"/>
        <c:axId val="112328064"/>
      </c:barChart>
      <c:catAx>
        <c:axId val="112223360"/>
        <c:scaling>
          <c:orientation val="minMax"/>
        </c:scaling>
        <c:delete val="0"/>
        <c:axPos val="b"/>
        <c:numFmt formatCode="General" sourceLinked="1"/>
        <c:majorTickMark val="out"/>
        <c:minorTickMark val="none"/>
        <c:tickLblPos val="nextTo"/>
        <c:txPr>
          <a:bodyPr/>
          <a:lstStyle/>
          <a:p>
            <a:pPr>
              <a:defRPr sz="1050" b="0">
                <a:latin typeface="Times New Roman" panose="02020603050405020304" pitchFamily="18" charset="0"/>
                <a:cs typeface="Times New Roman" panose="02020603050405020304" pitchFamily="18" charset="0"/>
              </a:defRPr>
            </a:pPr>
            <a:endParaRPr lang="ru-RU"/>
          </a:p>
        </c:txPr>
        <c:crossAx val="112328064"/>
        <c:crosses val="autoZero"/>
        <c:auto val="1"/>
        <c:lblAlgn val="ctr"/>
        <c:lblOffset val="100"/>
        <c:noMultiLvlLbl val="0"/>
      </c:catAx>
      <c:valAx>
        <c:axId val="112328064"/>
        <c:scaling>
          <c:orientation val="minMax"/>
        </c:scaling>
        <c:delete val="0"/>
        <c:axPos val="l"/>
        <c:numFmt formatCode="General" sourceLinked="0"/>
        <c:majorTickMark val="cross"/>
        <c:minorTickMark val="none"/>
        <c:tickLblPos val="nextTo"/>
        <c:spPr>
          <a:ln>
            <a:solidFill>
              <a:sysClr val="windowText" lastClr="000000"/>
            </a:solidFill>
          </a:ln>
        </c:spPr>
        <c:txPr>
          <a:bodyPr/>
          <a:lstStyle/>
          <a:p>
            <a:pPr>
              <a:defRPr sz="900" b="0">
                <a:latin typeface="Times New Roman" pitchFamily="18" charset="0"/>
                <a:cs typeface="Times New Roman" pitchFamily="18" charset="0"/>
              </a:defRPr>
            </a:pPr>
            <a:endParaRPr lang="ru-RU"/>
          </a:p>
        </c:txPr>
        <c:crossAx val="112223360"/>
        <c:crosses val="autoZero"/>
        <c:crossBetween val="between"/>
        <c:majorUnit val="75"/>
      </c:valAx>
    </c:plotArea>
    <c:legend>
      <c:legendPos val="b"/>
      <c:layout>
        <c:manualLayout>
          <c:xMode val="edge"/>
          <c:yMode val="edge"/>
          <c:x val="0.56642077688071668"/>
          <c:y val="0.89341047223208514"/>
          <c:w val="0.23445957617882526"/>
          <c:h val="0.10658984700083221"/>
        </c:manualLayout>
      </c:layout>
      <c:overlay val="0"/>
      <c:txPr>
        <a:bodyPr/>
        <a:lstStyle/>
        <a:p>
          <a:pPr>
            <a:defRPr sz="90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06116132552051"/>
          <c:y val="4.757653589309125E-2"/>
          <c:w val="0.6010466479751595"/>
          <c:h val="0.91355266083463049"/>
        </c:manualLayout>
      </c:layout>
      <c:barChart>
        <c:barDir val="bar"/>
        <c:grouping val="stack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1-5322-4695-ADFD-6D92DA53AD3B}"/>
              </c:ext>
            </c:extLst>
          </c:dPt>
          <c:dPt>
            <c:idx val="1"/>
            <c:invertIfNegative val="0"/>
            <c:bubble3D val="0"/>
            <c:spPr>
              <a:solidFill>
                <a:schemeClr val="bg1">
                  <a:lumMod val="95000"/>
                </a:schemeClr>
              </a:solidFill>
              <a:ln>
                <a:noFill/>
              </a:ln>
              <a:effectLst/>
            </c:spPr>
            <c:extLst>
              <c:ext xmlns:c16="http://schemas.microsoft.com/office/drawing/2014/chart" uri="{C3380CC4-5D6E-409C-BE32-E72D297353CC}">
                <c16:uniqueId val="{00000003-5322-4695-ADFD-6D92DA53AD3B}"/>
              </c:ext>
            </c:extLst>
          </c:dPt>
          <c:dPt>
            <c:idx val="2"/>
            <c:invertIfNegative val="0"/>
            <c:bubble3D val="0"/>
            <c:spPr>
              <a:solidFill>
                <a:schemeClr val="bg1">
                  <a:lumMod val="95000"/>
                </a:schemeClr>
              </a:solidFill>
              <a:ln>
                <a:noFill/>
              </a:ln>
              <a:effectLst/>
            </c:spPr>
            <c:extLst>
              <c:ext xmlns:c16="http://schemas.microsoft.com/office/drawing/2014/chart" uri="{C3380CC4-5D6E-409C-BE32-E72D297353CC}">
                <c16:uniqueId val="{00000005-5322-4695-ADFD-6D92DA53AD3B}"/>
              </c:ext>
            </c:extLst>
          </c:dPt>
          <c:dPt>
            <c:idx val="3"/>
            <c:invertIfNegative val="0"/>
            <c:bubble3D val="0"/>
            <c:spPr>
              <a:solidFill>
                <a:schemeClr val="bg1">
                  <a:lumMod val="95000"/>
                </a:schemeClr>
              </a:solidFill>
              <a:ln>
                <a:noFill/>
              </a:ln>
              <a:effectLst/>
            </c:spPr>
            <c:extLst>
              <c:ext xmlns:c16="http://schemas.microsoft.com/office/drawing/2014/chart" uri="{C3380CC4-5D6E-409C-BE32-E72D297353CC}">
                <c16:uniqueId val="{00000007-5322-4695-ADFD-6D92DA53AD3B}"/>
              </c:ext>
            </c:extLst>
          </c:dPt>
          <c:dPt>
            <c:idx val="4"/>
            <c:invertIfNegative val="0"/>
            <c:bubble3D val="0"/>
            <c:spPr>
              <a:solidFill>
                <a:schemeClr val="bg1">
                  <a:lumMod val="95000"/>
                </a:schemeClr>
              </a:solidFill>
              <a:ln>
                <a:noFill/>
              </a:ln>
              <a:effectLst/>
            </c:spPr>
            <c:extLst>
              <c:ext xmlns:c16="http://schemas.microsoft.com/office/drawing/2014/chart" uri="{C3380CC4-5D6E-409C-BE32-E72D297353CC}">
                <c16:uniqueId val="{00000009-5322-4695-ADFD-6D92DA53AD3B}"/>
              </c:ext>
            </c:extLst>
          </c:dPt>
          <c:dPt>
            <c:idx val="5"/>
            <c:invertIfNegative val="0"/>
            <c:bubble3D val="0"/>
            <c:spPr>
              <a:solidFill>
                <a:schemeClr val="bg1">
                  <a:lumMod val="95000"/>
                </a:schemeClr>
              </a:solidFill>
              <a:ln>
                <a:noFill/>
              </a:ln>
              <a:effectLst/>
            </c:spPr>
            <c:extLst>
              <c:ext xmlns:c16="http://schemas.microsoft.com/office/drawing/2014/chart" uri="{C3380CC4-5D6E-409C-BE32-E72D297353CC}">
                <c16:uniqueId val="{0000000B-5322-4695-ADFD-6D92DA53AD3B}"/>
              </c:ext>
            </c:extLst>
          </c:dPt>
          <c:dPt>
            <c:idx val="6"/>
            <c:invertIfNegative val="0"/>
            <c:bubble3D val="0"/>
            <c:spPr>
              <a:solidFill>
                <a:schemeClr val="bg1">
                  <a:lumMod val="95000"/>
                </a:schemeClr>
              </a:solidFill>
              <a:ln>
                <a:noFill/>
              </a:ln>
              <a:effectLst/>
            </c:spPr>
            <c:extLst>
              <c:ext xmlns:c16="http://schemas.microsoft.com/office/drawing/2014/chart" uri="{C3380CC4-5D6E-409C-BE32-E72D297353CC}">
                <c16:uniqueId val="{0000000D-5322-4695-ADFD-6D92DA53AD3B}"/>
              </c:ext>
            </c:extLst>
          </c:dPt>
          <c:dPt>
            <c:idx val="7"/>
            <c:invertIfNegative val="0"/>
            <c:bubble3D val="0"/>
            <c:spPr>
              <a:solidFill>
                <a:schemeClr val="bg1">
                  <a:lumMod val="95000"/>
                </a:schemeClr>
              </a:solidFill>
              <a:ln>
                <a:noFill/>
              </a:ln>
              <a:effectLst/>
            </c:spPr>
            <c:extLst>
              <c:ext xmlns:c16="http://schemas.microsoft.com/office/drawing/2014/chart" uri="{C3380CC4-5D6E-409C-BE32-E72D297353CC}">
                <c16:uniqueId val="{0000000F-5322-4695-ADFD-6D92DA53AD3B}"/>
              </c:ext>
            </c:extLst>
          </c:dPt>
          <c:dPt>
            <c:idx val="8"/>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11-5322-4695-ADFD-6D92DA53AD3B}"/>
              </c:ext>
            </c:extLst>
          </c:dPt>
          <c:dLbls>
            <c:dLbl>
              <c:idx val="0"/>
              <c:layout>
                <c:manualLayout>
                  <c:x val="0.2109643376524689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22-4695-ADFD-6D92DA53AD3B}"/>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322-4695-ADFD-6D92DA53AD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рыночные услуги 2021 год</c:v>
                </c:pt>
                <c:pt idx="1">
                  <c:v>прочие отрасли </c:v>
                </c:pt>
                <c:pt idx="2">
                  <c:v>транспорт</c:v>
                </c:pt>
                <c:pt idx="3">
                  <c:v>операции с недвижимым имуществом</c:v>
                </c:pt>
                <c:pt idx="4">
                  <c:v>ЖКХ</c:v>
                </c:pt>
                <c:pt idx="5">
                  <c:v>связь</c:v>
                </c:pt>
                <c:pt idx="6">
                  <c:v>здравоохранение и соц. обеспечение</c:v>
                </c:pt>
                <c:pt idx="7">
                  <c:v>торговля и общепит</c:v>
                </c:pt>
                <c:pt idx="8">
                  <c:v>рыночные услуги 2020 год</c:v>
                </c:pt>
              </c:strCache>
            </c:strRef>
          </c:cat>
          <c:val>
            <c:numRef>
              <c:f>Лист1!$B$2:$B$10</c:f>
              <c:numCache>
                <c:formatCode>#,##0.0</c:formatCode>
                <c:ptCount val="9"/>
                <c:pt idx="0">
                  <c:v>6177.8469999999998</c:v>
                </c:pt>
                <c:pt idx="1">
                  <c:v>5513.8</c:v>
                </c:pt>
                <c:pt idx="2">
                  <c:v>5494.5780000000004</c:v>
                </c:pt>
                <c:pt idx="3">
                  <c:v>5461.68</c:v>
                </c:pt>
                <c:pt idx="4">
                  <c:v>5415.2449999999999</c:v>
                </c:pt>
                <c:pt idx="5">
                  <c:v>5367.8869999999997</c:v>
                </c:pt>
                <c:pt idx="6">
                  <c:v>5304.5</c:v>
                </c:pt>
                <c:pt idx="7">
                  <c:v>4567.8</c:v>
                </c:pt>
                <c:pt idx="8">
                  <c:v>4567.848</c:v>
                </c:pt>
              </c:numCache>
            </c:numRef>
          </c:val>
          <c:extLst>
            <c:ext xmlns:c16="http://schemas.microsoft.com/office/drawing/2014/chart" uri="{C3380CC4-5D6E-409C-BE32-E72D297353CC}">
              <c16:uniqueId val="{00000012-5322-4695-ADFD-6D92DA53AD3B}"/>
            </c:ext>
          </c:extLst>
        </c:ser>
        <c:ser>
          <c:idx val="1"/>
          <c:order val="1"/>
          <c:tx>
            <c:strRef>
              <c:f>Лист1!$C$1</c:f>
              <c:strCache>
                <c:ptCount val="1"/>
                <c:pt idx="0">
                  <c:v>Ряд 2</c:v>
                </c:pt>
              </c:strCache>
            </c:strRef>
          </c:tx>
          <c:spPr>
            <a:solidFill>
              <a:schemeClr val="bg1">
                <a:lumMod val="65000"/>
              </a:schemeClr>
            </a:solidFill>
            <a:ln>
              <a:solidFill>
                <a:schemeClr val="tx1"/>
              </a:solidFill>
            </a:ln>
            <a:effectLst/>
          </c:spPr>
          <c:invertIfNegative val="0"/>
          <c:dLbls>
            <c:dLbl>
              <c:idx val="1"/>
              <c:layout>
                <c:manualLayout>
                  <c:x val="6.2514575445124121E-2"/>
                  <c:y val="3.8948393378773127E-3"/>
                </c:manualLayout>
              </c:layout>
              <c:tx>
                <c:rich>
                  <a:bodyPr/>
                  <a:lstStyle/>
                  <a:p>
                    <a:r>
                      <a:rPr lang="en-US"/>
                      <a:t>+</a:t>
                    </a:r>
                    <a:fld id="{266786CF-FFE6-46E5-AEAC-68EFEA4BD968}" type="VALUE">
                      <a:rPr lang="en-US"/>
                      <a:pPr/>
                      <a:t>[ЗНАЧЕНИЕ]</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5322-4695-ADFD-6D92DA53AD3B}"/>
                </c:ext>
              </c:extLst>
            </c:dLbl>
            <c:dLbl>
              <c:idx val="2"/>
              <c:layout>
                <c:manualLayout>
                  <c:x val="3.3421823208038944E-2"/>
                  <c:y val="1.4689984589316793E-4"/>
                </c:manualLayout>
              </c:layout>
              <c:tx>
                <c:rich>
                  <a:bodyPr/>
                  <a:lstStyle/>
                  <a:p>
                    <a:r>
                      <a:rPr lang="en-US"/>
                      <a:t>+</a:t>
                    </a:r>
                    <a:fld id="{0BEA7F32-FB37-4547-865C-4CED571372AD}" type="VALUE">
                      <a:rPr lang="en-US"/>
                      <a:pPr/>
                      <a:t>[ЗНАЧЕНИЕ]</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5322-4695-ADFD-6D92DA53AD3B}"/>
                </c:ext>
              </c:extLst>
            </c:dLbl>
            <c:dLbl>
              <c:idx val="3"/>
              <c:layout>
                <c:manualLayout>
                  <c:x val="3.3430339198448782E-2"/>
                  <c:y val="1.4705318602450902E-4"/>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a:t>
                    </a:r>
                    <a:fld id="{1BA46453-56E9-49EE-A692-C9CB04279600}" type="VALUE">
                      <a:rPr lang="en-US">
                        <a:solidFill>
                          <a:sysClr val="windowText" lastClr="000000"/>
                        </a:solidFill>
                      </a:rPr>
                      <a:pPr>
                        <a:defRPr>
                          <a:solidFill>
                            <a:sysClr val="windowText" lastClr="000000"/>
                          </a:solidFill>
                          <a:latin typeface="Times New Roman" panose="02020603050405020304" pitchFamily="18" charset="0"/>
                          <a:cs typeface="Times New Roman" panose="02020603050405020304" pitchFamily="18" charset="0"/>
                        </a:defRPr>
                      </a:pPr>
                      <a:t>[ЗНАЧЕНИЕ]</a:t>
                    </a:fld>
                    <a:endParaRPr lang="en-US">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1525529915422367E-2"/>
                      <c:h val="5.2956505436820386E-2"/>
                    </c:manualLayout>
                  </c15:layout>
                  <c15:dlblFieldTable/>
                  <c15:showDataLabelsRange val="0"/>
                </c:ext>
                <c:ext xmlns:c16="http://schemas.microsoft.com/office/drawing/2014/chart" uri="{C3380CC4-5D6E-409C-BE32-E72D297353CC}">
                  <c16:uniqueId val="{00000015-5322-4695-ADFD-6D92DA53AD3B}"/>
                </c:ext>
              </c:extLst>
            </c:dLbl>
            <c:dLbl>
              <c:idx val="4"/>
              <c:layout>
                <c:manualLayout>
                  <c:x val="3.9678455854415866E-2"/>
                  <c:y val="-3.9681359206925554E-3"/>
                </c:manualLayout>
              </c:layout>
              <c:tx>
                <c:rich>
                  <a:bodyPr/>
                  <a:lstStyle/>
                  <a:p>
                    <a:r>
                      <a:rPr lang="en-US"/>
                      <a:t>+</a:t>
                    </a:r>
                    <a:fld id="{593721D8-2579-45FA-95BA-5A7503634881}" type="VALUE">
                      <a:rPr lang="en-US"/>
                      <a:pPr/>
                      <a:t>[ЗНАЧЕНИЕ]</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5322-4695-ADFD-6D92DA53AD3B}"/>
                </c:ext>
              </c:extLst>
            </c:dLbl>
            <c:dLbl>
              <c:idx val="5"/>
              <c:layout>
                <c:manualLayout>
                  <c:x val="3.5501690096558229E-2"/>
                  <c:y val="-7.7896786757546965E-3"/>
                </c:manualLayout>
              </c:layout>
              <c:tx>
                <c:rich>
                  <a:bodyPr/>
                  <a:lstStyle/>
                  <a:p>
                    <a:r>
                      <a:rPr lang="en-US"/>
                      <a:t>+</a:t>
                    </a:r>
                    <a:fld id="{1AA8D2D1-6CB0-4BFC-BA75-4EB159FBCBA4}" type="VALUE">
                      <a:rPr lang="en-US"/>
                      <a:pPr/>
                      <a:t>[ЗНАЧЕНИЕ]</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5322-4695-ADFD-6D92DA53AD3B}"/>
                </c:ext>
              </c:extLst>
            </c:dLbl>
            <c:dLbl>
              <c:idx val="6"/>
              <c:layout>
                <c:manualLayout>
                  <c:x val="3.3413386237861546E-2"/>
                  <c:y val="-7.7896786757546254E-3"/>
                </c:manualLayout>
              </c:layout>
              <c:tx>
                <c:rich>
                  <a:bodyPr/>
                  <a:lstStyle/>
                  <a:p>
                    <a:r>
                      <a:rPr lang="en-US"/>
                      <a:t>+</a:t>
                    </a:r>
                    <a:fld id="{DABD972F-E134-4A8F-A384-7E2496B2FF35}" type="VALUE">
                      <a:rPr lang="en-US"/>
                      <a:pPr/>
                      <a:t>[ЗНАЧЕНИЕ]</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5322-4695-ADFD-6D92DA53AD3B}"/>
                </c:ext>
              </c:extLst>
            </c:dLbl>
            <c:dLbl>
              <c:idx val="7"/>
              <c:layout>
                <c:manualLayout>
                  <c:x val="7.0927227586568317E-2"/>
                  <c:y val="3.8948393378773127E-3"/>
                </c:manualLayout>
              </c:layout>
              <c:tx>
                <c:rich>
                  <a:bodyPr/>
                  <a:lstStyle/>
                  <a:p>
                    <a:r>
                      <a:rPr lang="en-US"/>
                      <a:t>+</a:t>
                    </a:r>
                    <a:fld id="{28E57BC6-BB90-4528-8CEF-4F4AC0C05E09}" type="VALUE">
                      <a:rPr lang="en-US"/>
                      <a:pPr/>
                      <a:t>[ЗНАЧЕНИЕ]</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5322-4695-ADFD-6D92DA53AD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рыночные услуги 2021 год</c:v>
                </c:pt>
                <c:pt idx="1">
                  <c:v>прочие отрасли </c:v>
                </c:pt>
                <c:pt idx="2">
                  <c:v>транспорт</c:v>
                </c:pt>
                <c:pt idx="3">
                  <c:v>операции с недвижимым имуществом</c:v>
                </c:pt>
                <c:pt idx="4">
                  <c:v>ЖКХ</c:v>
                </c:pt>
                <c:pt idx="5">
                  <c:v>связь</c:v>
                </c:pt>
                <c:pt idx="6">
                  <c:v>здравоохранение и соц. обеспечение</c:v>
                </c:pt>
                <c:pt idx="7">
                  <c:v>торговля и общепит</c:v>
                </c:pt>
                <c:pt idx="8">
                  <c:v>рыночные услуги 2020 год</c:v>
                </c:pt>
              </c:strCache>
            </c:strRef>
          </c:cat>
          <c:val>
            <c:numRef>
              <c:f>Лист1!$C$2:$C$10</c:f>
              <c:numCache>
                <c:formatCode>#,##0.0</c:formatCode>
                <c:ptCount val="9"/>
                <c:pt idx="1">
                  <c:v>664.04699999999957</c:v>
                </c:pt>
                <c:pt idx="2">
                  <c:v>19.222000000000001</c:v>
                </c:pt>
                <c:pt idx="3">
                  <c:v>32.898000000000003</c:v>
                </c:pt>
                <c:pt idx="4">
                  <c:v>46.435000000000002</c:v>
                </c:pt>
                <c:pt idx="5">
                  <c:v>47.357999999999997</c:v>
                </c:pt>
                <c:pt idx="6">
                  <c:v>63.387</c:v>
                </c:pt>
                <c:pt idx="7">
                  <c:v>736.7</c:v>
                </c:pt>
              </c:numCache>
            </c:numRef>
          </c:val>
          <c:extLst>
            <c:ext xmlns:c16="http://schemas.microsoft.com/office/drawing/2014/chart" uri="{C3380CC4-5D6E-409C-BE32-E72D297353CC}">
              <c16:uniqueId val="{0000001A-5322-4695-ADFD-6D92DA53AD3B}"/>
            </c:ext>
          </c:extLst>
        </c:ser>
        <c:dLbls>
          <c:showLegendKey val="0"/>
          <c:showVal val="0"/>
          <c:showCatName val="0"/>
          <c:showSerName val="0"/>
          <c:showPercent val="0"/>
          <c:showBubbleSize val="0"/>
        </c:dLbls>
        <c:gapWidth val="5"/>
        <c:overlap val="100"/>
        <c:axId val="228689672"/>
        <c:axId val="228688360"/>
      </c:barChart>
      <c:valAx>
        <c:axId val="228688360"/>
        <c:scaling>
          <c:orientation val="minMax"/>
        </c:scaling>
        <c:delete val="1"/>
        <c:axPos val="t"/>
        <c:numFmt formatCode="#,##0.0" sourceLinked="1"/>
        <c:majorTickMark val="out"/>
        <c:minorTickMark val="none"/>
        <c:tickLblPos val="nextTo"/>
        <c:crossAx val="228689672"/>
        <c:crosses val="max"/>
        <c:crossBetween val="between"/>
      </c:valAx>
      <c:catAx>
        <c:axId val="2286896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868836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895034257707101E-2"/>
          <c:y val="8.4732584536338487E-2"/>
          <c:w val="0.91823482267321521"/>
          <c:h val="0.63533659604299397"/>
        </c:manualLayout>
      </c:layout>
      <c:lineChart>
        <c:grouping val="standard"/>
        <c:varyColors val="0"/>
        <c:ser>
          <c:idx val="1"/>
          <c:order val="0"/>
          <c:tx>
            <c:strRef>
              <c:f>Лист1!$C$1</c:f>
              <c:strCache>
                <c:ptCount val="1"/>
                <c:pt idx="0">
                  <c:v>2020 год</c:v>
                </c:pt>
              </c:strCache>
            </c:strRef>
          </c:tx>
          <c:spPr>
            <a:ln w="19050">
              <a:solidFill>
                <a:sysClr val="window" lastClr="FFFFFF">
                  <a:lumMod val="85000"/>
                </a:sysClr>
              </a:solidFill>
              <a:prstDash val="solid"/>
            </a:ln>
          </c:spPr>
          <c:marker>
            <c:symbol val="circle"/>
            <c:size val="8"/>
            <c:spPr>
              <a:solidFill>
                <a:sysClr val="window" lastClr="FFFFFF">
                  <a:lumMod val="85000"/>
                </a:sysClr>
              </a:solidFill>
              <a:ln>
                <a:noFill/>
              </a:ln>
            </c:spPr>
          </c:marker>
          <c:dPt>
            <c:idx val="10"/>
            <c:bubble3D val="0"/>
            <c:spPr>
              <a:ln w="19050" cmpd="sng">
                <a:solidFill>
                  <a:sysClr val="window" lastClr="FFFFFF">
                    <a:lumMod val="85000"/>
                  </a:sysClr>
                </a:solidFill>
                <a:prstDash val="solid"/>
              </a:ln>
            </c:spPr>
            <c:extLst>
              <c:ext xmlns:c16="http://schemas.microsoft.com/office/drawing/2014/chart" uri="{C3380CC4-5D6E-409C-BE32-E72D297353CC}">
                <c16:uniqueId val="{00000001-D345-4395-AB4E-5E5EF4107C64}"/>
              </c:ext>
            </c:extLst>
          </c:dPt>
          <c:dPt>
            <c:idx val="11"/>
            <c:bubble3D val="0"/>
            <c:spPr>
              <a:ln w="19050" cmpd="sng">
                <a:solidFill>
                  <a:sysClr val="window" lastClr="FFFFFF">
                    <a:lumMod val="85000"/>
                  </a:sysClr>
                </a:solidFill>
                <a:prstDash val="solid"/>
              </a:ln>
            </c:spPr>
            <c:extLst>
              <c:ext xmlns:c16="http://schemas.microsoft.com/office/drawing/2014/chart" uri="{C3380CC4-5D6E-409C-BE32-E72D297353CC}">
                <c16:uniqueId val="{00000003-D345-4395-AB4E-5E5EF4107C64}"/>
              </c:ext>
            </c:extLst>
          </c:dPt>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#,##0.0</c:formatCode>
                <c:ptCount val="12"/>
                <c:pt idx="0">
                  <c:v>91</c:v>
                </c:pt>
                <c:pt idx="1">
                  <c:v>94.2</c:v>
                </c:pt>
                <c:pt idx="2">
                  <c:v>99.408180999999999</c:v>
                </c:pt>
                <c:pt idx="3">
                  <c:v>78.46160500000002</c:v>
                </c:pt>
                <c:pt idx="4">
                  <c:v>68.868979999999979</c:v>
                </c:pt>
                <c:pt idx="5">
                  <c:v>80.406400000000005</c:v>
                </c:pt>
                <c:pt idx="6">
                  <c:v>82.337000000000003</c:v>
                </c:pt>
                <c:pt idx="7">
                  <c:v>85.921999999999997</c:v>
                </c:pt>
                <c:pt idx="8">
                  <c:v>83.411000000000016</c:v>
                </c:pt>
                <c:pt idx="9">
                  <c:v>89.361999999999995</c:v>
                </c:pt>
                <c:pt idx="10">
                  <c:v>85.778999999999982</c:v>
                </c:pt>
                <c:pt idx="11">
                  <c:v>113.52200000000001</c:v>
                </c:pt>
              </c:numCache>
            </c:numRef>
          </c:val>
          <c:smooth val="0"/>
          <c:extLst>
            <c:ext xmlns:c16="http://schemas.microsoft.com/office/drawing/2014/chart" uri="{C3380CC4-5D6E-409C-BE32-E72D297353CC}">
              <c16:uniqueId val="{00000004-D345-4395-AB4E-5E5EF4107C64}"/>
            </c:ext>
          </c:extLst>
        </c:ser>
        <c:ser>
          <c:idx val="2"/>
          <c:order val="1"/>
          <c:tx>
            <c:strRef>
              <c:f>Лист1!$D$1</c:f>
              <c:strCache>
                <c:ptCount val="1"/>
                <c:pt idx="0">
                  <c:v>2021 год</c:v>
                </c:pt>
              </c:strCache>
            </c:strRef>
          </c:tx>
          <c:spPr>
            <a:ln w="25400">
              <a:solidFill>
                <a:sysClr val="windowText" lastClr="000000">
                  <a:lumMod val="65000"/>
                  <a:lumOff val="35000"/>
                </a:sysClr>
              </a:solidFill>
              <a:prstDash val="solid"/>
            </a:ln>
          </c:spPr>
          <c:marker>
            <c:symbol val="square"/>
            <c:size val="8"/>
            <c:spPr>
              <a:solidFill>
                <a:sysClr val="windowText" lastClr="000000">
                  <a:lumMod val="65000"/>
                  <a:lumOff val="35000"/>
                </a:sysClr>
              </a:solidFill>
              <a:ln w="9525">
                <a:noFill/>
              </a:ln>
            </c:spPr>
          </c:marker>
          <c:dPt>
            <c:idx val="11"/>
            <c:bubble3D val="0"/>
            <c:extLst>
              <c:ext xmlns:c16="http://schemas.microsoft.com/office/drawing/2014/chart" uri="{C3380CC4-5D6E-409C-BE32-E72D297353CC}">
                <c16:uniqueId val="{00000005-D345-4395-AB4E-5E5EF4107C64}"/>
              </c:ext>
            </c:extLst>
          </c:dPt>
          <c:dLbls>
            <c:dLbl>
              <c:idx val="0"/>
              <c:layout>
                <c:manualLayout>
                  <c:x val="-3.6161359595446474E-2"/>
                  <c:y val="7.6074814972452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45-4395-AB4E-5E5EF4107C64}"/>
                </c:ext>
              </c:extLst>
            </c:dLbl>
            <c:dLbl>
              <c:idx val="1"/>
              <c:layout>
                <c:manualLayout>
                  <c:x val="-3.0694295411626289E-2"/>
                  <c:y val="8.318266432728523E-2"/>
                </c:manualLayout>
              </c:layout>
              <c:showLegendKey val="0"/>
              <c:showVal val="1"/>
              <c:showCatName val="0"/>
              <c:showSerName val="0"/>
              <c:showPercent val="0"/>
              <c:showBubbleSize val="0"/>
              <c:extLst>
                <c:ext xmlns:c15="http://schemas.microsoft.com/office/drawing/2012/chart" uri="{CE6537A1-D6FC-4f65-9D91-7224C49458BB}">
                  <c15:layout>
                    <c:manualLayout>
                      <c:w val="4.7905412292324943E-2"/>
                      <c:h val="9.8505434782608689E-2"/>
                    </c:manualLayout>
                  </c15:layout>
                </c:ext>
                <c:ext xmlns:c16="http://schemas.microsoft.com/office/drawing/2014/chart" uri="{C3380CC4-5D6E-409C-BE32-E72D297353CC}">
                  <c16:uniqueId val="{00000007-D345-4395-AB4E-5E5EF4107C64}"/>
                </c:ext>
              </c:extLst>
            </c:dLbl>
            <c:dLbl>
              <c:idx val="2"/>
              <c:layout>
                <c:manualLayout>
                  <c:x val="-4.0785829932026486E-2"/>
                  <c:y val="-8.2328426954934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45-4395-AB4E-5E5EF4107C64}"/>
                </c:ext>
              </c:extLst>
            </c:dLbl>
            <c:dLbl>
              <c:idx val="3"/>
              <c:layout>
                <c:manualLayout>
                  <c:x val="-4.2819471532468685E-2"/>
                  <c:y val="-6.855434142553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45-4395-AB4E-5E5EF4107C64}"/>
                </c:ext>
              </c:extLst>
            </c:dLbl>
            <c:dLbl>
              <c:idx val="4"/>
              <c:layout>
                <c:manualLayout>
                  <c:x val="-4.2819364733622953E-2"/>
                  <c:y val="-7.5411353132488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45-4395-AB4E-5E5EF4107C64}"/>
                </c:ext>
              </c:extLst>
            </c:dLbl>
            <c:dLbl>
              <c:idx val="5"/>
              <c:layout>
                <c:manualLayout>
                  <c:x val="-4.0796245897863445E-2"/>
                  <c:y val="-6.7543756419034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45-4395-AB4E-5E5EF4107C64}"/>
                </c:ext>
              </c:extLst>
            </c:dLbl>
            <c:dLbl>
              <c:idx val="6"/>
              <c:layout>
                <c:manualLayout>
                  <c:x val="-4.2809091835694722E-2"/>
                  <c:y val="-6.7934782608695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45-4395-AB4E-5E5EF4107C64}"/>
                </c:ext>
              </c:extLst>
            </c:dLbl>
            <c:dLbl>
              <c:idx val="7"/>
              <c:layout>
                <c:manualLayout>
                  <c:x val="-3.8157016121339316E-2"/>
                  <c:y val="-6.8767908309455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45-4395-AB4E-5E5EF4107C64}"/>
                </c:ext>
              </c:extLst>
            </c:dLbl>
            <c:dLbl>
              <c:idx val="8"/>
              <c:layout>
                <c:manualLayout>
                  <c:x val="-5.1511971763808069E-2"/>
                  <c:y val="-6.5162907268170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45-4395-AB4E-5E5EF4107C64}"/>
                </c:ext>
              </c:extLst>
            </c:dLbl>
            <c:dLbl>
              <c:idx val="9"/>
              <c:layout>
                <c:manualLayout>
                  <c:x val="-4.5788419345607179E-2"/>
                  <c:y val="-6.0606060606060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45-4395-AB4E-5E5EF4107C64}"/>
                </c:ext>
              </c:extLst>
            </c:dLbl>
            <c:dLbl>
              <c:idx val="10"/>
              <c:layout>
                <c:manualLayout>
                  <c:x val="-3.4341314509205391E-2"/>
                  <c:y val="-6.0606060606060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45-4395-AB4E-5E5EF4107C64}"/>
                </c:ext>
              </c:extLst>
            </c:dLbl>
            <c:dLbl>
              <c:idx val="11"/>
              <c:layout>
                <c:manualLayout>
                  <c:x val="-2.2894209672803593E-2"/>
                  <c:y val="-8.5567598402738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45-4395-AB4E-5E5EF4107C64}"/>
                </c:ext>
              </c:extLst>
            </c:dLbl>
            <c:spPr>
              <a:noFill/>
              <a:ln>
                <a:noFill/>
              </a:ln>
              <a:effectLst/>
            </c:spPr>
            <c:txPr>
              <a:bodyPr/>
              <a:lstStyle/>
              <a:p>
                <a:pPr>
                  <a:defRPr sz="1000" b="0"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#,##0.0</c:formatCode>
                <c:ptCount val="12"/>
                <c:pt idx="0">
                  <c:v>77.400000000000006</c:v>
                </c:pt>
                <c:pt idx="1">
                  <c:v>92.08</c:v>
                </c:pt>
                <c:pt idx="2" formatCode="0.0">
                  <c:v>107</c:v>
                </c:pt>
                <c:pt idx="3" formatCode="0.0">
                  <c:v>114.9</c:v>
                </c:pt>
                <c:pt idx="4" formatCode="0.0">
                  <c:v>114.4</c:v>
                </c:pt>
                <c:pt idx="5" formatCode="0.0">
                  <c:v>122.1</c:v>
                </c:pt>
                <c:pt idx="6" formatCode="0.0">
                  <c:v>131.19999999999999</c:v>
                </c:pt>
                <c:pt idx="7" formatCode="0.0">
                  <c:v>145.19999999999999</c:v>
                </c:pt>
                <c:pt idx="8" formatCode="0.0">
                  <c:v>156.19999999999999</c:v>
                </c:pt>
                <c:pt idx="9" formatCode="General">
                  <c:v>193.2</c:v>
                </c:pt>
                <c:pt idx="10" formatCode="General">
                  <c:v>190.1</c:v>
                </c:pt>
                <c:pt idx="11" formatCode="General">
                  <c:v>202.2</c:v>
                </c:pt>
              </c:numCache>
            </c:numRef>
          </c:val>
          <c:smooth val="0"/>
          <c:extLst>
            <c:ext xmlns:c16="http://schemas.microsoft.com/office/drawing/2014/chart" uri="{C3380CC4-5D6E-409C-BE32-E72D297353CC}">
              <c16:uniqueId val="{00000011-D345-4395-AB4E-5E5EF4107C64}"/>
            </c:ext>
          </c:extLst>
        </c:ser>
        <c:dLbls>
          <c:showLegendKey val="0"/>
          <c:showVal val="0"/>
          <c:showCatName val="0"/>
          <c:showSerName val="0"/>
          <c:showPercent val="0"/>
          <c:showBubbleSize val="0"/>
        </c:dLbls>
        <c:marker val="1"/>
        <c:smooth val="0"/>
        <c:axId val="111973888"/>
        <c:axId val="111975424"/>
      </c:lineChart>
      <c:catAx>
        <c:axId val="111973888"/>
        <c:scaling>
          <c:orientation val="minMax"/>
        </c:scaling>
        <c:delete val="0"/>
        <c:axPos val="b"/>
        <c:numFmt formatCode="General" sourceLinked="0"/>
        <c:majorTickMark val="none"/>
        <c:minorTickMark val="none"/>
        <c:tickLblPos val="nextTo"/>
        <c:spPr>
          <a:ln w="9525">
            <a:solidFill>
              <a:sysClr val="windowText" lastClr="000000"/>
            </a:solidFill>
          </a:ln>
        </c:spPr>
        <c:txPr>
          <a:bodyPr/>
          <a:lstStyle/>
          <a:p>
            <a:pPr>
              <a:defRPr sz="1000" b="0"/>
            </a:pPr>
            <a:endParaRPr lang="ru-RU"/>
          </a:p>
        </c:txPr>
        <c:crossAx val="111975424"/>
        <c:crosses val="autoZero"/>
        <c:auto val="1"/>
        <c:lblAlgn val="ctr"/>
        <c:lblOffset val="100"/>
        <c:noMultiLvlLbl val="0"/>
      </c:catAx>
      <c:valAx>
        <c:axId val="111975424"/>
        <c:scaling>
          <c:orientation val="minMax"/>
          <c:min val="0"/>
        </c:scaling>
        <c:delete val="0"/>
        <c:axPos val="l"/>
        <c:numFmt formatCode="#,##0.0" sourceLinked="1"/>
        <c:majorTickMark val="cross"/>
        <c:minorTickMark val="none"/>
        <c:tickLblPos val="nextTo"/>
        <c:spPr>
          <a:ln w="9525">
            <a:solidFill>
              <a:sysClr val="windowText" lastClr="000000"/>
            </a:solidFill>
          </a:ln>
        </c:spPr>
        <c:txPr>
          <a:bodyPr/>
          <a:lstStyle/>
          <a:p>
            <a:pPr>
              <a:defRPr sz="900" b="0"/>
            </a:pPr>
            <a:endParaRPr lang="ru-RU"/>
          </a:p>
        </c:txPr>
        <c:crossAx val="111973888"/>
        <c:crosses val="autoZero"/>
        <c:crossBetween val="between"/>
        <c:majorUnit val="50"/>
      </c:valAx>
    </c:plotArea>
    <c:legend>
      <c:legendPos val="b"/>
      <c:layout>
        <c:manualLayout>
          <c:xMode val="edge"/>
          <c:yMode val="edge"/>
          <c:x val="0.18675210320117613"/>
          <c:y val="0.87424180085597436"/>
          <c:w val="0.59706898807737008"/>
          <c:h val="0.11009073907625909"/>
        </c:manualLayout>
      </c:layout>
      <c:overlay val="0"/>
      <c:txPr>
        <a:bodyPr/>
        <a:lstStyle/>
        <a:p>
          <a:pPr>
            <a:defRPr sz="900" b="0"/>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89697012496362E-2"/>
          <c:y val="9.733310347153773E-2"/>
          <c:w val="0.9382382954343097"/>
          <c:h val="0.3537865358453231"/>
        </c:manualLayout>
      </c:layout>
      <c:barChart>
        <c:barDir val="col"/>
        <c:grouping val="clustered"/>
        <c:varyColors val="0"/>
        <c:ser>
          <c:idx val="0"/>
          <c:order val="0"/>
          <c:tx>
            <c:strRef>
              <c:f>Лист1!$B$1</c:f>
              <c:strCache>
                <c:ptCount val="1"/>
                <c:pt idx="0">
                  <c:v>2020 год</c:v>
                </c:pt>
              </c:strCache>
            </c:strRef>
          </c:tx>
          <c:spPr>
            <a:solidFill>
              <a:srgbClr val="D9D9D9"/>
            </a:solidFill>
            <a:ln>
              <a:noFill/>
            </a:ln>
            <a:effectLst/>
          </c:spPr>
          <c:invertIfNegative val="0"/>
          <c:dLbls>
            <c:dLbl>
              <c:idx val="0"/>
              <c:layout>
                <c:manualLayout>
                  <c:x val="-1.1871103960458524E-2"/>
                  <c:y val="1.7831654217901494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32,4*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2005675197652885E-2"/>
                      <c:h val="7.4222623647531918E-2"/>
                    </c:manualLayout>
                  </c15:layout>
                </c:ext>
                <c:ext xmlns:c16="http://schemas.microsoft.com/office/drawing/2014/chart" uri="{C3380CC4-5D6E-409C-BE32-E72D297353CC}">
                  <c16:uniqueId val="{00000000-09D8-4770-B52B-4D8B1860CB79}"/>
                </c:ext>
              </c:extLst>
            </c:dLbl>
            <c:dLbl>
              <c:idx val="1"/>
              <c:layout>
                <c:manualLayout>
                  <c:x val="-1.0715397301001092E-2"/>
                  <c:y val="2.1786663921911725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17,6*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2666635697086526E-2"/>
                      <c:h val="8.4097219061490147E-2"/>
                    </c:manualLayout>
                  </c15:layout>
                </c:ext>
                <c:ext xmlns:c16="http://schemas.microsoft.com/office/drawing/2014/chart" uri="{C3380CC4-5D6E-409C-BE32-E72D297353CC}">
                  <c16:uniqueId val="{00000001-09D8-4770-B52B-4D8B1860CB79}"/>
                </c:ext>
              </c:extLst>
            </c:dLbl>
            <c:dLbl>
              <c:idx val="2"/>
              <c:layout>
                <c:manualLayout>
                  <c:x val="-9.8328416912487719E-3"/>
                  <c:y val="8.6894880468461316E-3"/>
                </c:manualLayout>
              </c:layout>
              <c:tx>
                <c:rich>
                  <a:bodyPr/>
                  <a:lstStyle/>
                  <a:p>
                    <a:r>
                      <a:rPr lang="en-US">
                        <a:solidFill>
                          <a:sysClr val="windowText" lastClr="000000"/>
                        </a:solidFill>
                      </a:rPr>
                      <a:t>13,6*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D8-4770-B52B-4D8B1860CB79}"/>
                </c:ext>
              </c:extLst>
            </c:dLbl>
            <c:dLbl>
              <c:idx val="3"/>
              <c:tx>
                <c:rich>
                  <a:bodyPr/>
                  <a:lstStyle/>
                  <a:p>
                    <a:r>
                      <a:rPr lang="en-US">
                        <a:solidFill>
                          <a:sysClr val="windowText" lastClr="000000"/>
                        </a:solidFill>
                      </a:rPr>
                      <a:t>13,2*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D8-4770-B52B-4D8B1860CB79}"/>
                </c:ext>
              </c:extLst>
            </c:dLbl>
            <c:dLbl>
              <c:idx val="4"/>
              <c:layout>
                <c:manualLayout>
                  <c:x val="3.9331366764995815E-3"/>
                  <c:y val="0"/>
                </c:manualLayout>
              </c:layout>
              <c:tx>
                <c:rich>
                  <a:bodyPr/>
                  <a:lstStyle/>
                  <a:p>
                    <a:r>
                      <a:rPr lang="en-US">
                        <a:solidFill>
                          <a:sysClr val="windowText" lastClr="000000"/>
                        </a:solidFill>
                      </a:rPr>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D8-4770-B52B-4D8B1860CB79}"/>
                </c:ext>
              </c:extLst>
            </c:dLbl>
            <c:dLbl>
              <c:idx val="5"/>
              <c:layout>
                <c:manualLayout>
                  <c:x val="7.8662733529990259E-3"/>
                  <c:y val="-4.4443931024360946E-17"/>
                </c:manualLayout>
              </c:layout>
              <c:tx>
                <c:rich>
                  <a:bodyPr/>
                  <a:lstStyle/>
                  <a:p>
                    <a:r>
                      <a:rPr lang="en-US">
                        <a:solidFill>
                          <a:sysClr val="windowText" lastClr="000000"/>
                        </a:solidFill>
                      </a:rPr>
                      <a:t>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D8-4770-B52B-4D8B1860CB79}"/>
                </c:ext>
              </c:extLst>
            </c:dLbl>
            <c:dLbl>
              <c:idx val="6"/>
              <c:layout>
                <c:manualLayout>
                  <c:x val="-7.9379480305512163E-3"/>
                  <c:y val="1.4099300410007568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11,2*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7929034349711592E-2"/>
                      <c:h val="5.8953179400885215E-2"/>
                    </c:manualLayout>
                  </c15:layout>
                </c:ext>
                <c:ext xmlns:c16="http://schemas.microsoft.com/office/drawing/2014/chart" uri="{C3380CC4-5D6E-409C-BE32-E72D297353CC}">
                  <c16:uniqueId val="{00000006-09D8-4770-B52B-4D8B1860CB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химической и связанных с ней отраслей промышленности</c:v>
                </c:pt>
                <c:pt idx="5">
                  <c:v>продукция легкой промышленности</c:v>
                </c:pt>
                <c:pt idx="6">
                  <c:v>прочие товары</c:v>
                </c:pt>
              </c:strCache>
            </c:strRef>
          </c:cat>
          <c:val>
            <c:numRef>
              <c:f>Лист1!$B$2:$B$8</c:f>
              <c:numCache>
                <c:formatCode>0.0</c:formatCode>
                <c:ptCount val="7"/>
                <c:pt idx="0">
                  <c:v>340.8</c:v>
                </c:pt>
                <c:pt idx="1">
                  <c:v>185.4</c:v>
                </c:pt>
                <c:pt idx="2">
                  <c:v>143.30000000000001</c:v>
                </c:pt>
                <c:pt idx="3">
                  <c:v>139.19999999999999</c:v>
                </c:pt>
                <c:pt idx="4">
                  <c:v>87.7</c:v>
                </c:pt>
                <c:pt idx="5">
                  <c:v>38.700000000000003</c:v>
                </c:pt>
                <c:pt idx="6">
                  <c:v>117.60000000000011</c:v>
                </c:pt>
              </c:numCache>
            </c:numRef>
          </c:val>
          <c:extLst>
            <c:ext xmlns:c16="http://schemas.microsoft.com/office/drawing/2014/chart" uri="{C3380CC4-5D6E-409C-BE32-E72D297353CC}">
              <c16:uniqueId val="{00000007-09D8-4770-B52B-4D8B1860CB79}"/>
            </c:ext>
          </c:extLst>
        </c:ser>
        <c:ser>
          <c:idx val="1"/>
          <c:order val="1"/>
          <c:tx>
            <c:strRef>
              <c:f>Лист1!$C$1</c:f>
              <c:strCache>
                <c:ptCount val="1"/>
                <c:pt idx="0">
                  <c:v>2021 год</c:v>
                </c:pt>
              </c:strCache>
            </c:strRef>
          </c:tx>
          <c:spPr>
            <a:solidFill>
              <a:srgbClr val="595959"/>
            </a:solidFill>
            <a:ln>
              <a:noFill/>
            </a:ln>
            <a:effectLst/>
          </c:spPr>
          <c:invertIfNegative val="0"/>
          <c:dLbls>
            <c:dLbl>
              <c:idx val="0"/>
              <c:layout>
                <c:manualLayout>
                  <c:x val="-2.8770739940695055E-4"/>
                  <c:y val="6.23383268427187E-3"/>
                </c:manualLayout>
              </c:layout>
              <c:tx>
                <c:rich>
                  <a:bodyPr/>
                  <a:lstStyle/>
                  <a:p>
                    <a:r>
                      <a:rPr lang="en-US">
                        <a:solidFill>
                          <a:sysClr val="windowText" lastClr="000000"/>
                        </a:solidFill>
                      </a:rPr>
                      <a:t>41,1*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D8-4770-B52B-4D8B1860CB79}"/>
                </c:ext>
              </c:extLst>
            </c:dLbl>
            <c:dLbl>
              <c:idx val="1"/>
              <c:layout>
                <c:manualLayout>
                  <c:x val="5.8997050147492642E-3"/>
                  <c:y val="9.230953973890477E-3"/>
                </c:manualLayout>
              </c:layout>
              <c:tx>
                <c:rich>
                  <a:bodyPr/>
                  <a:lstStyle/>
                  <a:p>
                    <a:r>
                      <a:rPr lang="en-US">
                        <a:solidFill>
                          <a:sysClr val="windowText" lastClr="000000"/>
                        </a:solidFill>
                      </a:rPr>
                      <a:t>21,8*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D8-4770-B52B-4D8B1860CB79}"/>
                </c:ext>
              </c:extLst>
            </c:dLbl>
            <c:dLbl>
              <c:idx val="2"/>
              <c:layout>
                <c:manualLayout>
                  <c:x val="5.7558513150457258E-3"/>
                  <c:y val="1.135940475852071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9,5*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1622418879056046E-2"/>
                      <c:h val="7.9934812070059869E-2"/>
                    </c:manualLayout>
                  </c15:layout>
                </c:ext>
                <c:ext xmlns:c16="http://schemas.microsoft.com/office/drawing/2014/chart" uri="{C3380CC4-5D6E-409C-BE32-E72D297353CC}">
                  <c16:uniqueId val="{0000000A-09D8-4770-B52B-4D8B1860CB79}"/>
                </c:ext>
              </c:extLst>
            </c:dLbl>
            <c:dLbl>
              <c:idx val="3"/>
              <c:layout>
                <c:manualLayout>
                  <c:x val="1.6535699856818093E-2"/>
                  <c:y val="-9.0726820499175374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10,2*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9967354773682239E-2"/>
                      <c:h val="5.5272892173580626E-2"/>
                    </c:manualLayout>
                  </c15:layout>
                </c:ext>
                <c:ext xmlns:c16="http://schemas.microsoft.com/office/drawing/2014/chart" uri="{C3380CC4-5D6E-409C-BE32-E72D297353CC}">
                  <c16:uniqueId val="{0000000B-09D8-4770-B52B-4D8B1860CB79}"/>
                </c:ext>
              </c:extLst>
            </c:dLbl>
            <c:dLbl>
              <c:idx val="4"/>
              <c:layout>
                <c:manualLayout>
                  <c:x val="1.3033790753589828E-2"/>
                  <c:y val="1.6658827344111605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6,0*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7041032834613571E-2"/>
                      <c:h val="9.146563128918736E-2"/>
                    </c:manualLayout>
                  </c15:layout>
                </c:ext>
                <c:ext xmlns:c16="http://schemas.microsoft.com/office/drawing/2014/chart" uri="{C3380CC4-5D6E-409C-BE32-E72D297353CC}">
                  <c16:uniqueId val="{0000000C-09D8-4770-B52B-4D8B1860CB79}"/>
                </c:ext>
              </c:extLst>
            </c:dLbl>
            <c:dLbl>
              <c:idx val="5"/>
              <c:layout>
                <c:manualLayout>
                  <c:x val="7.8662733529988749E-3"/>
                  <c:y val="-1.3071895424836683E-2"/>
                </c:manualLayout>
              </c:layout>
              <c:tx>
                <c:rich>
                  <a:bodyPr/>
                  <a:lstStyle/>
                  <a:p>
                    <a:r>
                      <a:rPr lang="en-US">
                        <a:solidFill>
                          <a:sysClr val="windowText" lastClr="000000"/>
                        </a:solidFill>
                      </a:rPr>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D8-4770-B52B-4D8B1860CB79}"/>
                </c:ext>
              </c:extLst>
            </c:dLbl>
            <c:dLbl>
              <c:idx val="6"/>
              <c:layout>
                <c:manualLayout>
                  <c:x val="9.8328416912487736E-4"/>
                  <c:y val="6.936844424230368E-3"/>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0">
                        <a:solidFill>
                          <a:sysClr val="windowText" lastClr="000000"/>
                        </a:solidFill>
                      </a:rPr>
                      <a:t>8,0*</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4739429695181909E-2"/>
                      <c:h val="6.9551706036745403E-2"/>
                    </c:manualLayout>
                  </c15:layout>
                </c:ext>
                <c:ext xmlns:c16="http://schemas.microsoft.com/office/drawing/2014/chart" uri="{C3380CC4-5D6E-409C-BE32-E72D297353CC}">
                  <c16:uniqueId val="{0000000E-09D8-4770-B52B-4D8B1860CB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химической и связанных с ней отраслей промышленности</c:v>
                </c:pt>
                <c:pt idx="5">
                  <c:v>продукция легкой промышленности</c:v>
                </c:pt>
                <c:pt idx="6">
                  <c:v>прочие товары</c:v>
                </c:pt>
              </c:strCache>
            </c:strRef>
          </c:cat>
          <c:val>
            <c:numRef>
              <c:f>Лист1!$C$2:$C$8</c:f>
              <c:numCache>
                <c:formatCode>0.0</c:formatCode>
                <c:ptCount val="7"/>
                <c:pt idx="0">
                  <c:v>676.3</c:v>
                </c:pt>
                <c:pt idx="1">
                  <c:v>359.6</c:v>
                </c:pt>
                <c:pt idx="2">
                  <c:v>156.80000000000001</c:v>
                </c:pt>
                <c:pt idx="3">
                  <c:v>167.7</c:v>
                </c:pt>
                <c:pt idx="4">
                  <c:v>98.6</c:v>
                </c:pt>
                <c:pt idx="5">
                  <c:v>55.2</c:v>
                </c:pt>
                <c:pt idx="6">
                  <c:v>131.80000000000001</c:v>
                </c:pt>
              </c:numCache>
            </c:numRef>
          </c:val>
          <c:extLst>
            <c:ext xmlns:c16="http://schemas.microsoft.com/office/drawing/2014/chart" uri="{C3380CC4-5D6E-409C-BE32-E72D297353CC}">
              <c16:uniqueId val="{0000000F-09D8-4770-B52B-4D8B1860CB79}"/>
            </c:ext>
          </c:extLst>
        </c:ser>
        <c:dLbls>
          <c:showLegendKey val="0"/>
          <c:showVal val="1"/>
          <c:showCatName val="0"/>
          <c:showSerName val="0"/>
          <c:showPercent val="0"/>
          <c:showBubbleSize val="0"/>
        </c:dLbls>
        <c:gapWidth val="150"/>
        <c:axId val="123742848"/>
        <c:axId val="123756928"/>
      </c:barChart>
      <c:catAx>
        <c:axId val="123742848"/>
        <c:scaling>
          <c:orientation val="minMax"/>
        </c:scaling>
        <c:delete val="0"/>
        <c:axPos val="b"/>
        <c:numFmt formatCode="General" sourceLinked="1"/>
        <c:majorTickMark val="none"/>
        <c:minorTickMark val="none"/>
        <c:tickLblPos val="nextTo"/>
        <c:spPr>
          <a:noFill/>
          <a:ln>
            <a:solidFill>
              <a:sysClr val="windowText" lastClr="000000">
                <a:lumMod val="95000"/>
                <a:lumOff val="5000"/>
              </a:sysClr>
            </a:solidFill>
          </a:ln>
          <a:effectLst/>
        </c:spPr>
        <c:txPr>
          <a:bodyPr rot="-5400000" spcFirstLastPara="1" vertOverflow="ellipsis" wrap="square" anchor="ctr" anchorCtr="1"/>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3756928"/>
        <c:crosses val="autoZero"/>
        <c:auto val="1"/>
        <c:lblAlgn val="ctr"/>
        <c:lblOffset val="100"/>
        <c:noMultiLvlLbl val="0"/>
      </c:catAx>
      <c:valAx>
        <c:axId val="123756928"/>
        <c:scaling>
          <c:orientation val="minMax"/>
        </c:scaling>
        <c:delete val="0"/>
        <c:axPos val="l"/>
        <c:numFmt formatCode="0" sourceLinked="0"/>
        <c:majorTickMark val="cross"/>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3742848"/>
        <c:crosses val="autoZero"/>
        <c:crossBetween val="between"/>
        <c:majorUnit val="250"/>
      </c:valAx>
      <c:spPr>
        <a:noFill/>
        <a:ln>
          <a:noFill/>
        </a:ln>
        <a:effectLst/>
      </c:spPr>
    </c:plotArea>
    <c:legend>
      <c:legendPos val="b"/>
      <c:layout>
        <c:manualLayout>
          <c:xMode val="edge"/>
          <c:yMode val="edge"/>
          <c:x val="0.20890697875973824"/>
          <c:y val="0.92737280400495437"/>
          <c:w val="0.20540636405365759"/>
          <c:h val="7.262719599504564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15870674355817E-2"/>
          <c:y val="7.4817801136202539E-2"/>
          <c:w val="0.8972836993479244"/>
          <c:h val="0.5981817924020002"/>
        </c:manualLayout>
      </c:layout>
      <c:barChart>
        <c:barDir val="col"/>
        <c:grouping val="clustered"/>
        <c:varyColors val="0"/>
        <c:ser>
          <c:idx val="0"/>
          <c:order val="0"/>
          <c:tx>
            <c:strRef>
              <c:f>Лист1!$B$1</c:f>
              <c:strCache>
                <c:ptCount val="1"/>
                <c:pt idx="0">
                  <c:v>2020 год</c:v>
                </c:pt>
              </c:strCache>
            </c:strRef>
          </c:tx>
          <c:spPr>
            <a:solidFill>
              <a:srgbClr val="D9D9D9"/>
            </a:solidFill>
            <a:ln>
              <a:noFill/>
            </a:ln>
            <a:effectLst/>
            <a:scene3d>
              <a:camera prst="orthographicFront"/>
              <a:lightRig rig="threePt" dir="t"/>
            </a:scene3d>
            <a:sp3d/>
          </c:spPr>
          <c:invertIfNegative val="0"/>
          <c:dLbls>
            <c:dLbl>
              <c:idx val="0"/>
              <c:layout>
                <c:manualLayout>
                  <c:x val="-6.8097291454342545E-3"/>
                  <c:y val="9.0560633702299592E-3"/>
                </c:manualLayout>
              </c:layout>
              <c:tx>
                <c:rich>
                  <a:bodyPr wrap="square" lIns="38100" tIns="19050" rIns="38100" bIns="19050" anchor="ctr">
                    <a:noAutofit/>
                  </a:bodyPr>
                  <a:lstStyle/>
                  <a:p>
                    <a:pPr>
                      <a:defRPr b="0"/>
                    </a:pPr>
                    <a:r>
                      <a:rPr lang="en-US" sz="889" b="0">
                        <a:latin typeface="Times New Roman" pitchFamily="18" charset="0"/>
                        <a:cs typeface="Times New Roman" pitchFamily="18" charset="0"/>
                      </a:rPr>
                      <a:t>38,3*</a:t>
                    </a:r>
                  </a:p>
                </c:rich>
              </c:tx>
              <c:spPr>
                <a:noFill/>
                <a:ln w="24356">
                  <a:noFill/>
                </a:ln>
              </c:spPr>
              <c:dLblPos val="outEnd"/>
              <c:showLegendKey val="0"/>
              <c:showVal val="0"/>
              <c:showCatName val="0"/>
              <c:showSerName val="0"/>
              <c:showPercent val="0"/>
              <c:showBubbleSize val="0"/>
              <c:extLst>
                <c:ext xmlns:c15="http://schemas.microsoft.com/office/drawing/2012/chart" uri="{CE6537A1-D6FC-4f65-9D91-7224C49458BB}">
                  <c15:layout>
                    <c:manualLayout>
                      <c:w val="5.5067582629453521E-2"/>
                      <c:h val="0.1199156828085565"/>
                    </c:manualLayout>
                  </c15:layout>
                </c:ext>
                <c:ext xmlns:c16="http://schemas.microsoft.com/office/drawing/2014/chart" uri="{C3380CC4-5D6E-409C-BE32-E72D297353CC}">
                  <c16:uniqueId val="{00000000-0F79-431B-88D7-02EDD8C67ED3}"/>
                </c:ext>
              </c:extLst>
            </c:dLbl>
            <c:dLbl>
              <c:idx val="1"/>
              <c:layout>
                <c:manualLayout>
                  <c:x val="1.002261227726985E-3"/>
                  <c:y val="1.3773855999092553E-2"/>
                </c:manualLayout>
              </c:layout>
              <c:tx>
                <c:rich>
                  <a:bodyPr/>
                  <a:lstStyle/>
                  <a:p>
                    <a:r>
                      <a:rPr lang="en-US" sz="889" b="0">
                        <a:latin typeface="Times New Roman" pitchFamily="18" charset="0"/>
                        <a:cs typeface="Times New Roman" pitchFamily="18" charset="0"/>
                      </a:rPr>
                      <a:t>10,1*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79-431B-88D7-02EDD8C67ED3}"/>
                </c:ext>
              </c:extLst>
            </c:dLbl>
            <c:dLbl>
              <c:idx val="2"/>
              <c:layout>
                <c:manualLayout>
                  <c:x val="0.18065121168486095"/>
                  <c:y val="4.3434696713330959E-2"/>
                </c:manualLayout>
              </c:layout>
              <c:tx>
                <c:rich>
                  <a:bodyPr/>
                  <a:lstStyle/>
                  <a:p>
                    <a:r>
                      <a:rPr lang="en-US" sz="889" b="0">
                        <a:latin typeface="Times New Roman" pitchFamily="18" charset="0"/>
                        <a:cs typeface="Times New Roman" pitchFamily="18" charset="0"/>
                      </a:rPr>
                      <a:t>11,0*</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79-431B-88D7-02EDD8C67ED3}"/>
                </c:ext>
              </c:extLst>
            </c:dLbl>
            <c:dLbl>
              <c:idx val="3"/>
              <c:layout>
                <c:manualLayout>
                  <c:x val="-0.17808898859624386"/>
                  <c:y val="-2.5695704916680818E-2"/>
                </c:manualLayout>
              </c:layout>
              <c:tx>
                <c:rich>
                  <a:bodyPr wrap="square" lIns="38100" tIns="19050" rIns="38100" bIns="19050" anchor="ctr">
                    <a:noAutofit/>
                  </a:bodyPr>
                  <a:lstStyle/>
                  <a:p>
                    <a:pPr>
                      <a:defRPr b="0"/>
                    </a:pPr>
                    <a:r>
                      <a:rPr lang="en-US" sz="889" b="0">
                        <a:latin typeface="Times New Roman" pitchFamily="18" charset="0"/>
                        <a:cs typeface="Times New Roman" pitchFamily="18" charset="0"/>
                      </a:rPr>
                      <a:t>15,8*</a:t>
                    </a:r>
                  </a:p>
                </c:rich>
              </c:tx>
              <c:spPr>
                <a:noFill/>
                <a:ln w="24356">
                  <a:noFill/>
                </a:ln>
              </c:spPr>
              <c:dLblPos val="outEnd"/>
              <c:showLegendKey val="0"/>
              <c:showVal val="0"/>
              <c:showCatName val="0"/>
              <c:showSerName val="0"/>
              <c:showPercent val="0"/>
              <c:showBubbleSize val="0"/>
              <c:extLst>
                <c:ext xmlns:c15="http://schemas.microsoft.com/office/drawing/2012/chart" uri="{CE6537A1-D6FC-4f65-9D91-7224C49458BB}">
                  <c15:layout>
                    <c:manualLayout>
                      <c:w val="5.7702762511229723E-2"/>
                      <c:h val="7.0459207304969226E-2"/>
                    </c:manualLayout>
                  </c15:layout>
                </c:ext>
                <c:ext xmlns:c16="http://schemas.microsoft.com/office/drawing/2014/chart" uri="{C3380CC4-5D6E-409C-BE32-E72D297353CC}">
                  <c16:uniqueId val="{00000003-0F79-431B-88D7-02EDD8C67ED3}"/>
                </c:ext>
              </c:extLst>
            </c:dLbl>
            <c:dLbl>
              <c:idx val="4"/>
              <c:layout>
                <c:manualLayout>
                  <c:x val="2.6981497468444773E-3"/>
                  <c:y val="1.2532486962364338E-2"/>
                </c:manualLayout>
              </c:layout>
              <c:tx>
                <c:rich>
                  <a:bodyPr/>
                  <a:lstStyle/>
                  <a:p>
                    <a:r>
                      <a:rPr lang="en-US" sz="889" b="0">
                        <a:latin typeface="Times New Roman" pitchFamily="18" charset="0"/>
                        <a:cs typeface="Times New Roman" pitchFamily="18" charset="0"/>
                      </a:rPr>
                      <a:t>24,8*</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79-431B-88D7-02EDD8C67ED3}"/>
                </c:ext>
              </c:extLst>
            </c:dLbl>
            <c:dLbl>
              <c:idx val="5"/>
              <c:layout>
                <c:manualLayout>
                  <c:x val="-7.7168594666407594E-4"/>
                  <c:y val="1.1594202898550725E-2"/>
                </c:manualLayout>
              </c:layout>
              <c:tx>
                <c:rich>
                  <a:bodyPr/>
                  <a:lstStyle/>
                  <a:p>
                    <a:r>
                      <a:rPr lang="en-US" sz="889" b="1">
                        <a:latin typeface="Times New Roman" pitchFamily="18" charset="0"/>
                        <a:cs typeface="Times New Roman" pitchFamily="18" charset="0"/>
                      </a:rPr>
                      <a:t>3,1*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79-431B-88D7-02EDD8C67ED3}"/>
                </c:ext>
              </c:extLst>
            </c:dLbl>
            <c:dLbl>
              <c:idx val="6"/>
              <c:layout>
                <c:manualLayout>
                  <c:x val="-6.4136825227152014E-3"/>
                  <c:y val="0"/>
                </c:manualLayout>
              </c:layout>
              <c:tx>
                <c:rich>
                  <a:bodyPr/>
                  <a:lstStyle/>
                  <a:p>
                    <a:r>
                      <a:rPr lang="en-US" b="1">
                        <a:solidFill>
                          <a:sysClr val="windowText" lastClr="000000"/>
                        </a:solidFill>
                      </a:rPr>
                      <a:t>17,8</a:t>
                    </a:r>
                    <a:r>
                      <a:rPr lang="en-US" b="1"/>
                      <a:t>*</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79-431B-88D7-02EDD8C67ED3}"/>
                </c:ext>
              </c:extLst>
            </c:dLbl>
            <c:dLbl>
              <c:idx val="7"/>
              <c:layout>
                <c:manualLayout>
                  <c:x val="-1.2636096958468426E-2"/>
                  <c:y val="8.9485668596065767E-3"/>
                </c:manualLayout>
              </c:layout>
              <c:tx>
                <c:rich>
                  <a:bodyPr/>
                  <a:lstStyle/>
                  <a:p>
                    <a:r>
                      <a:rPr lang="en-US" sz="889" b="1">
                        <a:latin typeface="Times New Roman" pitchFamily="18" charset="0"/>
                        <a:cs typeface="Times New Roman" pitchFamily="18" charset="0"/>
                      </a:rPr>
                      <a:t>16,9*</a:t>
                    </a:r>
                    <a:endParaRPr lang="en-US" sz="89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79-431B-88D7-02EDD8C67ED3}"/>
                </c:ext>
              </c:extLst>
            </c:dLbl>
            <c:spPr>
              <a:noFill/>
              <a:ln w="24356">
                <a:noFill/>
              </a:ln>
            </c:spPr>
            <c:txPr>
              <a:bodyPr wrap="square" lIns="38100" tIns="19050" rIns="38100" bIns="19050" anchor="ctr">
                <a:spAutoFit/>
              </a:bodyPr>
              <a:lstStyle/>
              <a:p>
                <a:pPr>
                  <a:defRPr b="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Российская Федерация</c:v>
                </c:pt>
                <c:pt idx="1">
                  <c:v>Румыния</c:v>
                </c:pt>
                <c:pt idx="2">
                  <c:v>Украина</c:v>
                </c:pt>
                <c:pt idx="3">
                  <c:v>Республика Молдова</c:v>
                </c:pt>
                <c:pt idx="4">
                  <c:v>прочие страны</c:v>
                </c:pt>
              </c:strCache>
            </c:strRef>
          </c:cat>
          <c:val>
            <c:numRef>
              <c:f>Лист1!$B$2:$B$6</c:f>
              <c:numCache>
                <c:formatCode>#,##0.0</c:formatCode>
                <c:ptCount val="5"/>
                <c:pt idx="0">
                  <c:v>403.5</c:v>
                </c:pt>
                <c:pt idx="1">
                  <c:v>106.2</c:v>
                </c:pt>
                <c:pt idx="2">
                  <c:v>166</c:v>
                </c:pt>
                <c:pt idx="3">
                  <c:v>115.8</c:v>
                </c:pt>
                <c:pt idx="4">
                  <c:v>261.2</c:v>
                </c:pt>
              </c:numCache>
            </c:numRef>
          </c:val>
          <c:extLst>
            <c:ext xmlns:c16="http://schemas.microsoft.com/office/drawing/2014/chart" uri="{C3380CC4-5D6E-409C-BE32-E72D297353CC}">
              <c16:uniqueId val="{00000008-0F79-431B-88D7-02EDD8C67ED3}"/>
            </c:ext>
          </c:extLst>
        </c:ser>
        <c:ser>
          <c:idx val="1"/>
          <c:order val="1"/>
          <c:tx>
            <c:strRef>
              <c:f>Лист1!$C$1</c:f>
              <c:strCache>
                <c:ptCount val="1"/>
                <c:pt idx="0">
                  <c:v>2021 год</c:v>
                </c:pt>
              </c:strCache>
            </c:strRef>
          </c:tx>
          <c:spPr>
            <a:solidFill>
              <a:srgbClr val="595959"/>
            </a:solidFill>
            <a:ln>
              <a:noFill/>
            </a:ln>
            <a:effectLst/>
            <a:scene3d>
              <a:camera prst="orthographicFront"/>
              <a:lightRig rig="threePt" dir="t"/>
            </a:scene3d>
            <a:sp3d/>
          </c:spPr>
          <c:invertIfNegative val="0"/>
          <c:dLbls>
            <c:dLbl>
              <c:idx val="0"/>
              <c:layout>
                <c:manualLayout>
                  <c:x val="-1.244731167320684E-3"/>
                  <c:y val="1.1361552495013758E-2"/>
                </c:manualLayout>
              </c:layout>
              <c:tx>
                <c:rich>
                  <a:bodyPr/>
                  <a:lstStyle/>
                  <a:p>
                    <a:r>
                      <a:rPr lang="en-US" sz="889" b="0">
                        <a:latin typeface="Times New Roman" pitchFamily="18" charset="0"/>
                        <a:cs typeface="Times New Roman" pitchFamily="18" charset="0"/>
                      </a:rPr>
                      <a:t>44,9*</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79-431B-88D7-02EDD8C67ED3}"/>
                </c:ext>
              </c:extLst>
            </c:dLbl>
            <c:dLbl>
              <c:idx val="1"/>
              <c:layout>
                <c:manualLayout>
                  <c:x val="-1.8221224879918724E-3"/>
                  <c:y val="1.8540802147630764E-2"/>
                </c:manualLayout>
              </c:layout>
              <c:tx>
                <c:rich>
                  <a:bodyPr/>
                  <a:lstStyle/>
                  <a:p>
                    <a:r>
                      <a:rPr lang="en-US" sz="889" b="0">
                        <a:latin typeface="Times New Roman" pitchFamily="18" charset="0"/>
                        <a:cs typeface="Times New Roman" pitchFamily="18" charset="0"/>
                      </a:rPr>
                      <a:t>13,0*</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79-431B-88D7-02EDD8C67ED3}"/>
                </c:ext>
              </c:extLst>
            </c:dLbl>
            <c:dLbl>
              <c:idx val="2"/>
              <c:layout>
                <c:manualLayout>
                  <c:x val="0.17791145779967138"/>
                  <c:y val="1.9133480163719033E-2"/>
                </c:manualLayout>
              </c:layout>
              <c:tx>
                <c:rich>
                  <a:bodyPr/>
                  <a:lstStyle/>
                  <a:p>
                    <a:r>
                      <a:rPr lang="en-US" sz="889" b="0">
                        <a:latin typeface="Times New Roman" pitchFamily="18" charset="0"/>
                        <a:cs typeface="Times New Roman" pitchFamily="18" charset="0"/>
                      </a:rPr>
                      <a:t>11,0*</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79-431B-88D7-02EDD8C67ED3}"/>
                </c:ext>
              </c:extLst>
            </c:dLbl>
            <c:dLbl>
              <c:idx val="3"/>
              <c:layout>
                <c:manualLayout>
                  <c:x val="-0.17832803679911532"/>
                  <c:y val="2.827272641339946E-3"/>
                </c:manualLayout>
              </c:layout>
              <c:tx>
                <c:rich>
                  <a:bodyPr/>
                  <a:lstStyle/>
                  <a:p>
                    <a:r>
                      <a:rPr lang="en-US" sz="889" b="0">
                        <a:latin typeface="Times New Roman" pitchFamily="18" charset="0"/>
                        <a:cs typeface="Times New Roman" pitchFamily="18" charset="0"/>
                      </a:rPr>
                      <a:t>12,1*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79-431B-88D7-02EDD8C67ED3}"/>
                </c:ext>
              </c:extLst>
            </c:dLbl>
            <c:dLbl>
              <c:idx val="4"/>
              <c:layout>
                <c:manualLayout>
                  <c:x val="9.8346295040424685E-3"/>
                  <c:y val="2.8551981849726408E-2"/>
                </c:manualLayout>
              </c:layout>
              <c:tx>
                <c:rich>
                  <a:bodyPr wrap="square" lIns="38100" tIns="19050" rIns="38100" bIns="19050" anchor="ctr">
                    <a:spAutoFit/>
                  </a:bodyPr>
                  <a:lstStyle/>
                  <a:p>
                    <a:pPr>
                      <a:defRPr sz="800" b="0"/>
                    </a:pPr>
                    <a:r>
                      <a:rPr lang="en-US" sz="800" b="0">
                        <a:latin typeface="Times New Roman" pitchFamily="18" charset="0"/>
                        <a:cs typeface="Times New Roman" pitchFamily="18" charset="0"/>
                      </a:rPr>
                      <a:t>19,1*</a:t>
                    </a:r>
                  </a:p>
                </c:rich>
              </c:tx>
              <c:spPr>
                <a:noFill/>
                <a:ln w="24356">
                  <a:noFill/>
                </a:ln>
              </c:spPr>
              <c:dLblPos val="outEnd"/>
              <c:showLegendKey val="0"/>
              <c:showVal val="0"/>
              <c:showCatName val="0"/>
              <c:showSerName val="0"/>
              <c:showPercent val="0"/>
              <c:showBubbleSize val="0"/>
              <c:extLst>
                <c:ext xmlns:c15="http://schemas.microsoft.com/office/drawing/2012/chart" uri="{CE6537A1-D6FC-4f65-9D91-7224C49458BB}">
                  <c15:layout>
                    <c:manualLayout>
                      <c:w val="5.3886010362694303E-2"/>
                      <c:h val="0.10302815961564127"/>
                    </c:manualLayout>
                  </c15:layout>
                </c:ext>
                <c:ext xmlns:c16="http://schemas.microsoft.com/office/drawing/2014/chart" uri="{C3380CC4-5D6E-409C-BE32-E72D297353CC}">
                  <c16:uniqueId val="{0000000D-0F79-431B-88D7-02EDD8C67ED3}"/>
                </c:ext>
              </c:extLst>
            </c:dLbl>
            <c:dLbl>
              <c:idx val="5"/>
              <c:layout>
                <c:manualLayout>
                  <c:x val="7.909659440718083E-3"/>
                  <c:y val="1.1121870267321915E-2"/>
                </c:manualLayout>
              </c:layout>
              <c:tx>
                <c:rich>
                  <a:bodyPr wrap="square" lIns="38100" tIns="19050" rIns="38100" bIns="19050" anchor="ctr">
                    <a:noAutofit/>
                  </a:bodyPr>
                  <a:lstStyle/>
                  <a:p>
                    <a:pPr>
                      <a:defRPr b="0"/>
                    </a:pPr>
                    <a:r>
                      <a:rPr lang="en-US" sz="889" b="0">
                        <a:latin typeface="Times New Roman" pitchFamily="18" charset="0"/>
                        <a:cs typeface="Times New Roman" pitchFamily="18" charset="0"/>
                      </a:rPr>
                      <a:t>2,6*</a:t>
                    </a:r>
                  </a:p>
                </c:rich>
              </c:tx>
              <c:spPr>
                <a:noFill/>
                <a:ln w="24356">
                  <a:noFill/>
                </a:ln>
              </c:spPr>
              <c:dLblPos val="outEnd"/>
              <c:showLegendKey val="0"/>
              <c:showVal val="0"/>
              <c:showCatName val="0"/>
              <c:showSerName val="0"/>
              <c:showPercent val="0"/>
              <c:showBubbleSize val="0"/>
              <c:extLst>
                <c:ext xmlns:c15="http://schemas.microsoft.com/office/drawing/2012/chart" uri="{CE6537A1-D6FC-4f65-9D91-7224C49458BB}">
                  <c15:layout>
                    <c:manualLayout>
                      <c:w val="4.2154658324371874E-2"/>
                      <c:h val="9.7316606610614351E-2"/>
                    </c:manualLayout>
                  </c15:layout>
                </c:ext>
                <c:ext xmlns:c16="http://schemas.microsoft.com/office/drawing/2014/chart" uri="{C3380CC4-5D6E-409C-BE32-E72D297353CC}">
                  <c16:uniqueId val="{0000000E-0F79-431B-88D7-02EDD8C67ED3}"/>
                </c:ext>
              </c:extLst>
            </c:dLbl>
            <c:dLbl>
              <c:idx val="6"/>
              <c:layout>
                <c:manualLayout>
                  <c:x val="4.27578834847675E-3"/>
                  <c:y val="1.2441679626749623E-2"/>
                </c:manualLayout>
              </c:layout>
              <c:tx>
                <c:rich>
                  <a:bodyPr/>
                  <a:lstStyle/>
                  <a:p>
                    <a:r>
                      <a:rPr lang="en-US" b="1"/>
                      <a:t>14,2</a:t>
                    </a:r>
                    <a:r>
                      <a:rPr lang="en-US"/>
                      <a:t>*</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79-431B-88D7-02EDD8C67ED3}"/>
                </c:ext>
              </c:extLst>
            </c:dLbl>
            <c:dLbl>
              <c:idx val="7"/>
              <c:layout>
                <c:manualLayout>
                  <c:x val="1.0951829550719301E-2"/>
                  <c:y val="-8.2143540004519303E-3"/>
                </c:manualLayout>
              </c:layout>
              <c:tx>
                <c:rich>
                  <a:bodyPr/>
                  <a:lstStyle/>
                  <a:p>
                    <a:r>
                      <a:rPr lang="en-US" sz="889" b="1">
                        <a:latin typeface="Times New Roman" pitchFamily="18" charset="0"/>
                        <a:cs typeface="Times New Roman" pitchFamily="18" charset="0"/>
                      </a:rPr>
                      <a:t>17,6*</a:t>
                    </a:r>
                    <a:endParaRPr lang="en-US" sz="89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79-431B-88D7-02EDD8C67ED3}"/>
                </c:ext>
              </c:extLst>
            </c:dLbl>
            <c:spPr>
              <a:noFill/>
              <a:ln w="24356">
                <a:noFill/>
              </a:ln>
            </c:spPr>
            <c:txPr>
              <a:bodyPr wrap="square" lIns="38100" tIns="19050" rIns="38100" bIns="19050" anchor="ctr">
                <a:spAutoFit/>
              </a:bodyPr>
              <a:lstStyle/>
              <a:p>
                <a:pPr>
                  <a:defRPr b="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Российская Федерация</c:v>
                </c:pt>
                <c:pt idx="1">
                  <c:v>Румыния</c:v>
                </c:pt>
                <c:pt idx="2">
                  <c:v>Украина</c:v>
                </c:pt>
                <c:pt idx="3">
                  <c:v>Республика Молдова</c:v>
                </c:pt>
                <c:pt idx="4">
                  <c:v>прочие страны</c:v>
                </c:pt>
              </c:strCache>
            </c:strRef>
          </c:cat>
          <c:val>
            <c:numRef>
              <c:f>Лист1!$C$2:$C$6</c:f>
              <c:numCache>
                <c:formatCode>0.0</c:formatCode>
                <c:ptCount val="5"/>
                <c:pt idx="0">
                  <c:v>738.4</c:v>
                </c:pt>
                <c:pt idx="1">
                  <c:v>214.1</c:v>
                </c:pt>
                <c:pt idx="2">
                  <c:v>198.4</c:v>
                </c:pt>
                <c:pt idx="3">
                  <c:v>181.1</c:v>
                </c:pt>
                <c:pt idx="4" formatCode="#,##0.0">
                  <c:v>314</c:v>
                </c:pt>
              </c:numCache>
            </c:numRef>
          </c:val>
          <c:extLst>
            <c:ext xmlns:c16="http://schemas.microsoft.com/office/drawing/2014/chart" uri="{C3380CC4-5D6E-409C-BE32-E72D297353CC}">
              <c16:uniqueId val="{00000011-0F79-431B-88D7-02EDD8C67ED3}"/>
            </c:ext>
          </c:extLst>
        </c:ser>
        <c:dLbls>
          <c:showLegendKey val="0"/>
          <c:showVal val="0"/>
          <c:showCatName val="0"/>
          <c:showSerName val="0"/>
          <c:showPercent val="0"/>
          <c:showBubbleSize val="0"/>
        </c:dLbls>
        <c:gapWidth val="150"/>
        <c:overlap val="-7"/>
        <c:axId val="111744896"/>
        <c:axId val="111746432"/>
      </c:barChart>
      <c:catAx>
        <c:axId val="111744896"/>
        <c:scaling>
          <c:orientation val="minMax"/>
        </c:scaling>
        <c:delete val="0"/>
        <c:axPos val="b"/>
        <c:numFmt formatCode="General" sourceLinked="1"/>
        <c:majorTickMark val="none"/>
        <c:minorTickMark val="none"/>
        <c:tickLblPos val="nextTo"/>
        <c:txPr>
          <a:bodyPr/>
          <a:lstStyle/>
          <a:p>
            <a:pPr>
              <a:defRPr sz="1050" b="0"/>
            </a:pPr>
            <a:endParaRPr lang="ru-RU"/>
          </a:p>
        </c:txPr>
        <c:crossAx val="111746432"/>
        <c:crosses val="autoZero"/>
        <c:auto val="1"/>
        <c:lblAlgn val="ctr"/>
        <c:lblOffset val="100"/>
        <c:tickLblSkip val="1"/>
        <c:noMultiLvlLbl val="0"/>
      </c:catAx>
      <c:valAx>
        <c:axId val="111746432"/>
        <c:scaling>
          <c:orientation val="minMax"/>
          <c:min val="0"/>
        </c:scaling>
        <c:delete val="0"/>
        <c:axPos val="l"/>
        <c:numFmt formatCode="#,##0" sourceLinked="0"/>
        <c:majorTickMark val="cross"/>
        <c:minorTickMark val="none"/>
        <c:tickLblPos val="nextTo"/>
        <c:spPr>
          <a:ln>
            <a:solidFill>
              <a:sysClr val="windowText" lastClr="000000"/>
            </a:solidFill>
          </a:ln>
        </c:spPr>
        <c:crossAx val="111744896"/>
        <c:crosses val="autoZero"/>
        <c:crossBetween val="between"/>
        <c:majorUnit val="200"/>
      </c:valAx>
    </c:plotArea>
    <c:legend>
      <c:legendPos val="b"/>
      <c:layout>
        <c:manualLayout>
          <c:xMode val="edge"/>
          <c:yMode val="edge"/>
          <c:x val="0.59598641855473833"/>
          <c:y val="0.84880755451787038"/>
          <c:w val="0.28543418301525886"/>
          <c:h val="0.12118044068020911"/>
        </c:manualLayout>
      </c:layout>
      <c:overlay val="0"/>
      <c:txPr>
        <a:bodyPr/>
        <a:lstStyle/>
        <a:p>
          <a:pPr>
            <a:defRPr sz="900" b="0"/>
          </a:pPr>
          <a:endParaRPr lang="ru-RU"/>
        </a:p>
      </c:txPr>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100">
                <a:latin typeface="Times New Roman" pitchFamily="18" charset="0"/>
                <a:cs typeface="Times New Roman" pitchFamily="18" charset="0"/>
              </a:rPr>
              <a:t>Динамика и технологическая структура инвестиций, млн руб.</a:t>
            </a:r>
          </a:p>
        </c:rich>
      </c:tx>
      <c:layout>
        <c:manualLayout>
          <c:xMode val="edge"/>
          <c:yMode val="edge"/>
          <c:x val="0.12435792151747903"/>
          <c:y val="7.6093276801938212E-2"/>
        </c:manualLayout>
      </c:layout>
      <c:overlay val="0"/>
    </c:title>
    <c:autoTitleDeleted val="0"/>
    <c:plotArea>
      <c:layout>
        <c:manualLayout>
          <c:layoutTarget val="inner"/>
          <c:xMode val="edge"/>
          <c:yMode val="edge"/>
          <c:x val="8.2241115566075731E-2"/>
          <c:y val="0.29202408522464102"/>
          <c:w val="0.79525658985878289"/>
          <c:h val="0.32409769480172446"/>
        </c:manualLayout>
      </c:layout>
      <c:barChart>
        <c:barDir val="col"/>
        <c:grouping val="stacked"/>
        <c:varyColors val="0"/>
        <c:ser>
          <c:idx val="0"/>
          <c:order val="0"/>
          <c:tx>
            <c:strRef>
              <c:f>Лист1!$B$1</c:f>
              <c:strCache>
                <c:ptCount val="1"/>
                <c:pt idx="0">
                  <c:v>строительно-монтажные работы</c:v>
                </c:pt>
              </c:strCache>
            </c:strRef>
          </c:tx>
          <c:spPr>
            <a:solidFill>
              <a:sysClr val="window" lastClr="FFFFFF">
                <a:lumMod val="95000"/>
              </a:sysClr>
            </a:solidFill>
            <a:ln>
              <a:solidFill>
                <a:sysClr val="window" lastClr="FFFFFF">
                  <a:lumMod val="50000"/>
                </a:sysClr>
              </a:solidFill>
            </a:ln>
            <a:effectLst/>
            <a:scene3d>
              <a:camera prst="orthographicFront"/>
              <a:lightRig rig="threePt" dir="t">
                <a:rot lat="0" lon="0" rev="0"/>
              </a:lightRig>
            </a:scene3d>
            <a:sp3d>
              <a:bevelT w="0" h="0"/>
            </a:sp3d>
          </c:spPr>
          <c:invertIfNegative val="0"/>
          <c:cat>
            <c:strRef>
              <c:f>Лист1!$A$2:$A$3</c:f>
              <c:strCache>
                <c:ptCount val="2"/>
                <c:pt idx="0">
                  <c:v>2020 год</c:v>
                </c:pt>
                <c:pt idx="1">
                  <c:v>2021 год</c:v>
                </c:pt>
              </c:strCache>
            </c:strRef>
          </c:cat>
          <c:val>
            <c:numRef>
              <c:f>Лист1!$B$2:$B$3</c:f>
              <c:numCache>
                <c:formatCode>0.0</c:formatCode>
                <c:ptCount val="2"/>
                <c:pt idx="0">
                  <c:v>556.79999999999995</c:v>
                </c:pt>
                <c:pt idx="1">
                  <c:v>606.4</c:v>
                </c:pt>
              </c:numCache>
            </c:numRef>
          </c:val>
          <c:extLst>
            <c:ext xmlns:c16="http://schemas.microsoft.com/office/drawing/2014/chart" uri="{C3380CC4-5D6E-409C-BE32-E72D297353CC}">
              <c16:uniqueId val="{00000000-6B70-4F02-82B1-18C01149DF4A}"/>
            </c:ext>
          </c:extLst>
        </c:ser>
        <c:ser>
          <c:idx val="1"/>
          <c:order val="1"/>
          <c:tx>
            <c:strRef>
              <c:f>Лист1!$C$1</c:f>
              <c:strCache>
                <c:ptCount val="1"/>
                <c:pt idx="0">
                  <c:v>машины, оборудование и др.</c:v>
                </c:pt>
              </c:strCache>
            </c:strRef>
          </c:tx>
          <c:spPr>
            <a:solidFill>
              <a:sysClr val="window" lastClr="FFFFFF">
                <a:lumMod val="65000"/>
              </a:sysClr>
            </a:solidFill>
            <a:ln>
              <a:solidFill>
                <a:sysClr val="window" lastClr="FFFFFF">
                  <a:lumMod val="50000"/>
                </a:sysClr>
              </a:solidFill>
            </a:ln>
            <a:effectLst/>
            <a:scene3d>
              <a:camera prst="orthographicFront"/>
              <a:lightRig rig="threePt" dir="t">
                <a:rot lat="0" lon="0" rev="0"/>
              </a:lightRig>
            </a:scene3d>
            <a:sp3d>
              <a:bevelT w="0" h="0"/>
            </a:sp3d>
          </c:spPr>
          <c:invertIfNegative val="0"/>
          <c:dPt>
            <c:idx val="0"/>
            <c:invertIfNegative val="0"/>
            <c:bubble3D val="0"/>
            <c:extLst>
              <c:ext xmlns:c16="http://schemas.microsoft.com/office/drawing/2014/chart" uri="{C3380CC4-5D6E-409C-BE32-E72D297353CC}">
                <c16:uniqueId val="{00000001-6B70-4F02-82B1-18C01149DF4A}"/>
              </c:ext>
            </c:extLst>
          </c:dPt>
          <c:dPt>
            <c:idx val="1"/>
            <c:invertIfNegative val="0"/>
            <c:bubble3D val="0"/>
            <c:extLst>
              <c:ext xmlns:c16="http://schemas.microsoft.com/office/drawing/2014/chart" uri="{C3380CC4-5D6E-409C-BE32-E72D297353CC}">
                <c16:uniqueId val="{00000002-6B70-4F02-82B1-18C01149DF4A}"/>
              </c:ext>
            </c:extLst>
          </c:dPt>
          <c:dLbls>
            <c:dLbl>
              <c:idx val="0"/>
              <c:layout>
                <c:manualLayout>
                  <c:x val="-2.207093497333988E-3"/>
                  <c:y val="0.1148076096750858"/>
                </c:manualLayout>
              </c:layout>
              <c:tx>
                <c:rich>
                  <a:bodyPr/>
                  <a:lstStyle/>
                  <a:p>
                    <a:pPr>
                      <a:defRPr sz="900" b="1">
                        <a:latin typeface="Times New Roman" pitchFamily="18" charset="0"/>
                        <a:cs typeface="Times New Roman" pitchFamily="18" charset="0"/>
                      </a:defRPr>
                    </a:pPr>
                    <a:r>
                      <a:rPr lang="en-US" sz="900" b="1">
                        <a:solidFill>
                          <a:sysClr val="windowText" lastClr="000000"/>
                        </a:solidFill>
                        <a:latin typeface="Times New Roman" pitchFamily="18" charset="0"/>
                        <a:cs typeface="Times New Roman" pitchFamily="18" charset="0"/>
                      </a:rPr>
                      <a:t>39,5*</a:t>
                    </a:r>
                  </a:p>
                </c:rich>
              </c:tx>
              <c:spPr>
                <a:noFill/>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70-4F02-82B1-18C01149DF4A}"/>
                </c:ext>
              </c:extLst>
            </c:dLbl>
            <c:dLbl>
              <c:idx val="1"/>
              <c:layout>
                <c:manualLayout>
                  <c:x val="-1.816015329372247E-3"/>
                  <c:y val="0.13347418676737799"/>
                </c:manualLayout>
              </c:layout>
              <c:tx>
                <c:rich>
                  <a:bodyPr/>
                  <a:lstStyle/>
                  <a:p>
                    <a:r>
                      <a:rPr lang="en-US" sz="900" b="1">
                        <a:latin typeface="Times New Roman" pitchFamily="18" charset="0"/>
                        <a:cs typeface="Times New Roman" pitchFamily="18" charset="0"/>
                      </a:rPr>
                      <a:t>33,7*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70-4F02-82B1-18C01149DF4A}"/>
                </c:ext>
              </c:extLst>
            </c:dLbl>
            <c:spPr>
              <a:noFill/>
              <a:ln w="25400">
                <a:noFill/>
              </a:ln>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Лист1!$C$2:$C$3</c:f>
              <c:numCache>
                <c:formatCode>0.0</c:formatCode>
                <c:ptCount val="2"/>
                <c:pt idx="0">
                  <c:v>824.1</c:v>
                </c:pt>
                <c:pt idx="1">
                  <c:v>1171.5999999999999</c:v>
                </c:pt>
              </c:numCache>
            </c:numRef>
          </c:val>
          <c:extLst>
            <c:ext xmlns:c16="http://schemas.microsoft.com/office/drawing/2014/chart" uri="{C3380CC4-5D6E-409C-BE32-E72D297353CC}">
              <c16:uniqueId val="{00000003-6B70-4F02-82B1-18C01149DF4A}"/>
            </c:ext>
          </c:extLst>
        </c:ser>
        <c:ser>
          <c:idx val="2"/>
          <c:order val="2"/>
          <c:tx>
            <c:strRef>
              <c:f>Лист1!$D$1</c:f>
              <c:strCache>
                <c:ptCount val="1"/>
                <c:pt idx="0">
                  <c:v>прочие</c:v>
                </c:pt>
              </c:strCache>
            </c:strRef>
          </c:tx>
          <c:spPr>
            <a:solidFill>
              <a:sysClr val="windowText" lastClr="000000"/>
            </a:solidFill>
            <a:scene3d>
              <a:camera prst="orthographicFront"/>
              <a:lightRig rig="threePt" dir="t">
                <a:rot lat="0" lon="0" rev="1200000"/>
              </a:lightRig>
            </a:scene3d>
          </c:spPr>
          <c:invertIfNegative val="0"/>
          <c:dLbls>
            <c:dLbl>
              <c:idx val="0"/>
              <c:layout>
                <c:manualLayout>
                  <c:x val="-4.1128447901066833E-3"/>
                  <c:y val="8.4462892364698755E-2"/>
                </c:manualLayout>
              </c:layout>
              <c:tx>
                <c:rich>
                  <a:bodyPr/>
                  <a:lstStyle/>
                  <a:p>
                    <a:r>
                      <a:rPr lang="en-US" sz="900" b="1">
                        <a:solidFill>
                          <a:sysClr val="windowText" lastClr="000000"/>
                        </a:solidFill>
                        <a:latin typeface="Times New Roman" pitchFamily="18" charset="0"/>
                        <a:cs typeface="Times New Roman" pitchFamily="18" charset="0"/>
                      </a:rPr>
                      <a:t>58,6*</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70-4F02-82B1-18C01149DF4A}"/>
                </c:ext>
              </c:extLst>
            </c:dLbl>
            <c:dLbl>
              <c:idx val="1"/>
              <c:layout>
                <c:manualLayout>
                  <c:x val="1.5573053368329061E-3"/>
                  <c:y val="0.10365177804102203"/>
                </c:manualLayout>
              </c:layout>
              <c:tx>
                <c:rich>
                  <a:bodyPr/>
                  <a:lstStyle/>
                  <a:p>
                    <a:r>
                      <a:rPr lang="en-US" sz="900" b="1">
                        <a:latin typeface="Times New Roman" pitchFamily="18" charset="0"/>
                        <a:cs typeface="Times New Roman" pitchFamily="18" charset="0"/>
                      </a:rPr>
                      <a:t>65,0*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70-4F02-82B1-18C01149DF4A}"/>
                </c:ext>
              </c:extLst>
            </c:dLbl>
            <c:spPr>
              <a:noFill/>
              <a:ln w="25400">
                <a:noFill/>
              </a:ln>
            </c:spPr>
            <c:txPr>
              <a:bodyPr/>
              <a:lstStyle/>
              <a:p>
                <a:pPr>
                  <a:defRPr sz="90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Лист1!$D$2:$D$3</c:f>
              <c:numCache>
                <c:formatCode>0.0</c:formatCode>
                <c:ptCount val="2"/>
                <c:pt idx="0">
                  <c:v>27.050000000000068</c:v>
                </c:pt>
                <c:pt idx="1">
                  <c:v>23.200000000000159</c:v>
                </c:pt>
              </c:numCache>
            </c:numRef>
          </c:val>
          <c:extLst>
            <c:ext xmlns:c16="http://schemas.microsoft.com/office/drawing/2014/chart" uri="{C3380CC4-5D6E-409C-BE32-E72D297353CC}">
              <c16:uniqueId val="{00000006-6B70-4F02-82B1-18C01149DF4A}"/>
            </c:ext>
          </c:extLst>
        </c:ser>
        <c:dLbls>
          <c:showLegendKey val="0"/>
          <c:showVal val="0"/>
          <c:showCatName val="0"/>
          <c:showSerName val="0"/>
          <c:showPercent val="0"/>
          <c:showBubbleSize val="0"/>
        </c:dLbls>
        <c:gapWidth val="199"/>
        <c:overlap val="100"/>
        <c:axId val="116321664"/>
        <c:axId val="116339840"/>
      </c:barChart>
      <c:catAx>
        <c:axId val="116321664"/>
        <c:scaling>
          <c:orientation val="minMax"/>
        </c:scaling>
        <c:delete val="0"/>
        <c:axPos val="b"/>
        <c:numFmt formatCode="General" sourceLinked="0"/>
        <c:majorTickMark val="out"/>
        <c:minorTickMark val="none"/>
        <c:tickLblPos val="nextTo"/>
        <c:txPr>
          <a:bodyPr/>
          <a:lstStyle/>
          <a:p>
            <a:pPr>
              <a:defRPr sz="900" b="0">
                <a:latin typeface="Times New Roman" pitchFamily="18" charset="0"/>
                <a:cs typeface="Times New Roman" pitchFamily="18" charset="0"/>
              </a:defRPr>
            </a:pPr>
            <a:endParaRPr lang="ru-RU"/>
          </a:p>
        </c:txPr>
        <c:crossAx val="116339840"/>
        <c:crossesAt val="0"/>
        <c:auto val="1"/>
        <c:lblAlgn val="ctr"/>
        <c:lblOffset val="100"/>
        <c:noMultiLvlLbl val="0"/>
      </c:catAx>
      <c:valAx>
        <c:axId val="116339840"/>
        <c:scaling>
          <c:orientation val="minMax"/>
        </c:scaling>
        <c:delete val="1"/>
        <c:axPos val="l"/>
        <c:numFmt formatCode="#,##0.0" sourceLinked="0"/>
        <c:majorTickMark val="cross"/>
        <c:minorTickMark val="none"/>
        <c:tickLblPos val="nextTo"/>
        <c:crossAx val="116321664"/>
        <c:crosses val="autoZero"/>
        <c:crossBetween val="between"/>
      </c:valAx>
    </c:plotArea>
    <c:legend>
      <c:legendPos val="b"/>
      <c:layout>
        <c:manualLayout>
          <c:xMode val="edge"/>
          <c:yMode val="edge"/>
          <c:x val="0.12750305216115421"/>
          <c:y val="0.73759789076139237"/>
          <c:w val="0.81867120634121016"/>
          <c:h val="0.15881747247657388"/>
        </c:manualLayout>
      </c:layout>
      <c:overlay val="0"/>
      <c:txPr>
        <a:bodyPr/>
        <a:lstStyle/>
        <a:p>
          <a:pPr>
            <a:defRPr sz="900" b="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76307741211881E-2"/>
          <c:y val="9.54349312767757E-2"/>
          <c:w val="0.72919923611150939"/>
          <c:h val="0.76332734223439458"/>
        </c:manualLayout>
      </c:layout>
      <c:barChart>
        <c:barDir val="bar"/>
        <c:grouping val="stacked"/>
        <c:varyColors val="0"/>
        <c:ser>
          <c:idx val="0"/>
          <c:order val="0"/>
          <c:tx>
            <c:strRef>
              <c:f>Лист1!$B$1</c:f>
              <c:strCache>
                <c:ptCount val="1"/>
                <c:pt idx="0">
                  <c:v>2020 год</c:v>
                </c:pt>
              </c:strCache>
            </c:strRef>
          </c:tx>
          <c:spPr>
            <a:solidFill>
              <a:srgbClr val="D9D9D9"/>
            </a:solidFill>
            <a:ln>
              <a:noFill/>
            </a:ln>
            <a:effectLst/>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0E-4DAA-8359-AFF2EFEEAA8B}"/>
                </c:ext>
              </c:extLst>
            </c:dLbl>
            <c:dLbl>
              <c:idx val="1"/>
              <c:layout>
                <c:manualLayout>
                  <c:x val="-4.9512843368387016E-2"/>
                  <c:y val="-1.66311757513103E-3"/>
                </c:manualLayout>
              </c:layout>
              <c:numFmt formatCode="#,##0.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15:layout>
                    <c:manualLayout>
                      <c:w val="7.581465778316171E-2"/>
                      <c:h val="4.6312621248430899E-2"/>
                    </c:manualLayout>
                  </c15:layout>
                </c:ext>
                <c:ext xmlns:c16="http://schemas.microsoft.com/office/drawing/2014/chart" uri="{C3380CC4-5D6E-409C-BE32-E72D297353CC}">
                  <c16:uniqueId val="{00000001-8B0E-4DAA-8359-AFF2EFEEAA8B}"/>
                </c:ext>
              </c:extLst>
            </c:dLbl>
            <c:dLbl>
              <c:idx val="2"/>
              <c:layout>
                <c:manualLayout>
                  <c:x val="-2.4789181031904878E-2"/>
                  <c:y val="4.37541019470575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0E-4DAA-8359-AFF2EFEEAA8B}"/>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собственные средства</c:v>
                </c:pt>
                <c:pt idx="1">
                  <c:v>бюджетные средства</c:v>
                </c:pt>
                <c:pt idx="2">
                  <c:v>кредиты (займы) банков</c:v>
                </c:pt>
                <c:pt idx="3">
                  <c:v>прочие </c:v>
                </c:pt>
              </c:strCache>
            </c:strRef>
          </c:cat>
          <c:val>
            <c:numRef>
              <c:f>Лист1!$B$2:$B$5</c:f>
              <c:numCache>
                <c:formatCode>0.00%</c:formatCode>
                <c:ptCount val="4"/>
                <c:pt idx="0">
                  <c:v>-0.81499999999999995</c:v>
                </c:pt>
                <c:pt idx="1">
                  <c:v>-0.151</c:v>
                </c:pt>
                <c:pt idx="2">
                  <c:v>-1.4999999999999999E-2</c:v>
                </c:pt>
                <c:pt idx="3">
                  <c:v>-1.9E-2</c:v>
                </c:pt>
              </c:numCache>
            </c:numRef>
          </c:val>
          <c:extLst>
            <c:ext xmlns:c16="http://schemas.microsoft.com/office/drawing/2014/chart" uri="{C3380CC4-5D6E-409C-BE32-E72D297353CC}">
              <c16:uniqueId val="{00000003-8B0E-4DAA-8359-AFF2EFEEAA8B}"/>
            </c:ext>
          </c:extLst>
        </c:ser>
        <c:ser>
          <c:idx val="2"/>
          <c:order val="1"/>
          <c:tx>
            <c:strRef>
              <c:f>Лист1!$D$1</c:f>
              <c:strCache>
                <c:ptCount val="1"/>
                <c:pt idx="0">
                  <c:v>2021 год</c:v>
                </c:pt>
              </c:strCache>
            </c:strRef>
          </c:tx>
          <c:spPr>
            <a:solidFill>
              <a:srgbClr val="595959"/>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0E-4DAA-8359-AFF2EFEEAA8B}"/>
                </c:ext>
              </c:extLst>
            </c:dLbl>
            <c:dLbl>
              <c:idx val="1"/>
              <c:layout>
                <c:manualLayout>
                  <c:x val="4.8181668478621528E-2"/>
                  <c:y val="4.37575471519352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0E-4DAA-8359-AFF2EFEEAA8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собственные средства</c:v>
                </c:pt>
                <c:pt idx="1">
                  <c:v>бюджетные средства</c:v>
                </c:pt>
                <c:pt idx="2">
                  <c:v>кредиты (займы) банков</c:v>
                </c:pt>
                <c:pt idx="3">
                  <c:v>прочие </c:v>
                </c:pt>
              </c:strCache>
            </c:strRef>
          </c:cat>
          <c:val>
            <c:numRef>
              <c:f>Лист1!$D$2:$D$5</c:f>
              <c:numCache>
                <c:formatCode>0.00%</c:formatCode>
                <c:ptCount val="4"/>
                <c:pt idx="0">
                  <c:v>0.84599999999999997</c:v>
                </c:pt>
                <c:pt idx="1">
                  <c:v>0.11700000000000001</c:v>
                </c:pt>
                <c:pt idx="2">
                  <c:v>1.9E-2</c:v>
                </c:pt>
                <c:pt idx="3">
                  <c:v>1.7999999999999999E-2</c:v>
                </c:pt>
              </c:numCache>
            </c:numRef>
          </c:val>
          <c:extLst>
            <c:ext xmlns:c16="http://schemas.microsoft.com/office/drawing/2014/chart" uri="{C3380CC4-5D6E-409C-BE32-E72D297353CC}">
              <c16:uniqueId val="{00000006-8B0E-4DAA-8359-AFF2EFEEAA8B}"/>
            </c:ext>
          </c:extLst>
        </c:ser>
        <c:dLbls>
          <c:showLegendKey val="0"/>
          <c:showVal val="0"/>
          <c:showCatName val="0"/>
          <c:showSerName val="0"/>
          <c:showPercent val="0"/>
          <c:showBubbleSize val="0"/>
        </c:dLbls>
        <c:gapWidth val="65"/>
        <c:overlap val="100"/>
        <c:axId val="116415104"/>
        <c:axId val="116425088"/>
      </c:barChart>
      <c:catAx>
        <c:axId val="116415104"/>
        <c:scaling>
          <c:orientation val="maxMin"/>
        </c:scaling>
        <c:delete val="0"/>
        <c:axPos val="l"/>
        <c:numFmt formatCode="General" sourceLinked="1"/>
        <c:majorTickMark val="none"/>
        <c:minorTickMark val="none"/>
        <c:tickLblPos val="high"/>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425088"/>
        <c:crosses val="autoZero"/>
        <c:auto val="1"/>
        <c:lblAlgn val="ctr"/>
        <c:lblOffset val="100"/>
        <c:noMultiLvlLbl val="0"/>
      </c:catAx>
      <c:valAx>
        <c:axId val="116425088"/>
        <c:scaling>
          <c:orientation val="minMax"/>
          <c:max val="0.9"/>
          <c:min val="-0.9"/>
        </c:scaling>
        <c:delete val="0"/>
        <c:axPos val="t"/>
        <c:numFmt formatCode="#,##0.0%;#,##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415104"/>
        <c:crosses val="autoZero"/>
        <c:crossBetween val="between"/>
      </c:valAx>
      <c:spPr>
        <a:noFill/>
        <a:ln>
          <a:noFill/>
        </a:ln>
        <a:effectLst/>
      </c:spPr>
    </c:plotArea>
    <c:legend>
      <c:legendPos val="b"/>
      <c:layout>
        <c:manualLayout>
          <c:xMode val="edge"/>
          <c:yMode val="edge"/>
          <c:x val="0.16914526252317513"/>
          <c:y val="0.90479383011906145"/>
          <c:w val="0.48690976628649835"/>
          <c:h val="6.941743308120203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2020 год</c:v>
                </c:pt>
              </c:strCache>
            </c:strRef>
          </c:tx>
          <c:spPr>
            <a:solidFill>
              <a:srgbClr val="D9D9D9"/>
            </a:solidFill>
            <a:ln>
              <a:noFill/>
            </a:ln>
            <a:effectLst/>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14-4FD7-994B-54AF68A8169F}"/>
                </c:ext>
              </c:extLst>
            </c:dLbl>
            <c:dLbl>
              <c:idx val="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14-4FD7-994B-54AF68A8169F}"/>
                </c:ext>
              </c:extLst>
            </c:dLbl>
            <c:dLbl>
              <c:idx val="2"/>
              <c:layout>
                <c:manualLayout>
                  <c:x val="-6.13966771997637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14-4FD7-994B-54AF68A8169F}"/>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частная</c:v>
                </c:pt>
                <c:pt idx="1">
                  <c:v>государственная</c:v>
                </c:pt>
                <c:pt idx="2">
                  <c:v>муниципальная</c:v>
                </c:pt>
                <c:pt idx="3">
                  <c:v>прочие</c:v>
                </c:pt>
              </c:strCache>
            </c:strRef>
          </c:cat>
          <c:val>
            <c:numRef>
              <c:f>Лист1!$B$2:$B$5</c:f>
              <c:numCache>
                <c:formatCode>0.00%</c:formatCode>
                <c:ptCount val="4"/>
                <c:pt idx="0">
                  <c:v>-0.60499999999999998</c:v>
                </c:pt>
                <c:pt idx="1">
                  <c:v>-0.26400000000000001</c:v>
                </c:pt>
                <c:pt idx="2">
                  <c:v>-0.124</c:v>
                </c:pt>
                <c:pt idx="3">
                  <c:v>-7.0000000000000001E-3</c:v>
                </c:pt>
              </c:numCache>
            </c:numRef>
          </c:val>
          <c:extLst>
            <c:ext xmlns:c16="http://schemas.microsoft.com/office/drawing/2014/chart" uri="{C3380CC4-5D6E-409C-BE32-E72D297353CC}">
              <c16:uniqueId val="{00000003-5D14-4FD7-994B-54AF68A8169F}"/>
            </c:ext>
          </c:extLst>
        </c:ser>
        <c:ser>
          <c:idx val="2"/>
          <c:order val="1"/>
          <c:tx>
            <c:strRef>
              <c:f>Лист1!$D$1</c:f>
              <c:strCache>
                <c:ptCount val="1"/>
                <c:pt idx="0">
                  <c:v>2021 год</c:v>
                </c:pt>
              </c:strCache>
            </c:strRef>
          </c:tx>
          <c:spPr>
            <a:solidFill>
              <a:srgbClr val="595959"/>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14-4FD7-994B-54AF68A8169F}"/>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14-4FD7-994B-54AF68A8169F}"/>
                </c:ext>
              </c:extLst>
            </c:dLbl>
            <c:dLbl>
              <c:idx val="2"/>
              <c:layout>
                <c:manualLayout>
                  <c:x val="5.5282292189805404E-2"/>
                  <c:y val="6.890409756244281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14-4FD7-994B-54AF68A8169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частная</c:v>
                </c:pt>
                <c:pt idx="1">
                  <c:v>государственная</c:v>
                </c:pt>
                <c:pt idx="2">
                  <c:v>муниципальная</c:v>
                </c:pt>
                <c:pt idx="3">
                  <c:v>прочие</c:v>
                </c:pt>
              </c:strCache>
            </c:strRef>
          </c:cat>
          <c:val>
            <c:numRef>
              <c:f>Лист1!$D$2:$D$5</c:f>
              <c:numCache>
                <c:formatCode>0.00%</c:formatCode>
                <c:ptCount val="4"/>
                <c:pt idx="0">
                  <c:v>0.67</c:v>
                </c:pt>
                <c:pt idx="1">
                  <c:v>0.24</c:v>
                </c:pt>
                <c:pt idx="2">
                  <c:v>8.5999999999999993E-2</c:v>
                </c:pt>
                <c:pt idx="3">
                  <c:v>4.0000000000000001E-3</c:v>
                </c:pt>
              </c:numCache>
            </c:numRef>
          </c:val>
          <c:extLst>
            <c:ext xmlns:c16="http://schemas.microsoft.com/office/drawing/2014/chart" uri="{C3380CC4-5D6E-409C-BE32-E72D297353CC}">
              <c16:uniqueId val="{00000007-5D14-4FD7-994B-54AF68A8169F}"/>
            </c:ext>
          </c:extLst>
        </c:ser>
        <c:dLbls>
          <c:showLegendKey val="0"/>
          <c:showVal val="0"/>
          <c:showCatName val="0"/>
          <c:showSerName val="0"/>
          <c:showPercent val="0"/>
          <c:showBubbleSize val="0"/>
        </c:dLbls>
        <c:gapWidth val="100"/>
        <c:overlap val="100"/>
        <c:axId val="116725632"/>
        <c:axId val="116727168"/>
      </c:barChart>
      <c:catAx>
        <c:axId val="116725632"/>
        <c:scaling>
          <c:orientation val="maxMin"/>
        </c:scaling>
        <c:delete val="0"/>
        <c:axPos val="l"/>
        <c:numFmt formatCode="General" sourceLinked="1"/>
        <c:majorTickMark val="none"/>
        <c:minorTickMark val="none"/>
        <c:tickLblPos val="high"/>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727168"/>
        <c:crosses val="autoZero"/>
        <c:auto val="1"/>
        <c:lblAlgn val="ctr"/>
        <c:lblOffset val="100"/>
        <c:noMultiLvlLbl val="0"/>
      </c:catAx>
      <c:valAx>
        <c:axId val="116727168"/>
        <c:scaling>
          <c:orientation val="minMax"/>
          <c:max val="0.8"/>
          <c:min val="-0.70000000000000062"/>
        </c:scaling>
        <c:delete val="0"/>
        <c:axPos val="t"/>
        <c:numFmt formatCode="#,##0.0%;#,##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725632"/>
        <c:crosses val="autoZero"/>
        <c:crossBetween val="between"/>
      </c:valAx>
      <c:spPr>
        <a:noFill/>
        <a:ln>
          <a:noFill/>
        </a:ln>
        <a:effectLst/>
      </c:spPr>
    </c:plotArea>
    <c:legend>
      <c:legendPos val="b"/>
      <c:layout>
        <c:manualLayout>
          <c:xMode val="edge"/>
          <c:yMode val="edge"/>
          <c:x val="0.11087869296745756"/>
          <c:y val="0.90433010575056183"/>
          <c:w val="0.48690976628649835"/>
          <c:h val="6.941743308120203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52171772221689"/>
          <c:y val="1.2173130078374499E-2"/>
          <c:w val="0.73647828227778311"/>
          <c:h val="0.8790827245854177"/>
        </c:manualLayout>
      </c:layout>
      <c:barChart>
        <c:barDir val="bar"/>
        <c:grouping val="clustered"/>
        <c:varyColors val="0"/>
        <c:ser>
          <c:idx val="0"/>
          <c:order val="0"/>
          <c:tx>
            <c:strRef>
              <c:f>Лист1!$A$1</c:f>
              <c:strCache>
                <c:ptCount val="1"/>
                <c:pt idx="0">
                  <c:v> </c:v>
                </c:pt>
              </c:strCache>
            </c:strRef>
          </c:tx>
          <c:spPr>
            <a:solidFill>
              <a:sysClr val="window" lastClr="FFFFFF">
                <a:lumMod val="65000"/>
              </a:sysClr>
            </a:solidFill>
            <a:ln w="19050">
              <a:solidFill>
                <a:sysClr val="windowText" lastClr="000000"/>
              </a:solidFill>
            </a:ln>
          </c:spPr>
          <c:invertIfNegative val="0"/>
          <c:cat>
            <c:strRef>
              <c:f>Лист1!$A$2:$A$11</c:f>
              <c:strCache>
                <c:ptCount val="10"/>
                <c:pt idx="0">
                  <c:v>промышленнность</c:v>
                </c:pt>
                <c:pt idx="1">
                  <c:v>сельское хозяйство</c:v>
                </c:pt>
                <c:pt idx="2">
                  <c:v>торговля и общественное питание</c:v>
                </c:pt>
                <c:pt idx="3">
                  <c:v>связь</c:v>
                </c:pt>
                <c:pt idx="4">
                  <c:v>коммунальное хозяйство</c:v>
                </c:pt>
                <c:pt idx="5">
                  <c:v>здравоохранение</c:v>
                </c:pt>
                <c:pt idx="6">
                  <c:v>транспорт</c:v>
                </c:pt>
                <c:pt idx="7">
                  <c:v>образование</c:v>
                </c:pt>
                <c:pt idx="8">
                  <c:v>строительство</c:v>
                </c:pt>
                <c:pt idx="9">
                  <c:v>прочие</c:v>
                </c:pt>
              </c:strCache>
            </c:strRef>
          </c:cat>
          <c:val>
            <c:numRef>
              <c:f>Лист1!$A$2:$A$11</c:f>
              <c:numCache>
                <c:formatCode>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37E1-4CAC-AE7F-506D22769FF6}"/>
            </c:ext>
          </c:extLst>
        </c:ser>
        <c:ser>
          <c:idx val="2"/>
          <c:order val="1"/>
          <c:tx>
            <c:strRef>
              <c:f>Лист1!$B$1</c:f>
              <c:strCache>
                <c:ptCount val="1"/>
                <c:pt idx="0">
                  <c:v>2020 год</c:v>
                </c:pt>
              </c:strCache>
            </c:strRef>
          </c:tx>
          <c:spPr>
            <a:solidFill>
              <a:sysClr val="window" lastClr="FFFFFF">
                <a:lumMod val="85000"/>
              </a:sysClr>
            </a:solidFill>
            <a:ln w="12700">
              <a:noFill/>
            </a:ln>
          </c:spPr>
          <c:invertIfNegative val="0"/>
          <c:dLbls>
            <c:dLbl>
              <c:idx val="0"/>
              <c:tx>
                <c:rich>
                  <a:bodyPr/>
                  <a:lstStyle/>
                  <a:p>
                    <a:r>
                      <a:rPr lang="en-US"/>
                      <a:t>490,9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B5-4494-BDDF-9E1178DD2A7D}"/>
                </c:ext>
              </c:extLst>
            </c:dLbl>
            <c:dLbl>
              <c:idx val="2"/>
              <c:tx>
                <c:rich>
                  <a:bodyPr/>
                  <a:lstStyle/>
                  <a:p>
                    <a:r>
                      <a:rPr lang="en-US" sz="800"/>
                      <a:t>145,0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E1-4CAC-AE7F-506D22769FF6}"/>
                </c:ext>
              </c:extLst>
            </c:dLbl>
            <c:dLbl>
              <c:idx val="3"/>
              <c:layout>
                <c:manualLayout>
                  <c:x val="-5.3020112197359574E-2"/>
                  <c:y val="0"/>
                </c:manualLayout>
              </c:layout>
              <c:tx>
                <c:rich>
                  <a:bodyPr/>
                  <a:lstStyle/>
                  <a:p>
                    <a:r>
                      <a:rPr lang="en-US" sz="800"/>
                      <a:t>55,9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E1-4CAC-AE7F-506D22769FF6}"/>
                </c:ext>
              </c:extLst>
            </c:dLbl>
            <c:dLbl>
              <c:idx val="4"/>
              <c:layout>
                <c:manualLayout>
                  <c:x val="-5.357646969703346E-2"/>
                  <c:y val="0"/>
                </c:manualLayout>
              </c:layout>
              <c:tx>
                <c:rich>
                  <a:bodyPr/>
                  <a:lstStyle/>
                  <a:p>
                    <a:r>
                      <a:rPr lang="en-US" sz="800"/>
                      <a:t>56,9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E1-4CAC-AE7F-506D22769FF6}"/>
                </c:ext>
              </c:extLst>
            </c:dLbl>
            <c:dLbl>
              <c:idx val="5"/>
              <c:tx>
                <c:rich>
                  <a:bodyPr/>
                  <a:lstStyle/>
                  <a:p>
                    <a:r>
                      <a:rPr lang="en-US" sz="800"/>
                      <a:t>63,6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E1-4CAC-AE7F-506D22769FF6}"/>
                </c:ext>
              </c:extLst>
            </c:dLbl>
            <c:dLbl>
              <c:idx val="6"/>
              <c:tx>
                <c:rich>
                  <a:bodyPr/>
                  <a:lstStyle/>
                  <a:p>
                    <a:r>
                      <a:rPr lang="en-US" sz="800"/>
                      <a:t>76,3</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E1-4CAC-AE7F-506D22769FF6}"/>
                </c:ext>
              </c:extLst>
            </c:dLbl>
            <c:dLbl>
              <c:idx val="7"/>
              <c:layout>
                <c:manualLayout>
                  <c:x val="-6.6274719401389626E-2"/>
                  <c:y val="0"/>
                </c:manualLayout>
              </c:layout>
              <c:tx>
                <c:rich>
                  <a:bodyPr/>
                  <a:lstStyle/>
                  <a:p>
                    <a:r>
                      <a:rPr lang="en-US" sz="800"/>
                      <a:t>84,9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E1-4CAC-AE7F-506D22769FF6}"/>
                </c:ext>
              </c:extLst>
            </c:dLbl>
            <c:dLbl>
              <c:idx val="8"/>
              <c:tx>
                <c:rich>
                  <a:bodyPr/>
                  <a:lstStyle/>
                  <a:p>
                    <a:r>
                      <a:rPr lang="en-US" sz="800"/>
                      <a:t>7,2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E1-4CAC-AE7F-506D22769FF6}"/>
                </c:ext>
              </c:extLst>
            </c:dLbl>
            <c:numFmt formatCode="#,##0.0" sourceLinked="0"/>
            <c:spPr>
              <a:noFill/>
              <a:ln>
                <a:noFill/>
              </a:ln>
              <a:effectLst/>
            </c:spPr>
            <c:txPr>
              <a:bodyPr rot="0" vert="horz" wrap="square" lIns="38100" tIns="19050" rIns="38100" bIns="19050" anchor="ctr">
                <a:spAutoFit/>
              </a:bodyPr>
              <a:lstStyle/>
              <a:p>
                <a:pPr>
                  <a:defRPr sz="8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промышленнность</c:v>
                </c:pt>
                <c:pt idx="1">
                  <c:v>сельское хозяйство</c:v>
                </c:pt>
                <c:pt idx="2">
                  <c:v>торговля и общественное питание</c:v>
                </c:pt>
                <c:pt idx="3">
                  <c:v>связь</c:v>
                </c:pt>
                <c:pt idx="4">
                  <c:v>коммунальное хозяйство</c:v>
                </c:pt>
                <c:pt idx="5">
                  <c:v>здравоохранение</c:v>
                </c:pt>
                <c:pt idx="6">
                  <c:v>транспорт</c:v>
                </c:pt>
                <c:pt idx="7">
                  <c:v>образование</c:v>
                </c:pt>
                <c:pt idx="8">
                  <c:v>строительство</c:v>
                </c:pt>
                <c:pt idx="9">
                  <c:v>прочие</c:v>
                </c:pt>
              </c:strCache>
            </c:strRef>
          </c:cat>
          <c:val>
            <c:numRef>
              <c:f>Лист1!$B$2:$B$11</c:f>
              <c:numCache>
                <c:formatCode>0.0</c:formatCode>
                <c:ptCount val="10"/>
                <c:pt idx="0">
                  <c:v>490</c:v>
                </c:pt>
                <c:pt idx="1">
                  <c:v>275.89999999999998</c:v>
                </c:pt>
                <c:pt idx="2" formatCode="General">
                  <c:v>145</c:v>
                </c:pt>
                <c:pt idx="3" formatCode="General">
                  <c:v>55.9</c:v>
                </c:pt>
                <c:pt idx="4" formatCode="General">
                  <c:v>56.9</c:v>
                </c:pt>
                <c:pt idx="5" formatCode="General">
                  <c:v>63.6</c:v>
                </c:pt>
                <c:pt idx="6" formatCode="General">
                  <c:v>76.3</c:v>
                </c:pt>
                <c:pt idx="7" formatCode="General">
                  <c:v>84.9</c:v>
                </c:pt>
                <c:pt idx="8" formatCode="General">
                  <c:v>7.2</c:v>
                </c:pt>
                <c:pt idx="9">
                  <c:v>151.4</c:v>
                </c:pt>
              </c:numCache>
            </c:numRef>
          </c:val>
          <c:extLst>
            <c:ext xmlns:c16="http://schemas.microsoft.com/office/drawing/2014/chart" uri="{C3380CC4-5D6E-409C-BE32-E72D297353CC}">
              <c16:uniqueId val="{0000000A-37E1-4CAC-AE7F-506D22769FF6}"/>
            </c:ext>
          </c:extLst>
        </c:ser>
        <c:ser>
          <c:idx val="3"/>
          <c:order val="2"/>
          <c:tx>
            <c:strRef>
              <c:f>Лист1!$C$1</c:f>
              <c:strCache>
                <c:ptCount val="1"/>
                <c:pt idx="0">
                  <c:v>2021 год</c:v>
                </c:pt>
              </c:strCache>
            </c:strRef>
          </c:tx>
          <c:spPr>
            <a:solidFill>
              <a:sysClr val="windowText" lastClr="000000">
                <a:lumMod val="65000"/>
                <a:lumOff val="35000"/>
              </a:sysClr>
            </a:solidFill>
            <a:ln>
              <a:noFill/>
            </a:ln>
          </c:spPr>
          <c:invertIfNegative val="0"/>
          <c:dLbls>
            <c:dLbl>
              <c:idx val="2"/>
              <c:tx>
                <c:rich>
                  <a:bodyPr/>
                  <a:lstStyle/>
                  <a:p>
                    <a:r>
                      <a:rPr lang="en-US" sz="800"/>
                      <a:t>203,6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E1-4CAC-AE7F-506D22769FF6}"/>
                </c:ext>
              </c:extLst>
            </c:dLbl>
            <c:dLbl>
              <c:idx val="3"/>
              <c:tx>
                <c:rich>
                  <a:bodyPr/>
                  <a:lstStyle/>
                  <a:p>
                    <a:r>
                      <a:rPr lang="en-US" sz="800"/>
                      <a:t>107,4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7E1-4CAC-AE7F-506D22769FF6}"/>
                </c:ext>
              </c:extLst>
            </c:dLbl>
            <c:dLbl>
              <c:idx val="4"/>
              <c:layout>
                <c:manualLayout>
                  <c:x val="-5.3447354355959382E-2"/>
                  <c:y val="0"/>
                </c:manualLayout>
              </c:layout>
              <c:tx>
                <c:rich>
                  <a:bodyPr/>
                  <a:lstStyle/>
                  <a:p>
                    <a:r>
                      <a:rPr lang="en-US" sz="800"/>
                      <a:t>82,5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7E1-4CAC-AE7F-506D22769FF6}"/>
                </c:ext>
              </c:extLst>
            </c:dLbl>
            <c:dLbl>
              <c:idx val="5"/>
              <c:tx>
                <c:rich>
                  <a:bodyPr/>
                  <a:lstStyle/>
                  <a:p>
                    <a:r>
                      <a:rPr lang="en-US" sz="800"/>
                      <a:t>77,1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7E1-4CAC-AE7F-506D22769FF6}"/>
                </c:ext>
              </c:extLst>
            </c:dLbl>
            <c:dLbl>
              <c:idx val="6"/>
              <c:tx>
                <c:rich>
                  <a:bodyPr/>
                  <a:lstStyle/>
                  <a:p>
                    <a:r>
                      <a:rPr lang="en-US" sz="800"/>
                      <a:t>67,7</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7E1-4CAC-AE7F-506D22769FF6}"/>
                </c:ext>
              </c:extLst>
            </c:dLbl>
            <c:dLbl>
              <c:idx val="7"/>
              <c:layout>
                <c:manualLayout>
                  <c:x val="-5.4431459028604856E-2"/>
                  <c:y val="3.228918419095918E-3"/>
                </c:manualLayout>
              </c:layout>
              <c:tx>
                <c:rich>
                  <a:bodyPr/>
                  <a:lstStyle/>
                  <a:p>
                    <a:r>
                      <a:rPr lang="en-US" sz="800"/>
                      <a:t>49,9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7E1-4CAC-AE7F-506D22769FF6}"/>
                </c:ext>
              </c:extLst>
            </c:dLbl>
            <c:dLbl>
              <c:idx val="8"/>
              <c:tx>
                <c:rich>
                  <a:bodyPr rot="0" vert="horz" wrap="square" lIns="38100" tIns="19050" rIns="38100" bIns="19050" anchor="ctr">
                    <a:spAutoFit/>
                  </a:bodyPr>
                  <a:lstStyle/>
                  <a:p>
                    <a:pPr>
                      <a:defRPr sz="800">
                        <a:solidFill>
                          <a:sysClr val="windowText" lastClr="000000"/>
                        </a:solidFill>
                      </a:defRPr>
                    </a:pPr>
                    <a:r>
                      <a:rPr lang="en-US" sz="800">
                        <a:solidFill>
                          <a:sysClr val="windowText" lastClr="000000"/>
                        </a:solidFill>
                      </a:rPr>
                      <a:t>9,2</a:t>
                    </a:r>
                  </a:p>
                </c:rich>
              </c:tx>
              <c:numFmt formatCode="#,##0.0" sourceLinked="0"/>
              <c:spPr>
                <a:noFill/>
                <a:ln>
                  <a:noFill/>
                </a:ln>
                <a:effectLst/>
              </c:sp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7E1-4CAC-AE7F-506D22769FF6}"/>
                </c:ext>
              </c:extLst>
            </c:dLbl>
            <c:numFmt formatCode="#,##0.0" sourceLinked="0"/>
            <c:spPr>
              <a:noFill/>
              <a:ln>
                <a:noFill/>
              </a:ln>
              <a:effectLst/>
            </c:spPr>
            <c:txPr>
              <a:bodyPr rot="0" vert="horz" wrap="square" lIns="38100" tIns="19050" rIns="38100" bIns="19050" anchor="ctr">
                <a:spAutoFit/>
              </a:bodyPr>
              <a:lstStyle/>
              <a:p>
                <a:pPr>
                  <a:defRPr sz="800">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промышленнность</c:v>
                </c:pt>
                <c:pt idx="1">
                  <c:v>сельское хозяйство</c:v>
                </c:pt>
                <c:pt idx="2">
                  <c:v>торговля и общественное питание</c:v>
                </c:pt>
                <c:pt idx="3">
                  <c:v>связь</c:v>
                </c:pt>
                <c:pt idx="4">
                  <c:v>коммунальное хозяйство</c:v>
                </c:pt>
                <c:pt idx="5">
                  <c:v>здравоохранение</c:v>
                </c:pt>
                <c:pt idx="6">
                  <c:v>транспорт</c:v>
                </c:pt>
                <c:pt idx="7">
                  <c:v>образование</c:v>
                </c:pt>
                <c:pt idx="8">
                  <c:v>строительство</c:v>
                </c:pt>
                <c:pt idx="9">
                  <c:v>прочие</c:v>
                </c:pt>
              </c:strCache>
            </c:strRef>
          </c:cat>
          <c:val>
            <c:numRef>
              <c:f>Лист1!$C$2:$C$11</c:f>
              <c:numCache>
                <c:formatCode>0.0</c:formatCode>
                <c:ptCount val="10"/>
                <c:pt idx="0">
                  <c:v>820</c:v>
                </c:pt>
                <c:pt idx="1">
                  <c:v>225.8</c:v>
                </c:pt>
                <c:pt idx="2" formatCode="General">
                  <c:v>203.6</c:v>
                </c:pt>
                <c:pt idx="3" formatCode="General">
                  <c:v>107.4</c:v>
                </c:pt>
                <c:pt idx="4" formatCode="General">
                  <c:v>82.5</c:v>
                </c:pt>
                <c:pt idx="5" formatCode="General">
                  <c:v>77.099999999999994</c:v>
                </c:pt>
                <c:pt idx="6" formatCode="General">
                  <c:v>67.7</c:v>
                </c:pt>
                <c:pt idx="7" formatCode="General">
                  <c:v>49.9</c:v>
                </c:pt>
                <c:pt idx="8" formatCode="General">
                  <c:v>9.1999999999999993</c:v>
                </c:pt>
                <c:pt idx="9" formatCode="General">
                  <c:v>158.1</c:v>
                </c:pt>
              </c:numCache>
            </c:numRef>
          </c:val>
          <c:extLst>
            <c:ext xmlns:c16="http://schemas.microsoft.com/office/drawing/2014/chart" uri="{C3380CC4-5D6E-409C-BE32-E72D297353CC}">
              <c16:uniqueId val="{00000012-37E1-4CAC-AE7F-506D22769FF6}"/>
            </c:ext>
          </c:extLst>
        </c:ser>
        <c:dLbls>
          <c:showLegendKey val="0"/>
          <c:showVal val="0"/>
          <c:showCatName val="0"/>
          <c:showSerName val="0"/>
          <c:showPercent val="0"/>
          <c:showBubbleSize val="0"/>
        </c:dLbls>
        <c:gapWidth val="0"/>
        <c:axId val="128599168"/>
        <c:axId val="128601088"/>
      </c:barChart>
      <c:catAx>
        <c:axId val="128599168"/>
        <c:scaling>
          <c:orientation val="maxMin"/>
        </c:scaling>
        <c:delete val="0"/>
        <c:axPos val="l"/>
        <c:numFmt formatCode="General" sourceLinked="1"/>
        <c:majorTickMark val="cross"/>
        <c:minorTickMark val="none"/>
        <c:tickLblPos val="nextTo"/>
        <c:spPr>
          <a:ln>
            <a:solidFill>
              <a:sysClr val="window" lastClr="FFFFFF">
                <a:lumMod val="85000"/>
              </a:sysClr>
            </a:solidFill>
          </a:ln>
        </c:spPr>
        <c:txPr>
          <a:bodyPr rot="0" vert="horz" anchor="ctr" anchorCtr="0"/>
          <a:lstStyle/>
          <a:p>
            <a:pPr>
              <a:defRPr sz="900" b="0"/>
            </a:pPr>
            <a:endParaRPr lang="ru-RU"/>
          </a:p>
        </c:txPr>
        <c:crossAx val="128601088"/>
        <c:crosses val="autoZero"/>
        <c:auto val="1"/>
        <c:lblAlgn val="ctr"/>
        <c:lblOffset val="500"/>
        <c:noMultiLvlLbl val="0"/>
      </c:catAx>
      <c:valAx>
        <c:axId val="128601088"/>
        <c:scaling>
          <c:orientation val="minMax"/>
          <c:max val="850"/>
          <c:min val="0"/>
        </c:scaling>
        <c:delete val="1"/>
        <c:axPos val="t"/>
        <c:numFmt formatCode="0" sourceLinked="1"/>
        <c:majorTickMark val="out"/>
        <c:minorTickMark val="none"/>
        <c:tickLblPos val="nextTo"/>
        <c:crossAx val="128599168"/>
        <c:crosses val="autoZero"/>
        <c:crossBetween val="between"/>
        <c:majorUnit val="2000"/>
      </c:valAx>
      <c:spPr>
        <a:noFill/>
        <a:ln w="25400">
          <a:noFill/>
        </a:ln>
      </c:spPr>
    </c:plotArea>
    <c:legend>
      <c:legendPos val="b"/>
      <c:legendEntry>
        <c:idx val="0"/>
        <c:delete val="1"/>
      </c:legendEntry>
      <c:layout>
        <c:manualLayout>
          <c:xMode val="edge"/>
          <c:yMode val="edge"/>
          <c:x val="0.31093377111476556"/>
          <c:y val="0.90596843663772864"/>
          <c:w val="0.48589863604812872"/>
          <c:h val="5.560937374941697E-2"/>
        </c:manualLayout>
      </c:layout>
      <c:overlay val="0"/>
      <c:spPr>
        <a:effectLst/>
      </c:spPr>
      <c:txPr>
        <a:bodyPr/>
        <a:lstStyle/>
        <a:p>
          <a:pPr>
            <a:defRPr sz="900" b="0"/>
          </a:pPr>
          <a:endParaRPr lang="ru-RU"/>
        </a:p>
      </c:txPr>
    </c:legend>
    <c:plotVisOnly val="1"/>
    <c:dispBlanksAs val="gap"/>
    <c:showDLblsOverMax val="0"/>
  </c:chart>
  <c:spPr>
    <a:noFill/>
    <a:ln>
      <a:noFill/>
    </a:ln>
  </c:spPr>
  <c:txPr>
    <a:bodyPr/>
    <a:lstStyle/>
    <a:p>
      <a:pPr>
        <a:defRPr sz="550" b="1">
          <a:latin typeface="Times New Roman" pitchFamily="18" charset="0"/>
          <a:cs typeface="Times New Roman"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605493499359092"/>
          <c:y val="2.448408534452606E-2"/>
          <c:w val="0.59883912185395427"/>
          <c:h val="0.83723972003499558"/>
        </c:manualLayout>
      </c:layout>
      <c:barChart>
        <c:barDir val="bar"/>
        <c:grouping val="clustered"/>
        <c:varyColors val="0"/>
        <c:ser>
          <c:idx val="0"/>
          <c:order val="0"/>
          <c:tx>
            <c:strRef>
              <c:f>Лист1!$B$1</c:f>
              <c:strCache>
                <c:ptCount val="1"/>
                <c:pt idx="0">
                  <c:v>2021 год</c:v>
                </c:pt>
              </c:strCache>
            </c:strRef>
          </c:tx>
          <c:spPr>
            <a:solidFill>
              <a:schemeClr val="tx1">
                <a:lumMod val="65000"/>
                <a:lumOff val="35000"/>
              </a:schemeClr>
            </a:solidFill>
            <a:ln>
              <a:noFill/>
            </a:ln>
            <a:effectLst/>
          </c:spPr>
          <c:invertIfNegative val="0"/>
          <c:dLbls>
            <c:dLbl>
              <c:idx val="0"/>
              <c:tx>
                <c:rich>
                  <a:bodyPr/>
                  <a:lstStyle/>
                  <a:p>
                    <a:r>
                      <a:rPr lang="en-US"/>
                      <a:t>+</a:t>
                    </a:r>
                    <a:fld id="{018AB2F3-0BE6-4322-A7CA-E3889B59011D}"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F9A-4B77-ABE3-89B9CFEAD705}"/>
                </c:ext>
              </c:extLst>
            </c:dLbl>
            <c:dLbl>
              <c:idx val="1"/>
              <c:tx>
                <c:rich>
                  <a:bodyPr/>
                  <a:lstStyle/>
                  <a:p>
                    <a:r>
                      <a:rPr lang="en-US"/>
                      <a:t>+</a:t>
                    </a:r>
                    <a:fld id="{A6E5AEFC-451E-4959-96F6-3F0A3AFFD6BE}"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F9A-4B77-ABE3-89B9CFEAD705}"/>
                </c:ext>
              </c:extLst>
            </c:dLbl>
            <c:dLbl>
              <c:idx val="2"/>
              <c:tx>
                <c:rich>
                  <a:bodyPr/>
                  <a:lstStyle/>
                  <a:p>
                    <a:r>
                      <a:rPr lang="en-US"/>
                      <a:t>+</a:t>
                    </a:r>
                    <a:fld id="{048723DE-B9A7-41E7-A1A4-11AC817563B3}"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F9A-4B77-ABE3-89B9CFEAD705}"/>
                </c:ext>
              </c:extLst>
            </c:dLbl>
            <c:dLbl>
              <c:idx val="3"/>
              <c:tx>
                <c:rich>
                  <a:bodyPr/>
                  <a:lstStyle/>
                  <a:p>
                    <a:fld id="{3E0D95E4-8DB9-4712-82CA-6CBFD113C7A9}"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F9A-4B77-ABE3-89B9CFEAD705}"/>
                </c:ext>
              </c:extLst>
            </c:dLbl>
            <c:dLbl>
              <c:idx val="4"/>
              <c:tx>
                <c:rich>
                  <a:bodyPr/>
                  <a:lstStyle/>
                  <a:p>
                    <a:r>
                      <a:rPr lang="en-US"/>
                      <a:t>+</a:t>
                    </a:r>
                    <a:fld id="{D9261708-015A-4332-9947-7016BF28449C}"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F9A-4B77-ABE3-89B9CFEAD705}"/>
                </c:ext>
              </c:extLst>
            </c:dLbl>
            <c:dLbl>
              <c:idx val="5"/>
              <c:tx>
                <c:rich>
                  <a:bodyPr/>
                  <a:lstStyle/>
                  <a:p>
                    <a:fld id="{8A1A1A1F-B2A0-4FAC-8243-65F3DC7E2559}"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F9A-4B77-ABE3-89B9CFEAD705}"/>
                </c:ext>
              </c:extLst>
            </c:dLbl>
            <c:dLbl>
              <c:idx val="6"/>
              <c:tx>
                <c:rich>
                  <a:bodyPr/>
                  <a:lstStyle/>
                  <a:p>
                    <a:r>
                      <a:rPr lang="en-US"/>
                      <a:t>+</a:t>
                    </a:r>
                    <a:fld id="{7470D727-CA37-445C-83E8-E706E7608FDF}"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F9A-4B77-ABE3-89B9CFEAD705}"/>
                </c:ext>
              </c:extLst>
            </c:dLbl>
            <c:dLbl>
              <c:idx val="7"/>
              <c:tx>
                <c:rich>
                  <a:bodyPr/>
                  <a:lstStyle/>
                  <a:p>
                    <a:r>
                      <a:rPr lang="en-US"/>
                      <a:t>+</a:t>
                    </a:r>
                    <a:fld id="{5AA35C85-53DC-431E-B45E-135EE6B8C1C9}"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6F9A-4B77-ABE3-89B9CFEAD705}"/>
                </c:ext>
              </c:extLst>
            </c:dLbl>
            <c:dLbl>
              <c:idx val="8"/>
              <c:tx>
                <c:rich>
                  <a:bodyPr/>
                  <a:lstStyle/>
                  <a:p>
                    <a:r>
                      <a:rPr lang="en-US"/>
                      <a:t>+</a:t>
                    </a:r>
                    <a:fld id="{A93A1007-CF0C-4662-9E7E-715CCC3510FA}"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F9A-4B77-ABE3-89B9CFEAD705}"/>
                </c:ext>
              </c:extLst>
            </c:dLbl>
            <c:dLbl>
              <c:idx val="9"/>
              <c:tx>
                <c:rich>
                  <a:bodyPr/>
                  <a:lstStyle/>
                  <a:p>
                    <a:r>
                      <a:rPr lang="en-US"/>
                      <a:t>+</a:t>
                    </a:r>
                    <a:fld id="{D54CC923-0A11-4F9B-B353-A8258A8C0B00}"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6F9A-4B77-ABE3-89B9CFEAD705}"/>
                </c:ext>
              </c:extLst>
            </c:dLbl>
            <c:dLbl>
              <c:idx val="10"/>
              <c:tx>
                <c:rich>
                  <a:bodyPr/>
                  <a:lstStyle/>
                  <a:p>
                    <a:r>
                      <a:rPr lang="en-US"/>
                      <a:t>+</a:t>
                    </a:r>
                    <a:fld id="{87D7847D-B54A-46B7-8702-832DEBFF2C82}"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F9A-4B77-ABE3-89B9CFEAD705}"/>
                </c:ext>
              </c:extLst>
            </c:dLbl>
            <c:dLbl>
              <c:idx val="11"/>
              <c:tx>
                <c:rich>
                  <a:bodyPr/>
                  <a:lstStyle/>
                  <a:p>
                    <a:r>
                      <a:rPr lang="ru-RU"/>
                      <a:t>в 2,0р.</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9A-4B77-ABE3-89B9CFEAD705}"/>
                </c:ext>
              </c:extLst>
            </c:dLbl>
            <c:dLbl>
              <c:idx val="12"/>
              <c:tx>
                <c:rich>
                  <a:bodyPr/>
                  <a:lstStyle/>
                  <a:p>
                    <a:fld id="{DD2AD73E-375E-4113-BB60-C21F772DD631}"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F9A-4B77-ABE3-89B9CFEAD705}"/>
                </c:ext>
              </c:extLst>
            </c:dLbl>
            <c:dLbl>
              <c:idx val="13"/>
              <c:tx>
                <c:rich>
                  <a:bodyPr/>
                  <a:lstStyle/>
                  <a:p>
                    <a:r>
                      <a:rPr lang="en-US"/>
                      <a:t>+</a:t>
                    </a:r>
                    <a:fld id="{456C3EED-E6F3-4576-B96C-DA3B03B7EB4D}"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F9A-4B77-ABE3-89B9CFEAD705}"/>
                </c:ext>
              </c:extLst>
            </c:dLbl>
            <c:dLbl>
              <c:idx val="14"/>
              <c:tx>
                <c:rich>
                  <a:bodyPr/>
                  <a:lstStyle/>
                  <a:p>
                    <a:r>
                      <a:rPr lang="en-US"/>
                      <a:t>+</a:t>
                    </a:r>
                    <a:fld id="{6C7033C9-DA45-47FF-B6BA-1B10F223EE11}"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6F9A-4B77-ABE3-89B9CFEAD705}"/>
                </c:ext>
              </c:extLst>
            </c:dLbl>
            <c:dLbl>
              <c:idx val="15"/>
              <c:tx>
                <c:rich>
                  <a:bodyPr/>
                  <a:lstStyle/>
                  <a:p>
                    <a:r>
                      <a:rPr lang="en-US"/>
                      <a:t>+</a:t>
                    </a:r>
                    <a:fld id="{736DCCEE-AE43-412C-927D-A1EFBA9F3B1E}"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6F9A-4B77-ABE3-89B9CFEAD705}"/>
                </c:ext>
              </c:extLst>
            </c:dLbl>
            <c:dLbl>
              <c:idx val="16"/>
              <c:tx>
                <c:rich>
                  <a:bodyPr/>
                  <a:lstStyle/>
                  <a:p>
                    <a:fld id="{0CEEAB40-C3B5-4713-93D8-6210380FDA5F}"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F9A-4B77-ABE3-89B9CFEAD705}"/>
                </c:ext>
              </c:extLst>
            </c:dLbl>
            <c:dLbl>
              <c:idx val="17"/>
              <c:tx>
                <c:rich>
                  <a:bodyPr/>
                  <a:lstStyle/>
                  <a:p>
                    <a:r>
                      <a:rPr lang="en-US"/>
                      <a:t>+</a:t>
                    </a:r>
                    <a:fld id="{A8110DF4-292E-4DBA-B10E-3D3626561EE5}"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6F9A-4B77-ABE3-89B9CFEAD705}"/>
                </c:ext>
              </c:extLst>
            </c:dLbl>
            <c:dLbl>
              <c:idx val="18"/>
              <c:tx>
                <c:rich>
                  <a:bodyPr/>
                  <a:lstStyle/>
                  <a:p>
                    <a:r>
                      <a:rPr lang="en-US"/>
                      <a:t>+</a:t>
                    </a:r>
                    <a:fld id="{B4E98FD3-999D-4BD9-B7B5-4A8F6829E447}"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6F9A-4B77-ABE3-89B9CFEAD705}"/>
                </c:ext>
              </c:extLst>
            </c:dLbl>
            <c:spPr>
              <a:solidFill>
                <a:schemeClr val="lt1"/>
              </a:solidFill>
              <a:ln w="3175">
                <a:solidFill>
                  <a:schemeClr val="tx1"/>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DataLabelsRange val="1"/>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прочие виды деятельности</c:v>
                </c:pt>
                <c:pt idx="1">
                  <c:v>физкультура, отдых и туризм</c:v>
                </c:pt>
                <c:pt idx="2">
                  <c:v>культура и искусство</c:v>
                </c:pt>
                <c:pt idx="3">
                  <c:v>образование</c:v>
                </c:pt>
                <c:pt idx="4">
                  <c:v>здравоохранение и соц. обеспечение</c:v>
                </c:pt>
                <c:pt idx="5">
                  <c:v>непроизвод. виды быт. обслуживания</c:v>
                </c:pt>
                <c:pt idx="6">
                  <c:v>ЖКХ</c:v>
                </c:pt>
                <c:pt idx="7">
                  <c:v>редакции и издательства</c:v>
                </c:pt>
                <c:pt idx="8">
                  <c:v>общая комерческая деятельность</c:v>
                </c:pt>
                <c:pt idx="9">
                  <c:v>операции с недвиж.имуществом</c:v>
                </c:pt>
                <c:pt idx="10">
                  <c:v>информационно-выч. обслуживание</c:v>
                </c:pt>
                <c:pt idx="11">
                  <c:v>заготовки</c:v>
                </c:pt>
                <c:pt idx="12">
                  <c:v>материально-тех. снабжение и сбыт</c:v>
                </c:pt>
                <c:pt idx="13">
                  <c:v>торговля и общепит</c:v>
                </c:pt>
                <c:pt idx="14">
                  <c:v>строительство</c:v>
                </c:pt>
                <c:pt idx="15">
                  <c:v>связь</c:v>
                </c:pt>
                <c:pt idx="16">
                  <c:v>транспорт</c:v>
                </c:pt>
                <c:pt idx="17">
                  <c:v>сельское хозяйство</c:v>
                </c:pt>
                <c:pt idx="18">
                  <c:v>промышленность</c:v>
                </c:pt>
              </c:strCache>
            </c:strRef>
          </c:cat>
          <c:val>
            <c:numRef>
              <c:f>Лист1!$B$2:$B$20</c:f>
              <c:numCache>
                <c:formatCode>#,##0.0</c:formatCode>
                <c:ptCount val="19"/>
                <c:pt idx="0">
                  <c:v>4642.2</c:v>
                </c:pt>
                <c:pt idx="1">
                  <c:v>3727.2</c:v>
                </c:pt>
                <c:pt idx="2">
                  <c:v>3887.1</c:v>
                </c:pt>
                <c:pt idx="3">
                  <c:v>3712.5</c:v>
                </c:pt>
                <c:pt idx="4">
                  <c:v>5689.2</c:v>
                </c:pt>
                <c:pt idx="5">
                  <c:v>3129.5</c:v>
                </c:pt>
                <c:pt idx="6">
                  <c:v>3298.5</c:v>
                </c:pt>
                <c:pt idx="7">
                  <c:v>4327.6000000000004</c:v>
                </c:pt>
                <c:pt idx="8">
                  <c:v>8897.6</c:v>
                </c:pt>
                <c:pt idx="9">
                  <c:v>4421</c:v>
                </c:pt>
                <c:pt idx="10">
                  <c:v>11130.3</c:v>
                </c:pt>
                <c:pt idx="11">
                  <c:v>1441.7</c:v>
                </c:pt>
                <c:pt idx="12">
                  <c:v>5038.1000000000004</c:v>
                </c:pt>
                <c:pt idx="13">
                  <c:v>3068.7</c:v>
                </c:pt>
                <c:pt idx="14">
                  <c:v>5607.9</c:v>
                </c:pt>
                <c:pt idx="15">
                  <c:v>6938.9</c:v>
                </c:pt>
                <c:pt idx="16">
                  <c:v>4285.1000000000004</c:v>
                </c:pt>
                <c:pt idx="17">
                  <c:v>4116.3</c:v>
                </c:pt>
                <c:pt idx="18">
                  <c:v>4120</c:v>
                </c:pt>
              </c:numCache>
            </c:numRef>
          </c:val>
          <c:extLst>
            <c:ext xmlns:c15="http://schemas.microsoft.com/office/drawing/2012/chart" uri="{02D57815-91ED-43cb-92C2-25804820EDAC}">
              <c15:datalabelsRange>
                <c15:f>Лист1!$E$2:$E$20</c15:f>
                <c15:dlblRangeCache>
                  <c:ptCount val="19"/>
                  <c:pt idx="0">
                    <c:v>18,5%</c:v>
                  </c:pt>
                  <c:pt idx="1">
                    <c:v>20,0%</c:v>
                  </c:pt>
                  <c:pt idx="2">
                    <c:v>25,8%</c:v>
                  </c:pt>
                  <c:pt idx="3">
                    <c:v>-0,9%</c:v>
                  </c:pt>
                  <c:pt idx="4">
                    <c:v>18,4%</c:v>
                  </c:pt>
                  <c:pt idx="5">
                    <c:v>-6,2%</c:v>
                  </c:pt>
                  <c:pt idx="6">
                    <c:v>4,9%</c:v>
                  </c:pt>
                  <c:pt idx="7">
                    <c:v>10,0%</c:v>
                  </c:pt>
                  <c:pt idx="8">
                    <c:v>8,2%</c:v>
                  </c:pt>
                  <c:pt idx="9">
                    <c:v>6,3%</c:v>
                  </c:pt>
                  <c:pt idx="10">
                    <c:v>18,3%</c:v>
                  </c:pt>
                  <c:pt idx="11">
                    <c:v>98,9%</c:v>
                  </c:pt>
                  <c:pt idx="12">
                    <c:v>-1,3%</c:v>
                  </c:pt>
                  <c:pt idx="13">
                    <c:v>8,7%</c:v>
                  </c:pt>
                  <c:pt idx="14">
                    <c:v>1,3%</c:v>
                  </c:pt>
                  <c:pt idx="15">
                    <c:v>19,4%</c:v>
                  </c:pt>
                  <c:pt idx="16">
                    <c:v>-5,9%</c:v>
                  </c:pt>
                  <c:pt idx="17">
                    <c:v>17,6%</c:v>
                  </c:pt>
                  <c:pt idx="18">
                    <c:v>7,6%</c:v>
                  </c:pt>
                </c15:dlblRangeCache>
              </c15:datalabelsRange>
            </c:ext>
            <c:ext xmlns:c16="http://schemas.microsoft.com/office/drawing/2014/chart" uri="{C3380CC4-5D6E-409C-BE32-E72D297353CC}">
              <c16:uniqueId val="{00000013-6F9A-4B77-ABE3-89B9CFEAD705}"/>
            </c:ext>
          </c:extLst>
        </c:ser>
        <c:ser>
          <c:idx val="1"/>
          <c:order val="1"/>
          <c:tx>
            <c:strRef>
              <c:f>Лист1!$C$1</c:f>
              <c:strCache>
                <c:ptCount val="1"/>
                <c:pt idx="0">
                  <c:v>2020 год</c:v>
                </c:pt>
              </c:strCache>
            </c:strRef>
          </c:tx>
          <c:spPr>
            <a:solidFill>
              <a:schemeClr val="bg1">
                <a:lumMod val="85000"/>
              </a:schemeClr>
            </a:solidFill>
            <a:ln>
              <a:noFill/>
            </a:ln>
            <a:effectLst/>
          </c:spPr>
          <c:invertIfNegative val="0"/>
          <c:cat>
            <c:strRef>
              <c:f>Лист1!$A$2:$A$20</c:f>
              <c:strCache>
                <c:ptCount val="19"/>
                <c:pt idx="0">
                  <c:v>прочие виды деятельности</c:v>
                </c:pt>
                <c:pt idx="1">
                  <c:v>физкультура, отдых и туризм</c:v>
                </c:pt>
                <c:pt idx="2">
                  <c:v>культура и искусство</c:v>
                </c:pt>
                <c:pt idx="3">
                  <c:v>образование</c:v>
                </c:pt>
                <c:pt idx="4">
                  <c:v>здравоохранение и соц. обеспечение</c:v>
                </c:pt>
                <c:pt idx="5">
                  <c:v>непроизвод. виды быт. обслуживания</c:v>
                </c:pt>
                <c:pt idx="6">
                  <c:v>ЖКХ</c:v>
                </c:pt>
                <c:pt idx="7">
                  <c:v>редакции и издательства</c:v>
                </c:pt>
                <c:pt idx="8">
                  <c:v>общая комерческая деятельность</c:v>
                </c:pt>
                <c:pt idx="9">
                  <c:v>операции с недвиж.имуществом</c:v>
                </c:pt>
                <c:pt idx="10">
                  <c:v>информационно-выч. обслуживание</c:v>
                </c:pt>
                <c:pt idx="11">
                  <c:v>заготовки</c:v>
                </c:pt>
                <c:pt idx="12">
                  <c:v>материально-тех. снабжение и сбыт</c:v>
                </c:pt>
                <c:pt idx="13">
                  <c:v>торговля и общепит</c:v>
                </c:pt>
                <c:pt idx="14">
                  <c:v>строительство</c:v>
                </c:pt>
                <c:pt idx="15">
                  <c:v>связь</c:v>
                </c:pt>
                <c:pt idx="16">
                  <c:v>транспорт</c:v>
                </c:pt>
                <c:pt idx="17">
                  <c:v>сельское хозяйство</c:v>
                </c:pt>
                <c:pt idx="18">
                  <c:v>промышленность</c:v>
                </c:pt>
              </c:strCache>
            </c:strRef>
          </c:cat>
          <c:val>
            <c:numRef>
              <c:f>Лист1!$C$2:$C$20</c:f>
              <c:numCache>
                <c:formatCode>#,##0.0</c:formatCode>
                <c:ptCount val="19"/>
                <c:pt idx="0">
                  <c:v>3916</c:v>
                </c:pt>
                <c:pt idx="1">
                  <c:v>3106.2</c:v>
                </c:pt>
                <c:pt idx="2">
                  <c:v>3090.6</c:v>
                </c:pt>
                <c:pt idx="3">
                  <c:v>3747.6</c:v>
                </c:pt>
                <c:pt idx="4">
                  <c:v>4806.1000000000004</c:v>
                </c:pt>
                <c:pt idx="5">
                  <c:v>3336.7</c:v>
                </c:pt>
                <c:pt idx="6">
                  <c:v>3143.4</c:v>
                </c:pt>
                <c:pt idx="7">
                  <c:v>3935.8</c:v>
                </c:pt>
                <c:pt idx="8">
                  <c:v>8222.2999999999993</c:v>
                </c:pt>
                <c:pt idx="9">
                  <c:v>4159.3</c:v>
                </c:pt>
                <c:pt idx="10">
                  <c:v>9404.9</c:v>
                </c:pt>
                <c:pt idx="11">
                  <c:v>725</c:v>
                </c:pt>
                <c:pt idx="12">
                  <c:v>5105.3999999999996</c:v>
                </c:pt>
                <c:pt idx="13">
                  <c:v>2823.2</c:v>
                </c:pt>
                <c:pt idx="14">
                  <c:v>5535</c:v>
                </c:pt>
                <c:pt idx="15">
                  <c:v>5813.1</c:v>
                </c:pt>
                <c:pt idx="16">
                  <c:v>4552</c:v>
                </c:pt>
                <c:pt idx="17">
                  <c:v>3500.8</c:v>
                </c:pt>
                <c:pt idx="18">
                  <c:v>3827.7</c:v>
                </c:pt>
              </c:numCache>
            </c:numRef>
          </c:val>
          <c:extLst>
            <c:ext xmlns:c16="http://schemas.microsoft.com/office/drawing/2014/chart" uri="{C3380CC4-5D6E-409C-BE32-E72D297353CC}">
              <c16:uniqueId val="{00000014-6F9A-4B77-ABE3-89B9CFEAD705}"/>
            </c:ext>
          </c:extLst>
        </c:ser>
        <c:dLbls>
          <c:showLegendKey val="0"/>
          <c:showVal val="0"/>
          <c:showCatName val="0"/>
          <c:showSerName val="0"/>
          <c:showPercent val="0"/>
          <c:showBubbleSize val="0"/>
        </c:dLbls>
        <c:gapWidth val="92"/>
        <c:axId val="1103434912"/>
        <c:axId val="191510192"/>
      </c:barChart>
      <c:catAx>
        <c:axId val="110343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1510192"/>
        <c:crosses val="autoZero"/>
        <c:auto val="1"/>
        <c:lblAlgn val="ctr"/>
        <c:lblOffset val="100"/>
        <c:noMultiLvlLbl val="0"/>
      </c:catAx>
      <c:valAx>
        <c:axId val="191510192"/>
        <c:scaling>
          <c:orientation val="minMax"/>
        </c:scaling>
        <c:delete val="0"/>
        <c:axPos val="b"/>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0343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79811898512687"/>
          <c:y val="4.3650793650793648E-2"/>
          <c:w val="0.53685002916302127"/>
          <c:h val="0.82593113360829895"/>
        </c:manualLayout>
      </c:layout>
      <c:barChart>
        <c:barDir val="bar"/>
        <c:grouping val="clustered"/>
        <c:varyColors val="0"/>
        <c:ser>
          <c:idx val="0"/>
          <c:order val="0"/>
          <c:tx>
            <c:strRef>
              <c:f>Лист1!$B$1</c:f>
              <c:strCache>
                <c:ptCount val="1"/>
                <c:pt idx="0">
                  <c:v>2020 год</c:v>
                </c:pt>
              </c:strCache>
            </c:strRef>
          </c:tx>
          <c:spPr>
            <a:solidFill>
              <a:schemeClr val="bg1">
                <a:lumMod val="85000"/>
              </a:schemeClr>
            </a:solidFill>
            <a:ln>
              <a:noFill/>
            </a:ln>
            <a:effectLst/>
          </c:spPr>
          <c:invertIfNegative val="0"/>
          <c:cat>
            <c:strRef>
              <c:f>Лист1!$A$2:$A$12</c:f>
              <c:strCache>
                <c:ptCount val="11"/>
                <c:pt idx="0">
                  <c:v>промышленность</c:v>
                </c:pt>
                <c:pt idx="1">
                  <c:v>сельское хозяйство</c:v>
                </c:pt>
                <c:pt idx="2">
                  <c:v>строительство</c:v>
                </c:pt>
                <c:pt idx="3">
                  <c:v>торговля и общепит</c:v>
                </c:pt>
                <c:pt idx="4">
                  <c:v>транспорт</c:v>
                </c:pt>
                <c:pt idx="5">
                  <c:v>информационно-
вычислительное обслуживание</c:v>
                </c:pt>
                <c:pt idx="6">
                  <c:v>операции с недвижимым имуществом</c:v>
                </c:pt>
                <c:pt idx="7">
                  <c:v>жилищно-коммунальное хозяйство</c:v>
                </c:pt>
                <c:pt idx="8">
                  <c:v>здравоохранение и социальное обеспечение</c:v>
                </c:pt>
                <c:pt idx="9">
                  <c:v>культура и искусство</c:v>
                </c:pt>
                <c:pt idx="10">
                  <c:v>физкультура, отдых и туризм</c:v>
                </c:pt>
              </c:strCache>
            </c:strRef>
          </c:cat>
          <c:val>
            <c:numRef>
              <c:f>Лист1!$B$2:$B$12</c:f>
              <c:numCache>
                <c:formatCode>#,##0.0</c:formatCode>
                <c:ptCount val="11"/>
                <c:pt idx="0">
                  <c:v>35036.9</c:v>
                </c:pt>
                <c:pt idx="1">
                  <c:v>167321.4</c:v>
                </c:pt>
                <c:pt idx="2">
                  <c:v>40721.699999999997</c:v>
                </c:pt>
                <c:pt idx="3">
                  <c:v>33873.9</c:v>
                </c:pt>
                <c:pt idx="4">
                  <c:v>25248</c:v>
                </c:pt>
                <c:pt idx="5">
                  <c:v>15965</c:v>
                </c:pt>
                <c:pt idx="6">
                  <c:v>21506</c:v>
                </c:pt>
                <c:pt idx="7">
                  <c:v>39714</c:v>
                </c:pt>
                <c:pt idx="8">
                  <c:v>42219</c:v>
                </c:pt>
                <c:pt idx="9">
                  <c:v>224345</c:v>
                </c:pt>
                <c:pt idx="10">
                  <c:v>86603</c:v>
                </c:pt>
              </c:numCache>
            </c:numRef>
          </c:val>
          <c:extLst>
            <c:ext xmlns:c16="http://schemas.microsoft.com/office/drawing/2014/chart" uri="{C3380CC4-5D6E-409C-BE32-E72D297353CC}">
              <c16:uniqueId val="{00000000-6738-4836-8A3B-FCEB460A4A3B}"/>
            </c:ext>
          </c:extLst>
        </c:ser>
        <c:ser>
          <c:idx val="1"/>
          <c:order val="1"/>
          <c:tx>
            <c:strRef>
              <c:f>Лист1!$C$1</c:f>
              <c:strCache>
                <c:ptCount val="1"/>
                <c:pt idx="0">
                  <c:v>2021 год</c:v>
                </c:pt>
              </c:strCache>
            </c:strRef>
          </c:tx>
          <c:spPr>
            <a:solidFill>
              <a:schemeClr val="tx1">
                <a:lumMod val="65000"/>
                <a:lumOff val="35000"/>
              </a:schemeClr>
            </a:solidFill>
            <a:ln>
              <a:noFill/>
            </a:ln>
            <a:effectLst/>
          </c:spPr>
          <c:invertIfNegative val="0"/>
          <c:dLbls>
            <c:dLbl>
              <c:idx val="0"/>
              <c:tx>
                <c:rich>
                  <a:bodyPr/>
                  <a:lstStyle/>
                  <a:p>
                    <a:r>
                      <a:rPr lang="en-US"/>
                      <a:t>+</a:t>
                    </a:r>
                    <a:fld id="{6B29B9BC-87DB-4792-BAFC-8BF2D04D8488}"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738-4836-8A3B-FCEB460A4A3B}"/>
                </c:ext>
              </c:extLst>
            </c:dLbl>
            <c:dLbl>
              <c:idx val="1"/>
              <c:tx>
                <c:rich>
                  <a:bodyPr/>
                  <a:lstStyle/>
                  <a:p>
                    <a:r>
                      <a:rPr lang="en-US"/>
                      <a:t>+</a:t>
                    </a:r>
                    <a:fld id="{4956E8AE-F39D-477B-8D98-B7501D27CB7F}"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738-4836-8A3B-FCEB460A4A3B}"/>
                </c:ext>
              </c:extLst>
            </c:dLbl>
            <c:dLbl>
              <c:idx val="2"/>
              <c:tx>
                <c:rich>
                  <a:bodyPr/>
                  <a:lstStyle/>
                  <a:p>
                    <a:r>
                      <a:rPr lang="en-US"/>
                      <a:t>+</a:t>
                    </a:r>
                    <a:fld id="{758D04B8-CDA9-4703-8BE3-B89D62A586EE}"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738-4836-8A3B-FCEB460A4A3B}"/>
                </c:ext>
              </c:extLst>
            </c:dLbl>
            <c:dLbl>
              <c:idx val="3"/>
              <c:tx>
                <c:rich>
                  <a:bodyPr/>
                  <a:lstStyle/>
                  <a:p>
                    <a:fld id="{F161705E-19E0-4FB3-BC70-19CBDF5CF6E1}"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738-4836-8A3B-FCEB460A4A3B}"/>
                </c:ext>
              </c:extLst>
            </c:dLbl>
            <c:dLbl>
              <c:idx val="4"/>
              <c:tx>
                <c:rich>
                  <a:bodyPr/>
                  <a:lstStyle/>
                  <a:p>
                    <a:r>
                      <a:rPr lang="en-US"/>
                      <a:t>+</a:t>
                    </a:r>
                    <a:fld id="{766732FF-F4A0-4C14-BAD1-23B235142B82}" type="CELLRANGE">
                      <a:rPr lang="en-US"/>
                      <a:pPr/>
                      <a:t>[ДИАПАЗОН ЯЧЕЕК]</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738-4836-8A3B-FCEB460A4A3B}"/>
                </c:ext>
              </c:extLst>
            </c:dLbl>
            <c:dLbl>
              <c:idx val="5"/>
              <c:tx>
                <c:rich>
                  <a:bodyPr/>
                  <a:lstStyle/>
                  <a:p>
                    <a:fld id="{C6EAC3BD-6B3D-4C8C-804A-168FB3B1936F}"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738-4836-8A3B-FCEB460A4A3B}"/>
                </c:ext>
              </c:extLst>
            </c:dLbl>
            <c:dLbl>
              <c:idx val="6"/>
              <c:tx>
                <c:rich>
                  <a:bodyPr/>
                  <a:lstStyle/>
                  <a:p>
                    <a:fld id="{C61DF477-5DA4-43F6-92E3-5475069757A7}"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738-4836-8A3B-FCEB460A4A3B}"/>
                </c:ext>
              </c:extLst>
            </c:dLbl>
            <c:dLbl>
              <c:idx val="7"/>
              <c:tx>
                <c:rich>
                  <a:bodyPr/>
                  <a:lstStyle/>
                  <a:p>
                    <a:fld id="{786CA859-D9E4-4261-9EE8-2F4C678907EF}"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738-4836-8A3B-FCEB460A4A3B}"/>
                </c:ext>
              </c:extLst>
            </c:dLbl>
            <c:dLbl>
              <c:idx val="8"/>
              <c:tx>
                <c:rich>
                  <a:bodyPr/>
                  <a:lstStyle/>
                  <a:p>
                    <a:fld id="{1465EECC-3D8C-4180-840C-949750173EA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738-4836-8A3B-FCEB460A4A3B}"/>
                </c:ext>
              </c:extLst>
            </c:dLbl>
            <c:dLbl>
              <c:idx val="9"/>
              <c:tx>
                <c:rich>
                  <a:bodyPr/>
                  <a:lstStyle/>
                  <a:p>
                    <a:fld id="{DA279D1D-ACCC-4287-B3F0-B752E4BE275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738-4836-8A3B-FCEB460A4A3B}"/>
                </c:ext>
              </c:extLst>
            </c:dLbl>
            <c:dLbl>
              <c:idx val="10"/>
              <c:tx>
                <c:rich>
                  <a:bodyPr/>
                  <a:lstStyle/>
                  <a:p>
                    <a:fld id="{7F53CCBA-2FA7-4F5B-B65C-81A9DA4B2740}"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738-4836-8A3B-FCEB460A4A3B}"/>
                </c:ext>
              </c:extLst>
            </c:dLbl>
            <c:spPr>
              <a:solidFill>
                <a:schemeClr val="lt1"/>
              </a:solidFill>
              <a:ln w="3175">
                <a:solidFill>
                  <a:schemeClr val="tx1"/>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DataLabelsRange val="1"/>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промышленность</c:v>
                </c:pt>
                <c:pt idx="1">
                  <c:v>сельское хозяйство</c:v>
                </c:pt>
                <c:pt idx="2">
                  <c:v>строительство</c:v>
                </c:pt>
                <c:pt idx="3">
                  <c:v>торговля и общепит</c:v>
                </c:pt>
                <c:pt idx="4">
                  <c:v>транспорт</c:v>
                </c:pt>
                <c:pt idx="5">
                  <c:v>информационно-
вычислительное обслуживание</c:v>
                </c:pt>
                <c:pt idx="6">
                  <c:v>операции с недвижимым имуществом</c:v>
                </c:pt>
                <c:pt idx="7">
                  <c:v>жилищно-коммунальное хозяйство</c:v>
                </c:pt>
                <c:pt idx="8">
                  <c:v>здравоохранение и социальное обеспечение</c:v>
                </c:pt>
                <c:pt idx="9">
                  <c:v>культура и искусство</c:v>
                </c:pt>
                <c:pt idx="10">
                  <c:v>физкультура, отдых и туризм</c:v>
                </c:pt>
              </c:strCache>
            </c:strRef>
          </c:cat>
          <c:val>
            <c:numRef>
              <c:f>Лист1!$C$2:$C$12</c:f>
              <c:numCache>
                <c:formatCode>#,##0.0</c:formatCode>
                <c:ptCount val="11"/>
                <c:pt idx="0">
                  <c:v>44423.9</c:v>
                </c:pt>
                <c:pt idx="1">
                  <c:v>246938.8</c:v>
                </c:pt>
                <c:pt idx="2">
                  <c:v>55097.2</c:v>
                </c:pt>
                <c:pt idx="3">
                  <c:v>32143.4</c:v>
                </c:pt>
                <c:pt idx="4">
                  <c:v>28851</c:v>
                </c:pt>
                <c:pt idx="5">
                  <c:v>119443</c:v>
                </c:pt>
                <c:pt idx="6">
                  <c:v>42470</c:v>
                </c:pt>
                <c:pt idx="7">
                  <c:v>37732</c:v>
                </c:pt>
                <c:pt idx="8">
                  <c:v>96520</c:v>
                </c:pt>
                <c:pt idx="9">
                  <c:v>21726</c:v>
                </c:pt>
                <c:pt idx="10">
                  <c:v>47214</c:v>
                </c:pt>
              </c:numCache>
            </c:numRef>
          </c:val>
          <c:extLst>
            <c:ext xmlns:c15="http://schemas.microsoft.com/office/drawing/2012/chart" uri="{02D57815-91ED-43cb-92C2-25804820EDAC}">
              <c15:datalabelsRange>
                <c15:f>Лист1!$E$2:$E$13</c15:f>
                <c15:dlblRangeCache>
                  <c:ptCount val="12"/>
                  <c:pt idx="0">
                    <c:v>26,8%</c:v>
                  </c:pt>
                  <c:pt idx="1">
                    <c:v>47,6%</c:v>
                  </c:pt>
                  <c:pt idx="2">
                    <c:v>35,3%</c:v>
                  </c:pt>
                  <c:pt idx="3">
                    <c:v>-5,1%</c:v>
                  </c:pt>
                  <c:pt idx="4">
                    <c:v>14,3%</c:v>
                  </c:pt>
                  <c:pt idx="5">
                    <c:v>в 7,5 р.</c:v>
                  </c:pt>
                  <c:pt idx="6">
                    <c:v>в 2,0 р.</c:v>
                  </c:pt>
                  <c:pt idx="7">
                    <c:v>-5,0%</c:v>
                  </c:pt>
                  <c:pt idx="8">
                    <c:v>в 2,3 р.</c:v>
                  </c:pt>
                  <c:pt idx="9">
                    <c:v>-90,3%</c:v>
                  </c:pt>
                  <c:pt idx="10">
                    <c:v>-45,5%</c:v>
                  </c:pt>
                  <c:pt idx="11">
                    <c:v>-7,8%</c:v>
                  </c:pt>
                </c15:dlblRangeCache>
              </c15:datalabelsRange>
            </c:ext>
            <c:ext xmlns:c16="http://schemas.microsoft.com/office/drawing/2014/chart" uri="{C3380CC4-5D6E-409C-BE32-E72D297353CC}">
              <c16:uniqueId val="{0000000C-6738-4836-8A3B-FCEB460A4A3B}"/>
            </c:ext>
          </c:extLst>
        </c:ser>
        <c:dLbls>
          <c:showLegendKey val="0"/>
          <c:showVal val="0"/>
          <c:showCatName val="0"/>
          <c:showSerName val="0"/>
          <c:showPercent val="0"/>
          <c:showBubbleSize val="0"/>
        </c:dLbls>
        <c:gapWidth val="113"/>
        <c:axId val="290747455"/>
        <c:axId val="283369551"/>
      </c:barChart>
      <c:catAx>
        <c:axId val="2907474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3369551"/>
        <c:crosses val="autoZero"/>
        <c:auto val="1"/>
        <c:lblAlgn val="ctr"/>
        <c:lblOffset val="100"/>
        <c:noMultiLvlLbl val="0"/>
      </c:catAx>
      <c:valAx>
        <c:axId val="283369551"/>
        <c:scaling>
          <c:orientation val="minMax"/>
        </c:scaling>
        <c:delete val="1"/>
        <c:axPos val="t"/>
        <c:numFmt formatCode="#,##0.0" sourceLinked="1"/>
        <c:majorTickMark val="none"/>
        <c:minorTickMark val="none"/>
        <c:tickLblPos val="nextTo"/>
        <c:crossAx val="290747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
          <c:y val="9.3395191444217984E-2"/>
          <c:w val="1"/>
          <c:h val="0.79126009133948749"/>
        </c:manualLayout>
      </c:layout>
      <c:barChart>
        <c:barDir val="col"/>
        <c:grouping val="clustered"/>
        <c:varyColors val="0"/>
        <c:ser>
          <c:idx val="0"/>
          <c:order val="0"/>
          <c:tx>
            <c:strRef>
              <c:f>Лист1!$B$1</c:f>
              <c:strCache>
                <c:ptCount val="1"/>
                <c:pt idx="0">
                  <c:v>Столбец1</c:v>
                </c:pt>
              </c:strCache>
            </c:strRef>
          </c:tx>
          <c:spPr>
            <a:solidFill>
              <a:schemeClr val="accent3">
                <a:tint val="50000"/>
              </a:schemeClr>
            </a:solidFill>
            <a:ln>
              <a:noFill/>
            </a:ln>
            <a:effectLst/>
            <a:scene3d>
              <a:camera prst="orthographicFront"/>
              <a:lightRig rig="threePt" dir="t"/>
            </a:scene3d>
            <a:sp3d>
              <a:bevelT w="101600" h="38100"/>
              <a:contourClr>
                <a:srgbClr val="000000"/>
              </a:contourClr>
            </a:sp3d>
          </c:spPr>
          <c:invertIfNegative val="0"/>
          <c:dLbls>
            <c:dLbl>
              <c:idx val="3"/>
              <c:layout>
                <c:manualLayout>
                  <c:x val="-1.9123461822418287E-3"/>
                  <c:y val="4.87201747174518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7C-4D75-9537-EDFF39ADDCA5}"/>
                </c:ext>
              </c:extLst>
            </c:dLbl>
            <c:dLbl>
              <c:idx val="4"/>
              <c:layout>
                <c:manualLayout>
                  <c:x val="5.54203502653415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7C-4D75-9537-EDFF39ADDCA5}"/>
                </c:ext>
              </c:extLst>
            </c:dLbl>
            <c:dLbl>
              <c:idx val="6"/>
              <c:layout>
                <c:manualLayout>
                  <c:x val="5.54203502653415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7C-4D75-9537-EDFF39ADDCA5}"/>
                </c:ext>
              </c:extLst>
            </c:dLbl>
            <c:dLbl>
              <c:idx val="7"/>
              <c:layout>
                <c:manualLayout>
                  <c:x val="1.84734500884472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7C-4D75-9537-EDFF39ADDCA5}"/>
                </c:ext>
              </c:extLst>
            </c:dLbl>
            <c:dLbl>
              <c:idx val="8"/>
              <c:layout>
                <c:manualLayout>
                  <c:x val="5.54203502653415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7C-4D75-9537-EDFF39ADDCA5}"/>
                </c:ext>
              </c:extLst>
            </c:dLbl>
            <c:dLbl>
              <c:idx val="9"/>
              <c:layout>
                <c:manualLayout>
                  <c:x val="3.6946900176894528E-3"/>
                  <c:y val="2.23186487696717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7C-4D75-9537-EDFF39ADDCA5}"/>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инфляция</c:v>
                </c:pt>
                <c:pt idx="1">
                  <c:v>продовольственные товары</c:v>
                </c:pt>
                <c:pt idx="2">
                  <c:v>непродовольственные товары</c:v>
                </c:pt>
                <c:pt idx="3">
                  <c:v>услуги</c:v>
                </c:pt>
              </c:strCache>
            </c:strRef>
          </c:cat>
          <c:val>
            <c:numRef>
              <c:f>Лист1!$B$2:$B$5</c:f>
            </c:numRef>
          </c:val>
          <c:extLst>
            <c:ext xmlns:c16="http://schemas.microsoft.com/office/drawing/2014/chart" uri="{C3380CC4-5D6E-409C-BE32-E72D297353CC}">
              <c16:uniqueId val="{00000006-FC7C-4D75-9537-EDFF39ADDCA5}"/>
            </c:ext>
          </c:extLst>
        </c:ser>
        <c:ser>
          <c:idx val="1"/>
          <c:order val="1"/>
          <c:tx>
            <c:strRef>
              <c:f>Лист1!$C$1</c:f>
              <c:strCache>
                <c:ptCount val="1"/>
                <c:pt idx="0">
                  <c:v>2017 год</c:v>
                </c:pt>
              </c:strCache>
            </c:strRef>
          </c:tx>
          <c:spPr>
            <a:solidFill>
              <a:schemeClr val="accent3">
                <a:tint val="70000"/>
              </a:schemeClr>
            </a:solidFill>
            <a:ln>
              <a:noFill/>
            </a:ln>
            <a:effectLst/>
            <a:scene3d>
              <a:camera prst="orthographicFront"/>
              <a:lightRig rig="threePt" dir="t"/>
            </a:scene3d>
          </c:spPr>
          <c:invertIfNegative val="0"/>
          <c:dLbls>
            <c:dLbl>
              <c:idx val="0"/>
              <c:layout>
                <c:manualLayout>
                  <c:x val="-1.9795275590551206E-4"/>
                  <c:y val="8.90369473046636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7C-4D75-9537-EDFF39ADDCA5}"/>
                </c:ext>
              </c:extLst>
            </c:dLbl>
            <c:dLbl>
              <c:idx val="1"/>
              <c:layout>
                <c:manualLayout>
                  <c:x val="-2.1625196850394088E-3"/>
                  <c:y val="2.8300507529397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7C-4D75-9537-EDFF39ADDCA5}"/>
                </c:ext>
              </c:extLst>
            </c:dLbl>
            <c:dLbl>
              <c:idx val="2"/>
              <c:layout>
                <c:manualLayout>
                  <c:x val="-4.1598425196851131E-3"/>
                  <c:y val="4.7926369946462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7C-4D75-9537-EDFF39ADDCA5}"/>
                </c:ext>
              </c:extLst>
            </c:dLbl>
            <c:dLbl>
              <c:idx val="3"/>
              <c:layout>
                <c:manualLayout>
                  <c:x val="-4.1686614173229814E-3"/>
                  <c:y val="2.4641979434268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7C-4D75-9537-EDFF39ADDCA5}"/>
                </c:ext>
              </c:extLst>
            </c:dLbl>
            <c:dLbl>
              <c:idx val="4"/>
              <c:layout>
                <c:manualLayout>
                  <c:x val="9.5617309112090189E-3"/>
                  <c:y val="9.7440349434903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7C-4D75-9537-EDFF39ADDCA5}"/>
                </c:ext>
              </c:extLst>
            </c:dLbl>
            <c:dLbl>
              <c:idx val="5"/>
              <c:layout>
                <c:manualLayout>
                  <c:x val="1.1474077093450739E-2"/>
                  <c:y val="4.87201747174518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C7C-4D75-9537-EDFF39ADDCA5}"/>
                </c:ext>
              </c:extLst>
            </c:dLbl>
            <c:dLbl>
              <c:idx val="6"/>
              <c:layout>
                <c:manualLayout>
                  <c:x val="1.1474077093450811E-2"/>
                  <c:y val="1.46160524152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7C-4D75-9537-EDFF39ADDCA5}"/>
                </c:ext>
              </c:extLst>
            </c:dLbl>
            <c:dLbl>
              <c:idx val="7"/>
              <c:layout>
                <c:manualLayout>
                  <c:x val="1.3386423275692581E-2"/>
                  <c:y val="1.4616052415235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C7C-4D75-9537-EDFF39ADDCA5}"/>
                </c:ext>
              </c:extLst>
            </c:dLbl>
            <c:dLbl>
              <c:idx val="8"/>
              <c:layout>
                <c:manualLayout>
                  <c:x val="1.1474077093450739E-2"/>
                  <c:y val="9.74403494349035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C7C-4D75-9537-EDFF39ADDCA5}"/>
                </c:ext>
              </c:extLst>
            </c:dLbl>
            <c:dLbl>
              <c:idx val="9"/>
              <c:layout>
                <c:manualLayout>
                  <c:x val="9.5617309112090189E-3"/>
                  <c:y val="9.74403494349035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C7C-4D75-9537-EDFF39ADDCA5}"/>
                </c:ext>
              </c:extLst>
            </c:dLbl>
            <c:dLbl>
              <c:idx val="10"/>
              <c:layout>
                <c:manualLayout>
                  <c:x val="9.5617309112090189E-3"/>
                  <c:y val="4.87201747174518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C7C-4D75-9537-EDFF39ADDCA5}"/>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инфляция</c:v>
                </c:pt>
                <c:pt idx="1">
                  <c:v>продовольственные товары</c:v>
                </c:pt>
                <c:pt idx="2">
                  <c:v>непродовольственные товары</c:v>
                </c:pt>
                <c:pt idx="3">
                  <c:v>услуги</c:v>
                </c:pt>
              </c:strCache>
            </c:strRef>
          </c:cat>
          <c:val>
            <c:numRef>
              <c:f>Лист1!$C$2:$C$5</c:f>
              <c:numCache>
                <c:formatCode>0.00</c:formatCode>
                <c:ptCount val="4"/>
                <c:pt idx="0">
                  <c:v>11.82</c:v>
                </c:pt>
                <c:pt idx="1">
                  <c:v>19.72</c:v>
                </c:pt>
                <c:pt idx="2">
                  <c:v>9.92</c:v>
                </c:pt>
                <c:pt idx="3">
                  <c:v>1.68</c:v>
                </c:pt>
              </c:numCache>
            </c:numRef>
          </c:val>
          <c:extLst>
            <c:ext xmlns:c16="http://schemas.microsoft.com/office/drawing/2014/chart" uri="{C3380CC4-5D6E-409C-BE32-E72D297353CC}">
              <c16:uniqueId val="{00000012-FC7C-4D75-9537-EDFF39ADDCA5}"/>
            </c:ext>
          </c:extLst>
        </c:ser>
        <c:ser>
          <c:idx val="2"/>
          <c:order val="2"/>
          <c:tx>
            <c:strRef>
              <c:f>Лист1!$D$1</c:f>
              <c:strCache>
                <c:ptCount val="1"/>
                <c:pt idx="0">
                  <c:v>2018 год</c:v>
                </c:pt>
              </c:strCache>
            </c:strRef>
          </c:tx>
          <c:spPr>
            <a:solidFill>
              <a:schemeClr val="accent3">
                <a:tint val="90000"/>
              </a:schemeClr>
            </a:solidFill>
            <a:ln>
              <a:noFill/>
            </a:ln>
            <a:effectLst/>
            <a:scene3d>
              <a:camera prst="orthographicFront"/>
              <a:lightRig rig="threePt" dir="t"/>
            </a:scene3d>
          </c:spPr>
          <c:invertIfNegative val="0"/>
          <c:dLbls>
            <c:dLbl>
              <c:idx val="0"/>
              <c:layout>
                <c:manualLayout>
                  <c:x val="5.0771653543306232E-4"/>
                  <c:y val="4.05241413517879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C7C-4D75-9537-EDFF39ADDCA5}"/>
                </c:ext>
              </c:extLst>
            </c:dLbl>
            <c:dLbl>
              <c:idx val="1"/>
              <c:layout>
                <c:manualLayout>
                  <c:x val="1.3256692913385826E-3"/>
                  <c:y val="-5.20409086795189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C7C-4D75-9537-EDFF39ADDCA5}"/>
                </c:ext>
              </c:extLst>
            </c:dLbl>
            <c:dLbl>
              <c:idx val="2"/>
              <c:layout>
                <c:manualLayout>
                  <c:x val="3.38960629921260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C7C-4D75-9537-EDFF39ADDCA5}"/>
                </c:ext>
              </c:extLst>
            </c:dLbl>
            <c:dLbl>
              <c:idx val="3"/>
              <c:layout>
                <c:manualLayout>
                  <c:x val="-7.0803149606313894E-4"/>
                  <c:y val="-3.64216740811908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C7C-4D75-9537-EDFF39ADDCA5}"/>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Tahoma" pitchFamily="34"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инфляция</c:v>
                </c:pt>
                <c:pt idx="1">
                  <c:v>продовольственные товары</c:v>
                </c:pt>
                <c:pt idx="2">
                  <c:v>непродовольственные товары</c:v>
                </c:pt>
                <c:pt idx="3">
                  <c:v>услуги</c:v>
                </c:pt>
              </c:strCache>
            </c:strRef>
          </c:cat>
          <c:val>
            <c:numRef>
              <c:f>Лист1!$D$2:$D$5</c:f>
              <c:numCache>
                <c:formatCode>0.00</c:formatCode>
                <c:ptCount val="4"/>
                <c:pt idx="0">
                  <c:v>6.97</c:v>
                </c:pt>
                <c:pt idx="1">
                  <c:v>13.03</c:v>
                </c:pt>
                <c:pt idx="2">
                  <c:v>3.25</c:v>
                </c:pt>
                <c:pt idx="3">
                  <c:v>2.34</c:v>
                </c:pt>
              </c:numCache>
            </c:numRef>
          </c:val>
          <c:extLst>
            <c:ext xmlns:c16="http://schemas.microsoft.com/office/drawing/2014/chart" uri="{C3380CC4-5D6E-409C-BE32-E72D297353CC}">
              <c16:uniqueId val="{00000017-FC7C-4D75-9537-EDFF39ADDCA5}"/>
            </c:ext>
          </c:extLst>
        </c:ser>
        <c:ser>
          <c:idx val="3"/>
          <c:order val="3"/>
          <c:tx>
            <c:strRef>
              <c:f>Лист1!$E$1</c:f>
              <c:strCache>
                <c:ptCount val="1"/>
                <c:pt idx="0">
                  <c:v>2019 год</c:v>
                </c:pt>
              </c:strCache>
            </c:strRef>
          </c:tx>
          <c:spPr>
            <a:solidFill>
              <a:schemeClr val="accent3">
                <a:shade val="90000"/>
              </a:schemeClr>
            </a:solidFill>
            <a:ln>
              <a:noFill/>
            </a:ln>
            <a:effectLst/>
            <a:scene3d>
              <a:camera prst="orthographicFront"/>
              <a:lightRig rig="threePt" dir="t"/>
            </a:scene3d>
          </c:spPr>
          <c:invertIfNegative val="0"/>
          <c:dLbls>
            <c:dLbl>
              <c:idx val="0"/>
              <c:layout>
                <c:manualLayout>
                  <c:x val="1.5823622047243921E-3"/>
                  <c:y val="7.0678167881533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C7C-4D75-9537-EDFF39ADDCA5}"/>
                </c:ext>
              </c:extLst>
            </c:dLbl>
            <c:dLbl>
              <c:idx val="1"/>
              <c:layout>
                <c:manualLayout>
                  <c:x val="3.3735433070866162E-3"/>
                  <c:y val="3.33166245465997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C7C-4D75-9537-EDFF39ADDCA5}"/>
                </c:ext>
              </c:extLst>
            </c:dLbl>
            <c:dLbl>
              <c:idx val="2"/>
              <c:layout>
                <c:manualLayout>
                  <c:x val="4.1256636086500677E-3"/>
                  <c:y val="0.10008680980094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C7C-4D75-9537-EDFF39ADDCA5}"/>
                </c:ext>
              </c:extLst>
            </c:dLbl>
            <c:dLbl>
              <c:idx val="3"/>
              <c:layout>
                <c:manualLayout>
                  <c:x val="1.3081889763778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C7C-4D75-9537-EDFF39ADDCA5}"/>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инфляция</c:v>
                </c:pt>
                <c:pt idx="1">
                  <c:v>продовольственные товары</c:v>
                </c:pt>
                <c:pt idx="2">
                  <c:v>непродовольственные товары</c:v>
                </c:pt>
                <c:pt idx="3">
                  <c:v>услуги</c:v>
                </c:pt>
              </c:strCache>
            </c:strRef>
          </c:cat>
          <c:val>
            <c:numRef>
              <c:f>Лист1!$E$2:$E$5</c:f>
              <c:numCache>
                <c:formatCode>0.00</c:formatCode>
                <c:ptCount val="4"/>
                <c:pt idx="0">
                  <c:v>4.7</c:v>
                </c:pt>
                <c:pt idx="1">
                  <c:v>9.9499999999999993</c:v>
                </c:pt>
                <c:pt idx="2" formatCode="0.0000">
                  <c:v>-1E-4</c:v>
                </c:pt>
                <c:pt idx="3">
                  <c:v>2.79</c:v>
                </c:pt>
              </c:numCache>
            </c:numRef>
          </c:val>
          <c:extLst>
            <c:ext xmlns:c16="http://schemas.microsoft.com/office/drawing/2014/chart" uri="{C3380CC4-5D6E-409C-BE32-E72D297353CC}">
              <c16:uniqueId val="{0000001C-FC7C-4D75-9537-EDFF39ADDCA5}"/>
            </c:ext>
          </c:extLst>
        </c:ser>
        <c:ser>
          <c:idx val="4"/>
          <c:order val="4"/>
          <c:tx>
            <c:strRef>
              <c:f>Лист1!$F$1</c:f>
              <c:strCache>
                <c:ptCount val="1"/>
                <c:pt idx="0">
                  <c:v>2020 год</c:v>
                </c:pt>
              </c:strCache>
            </c:strRef>
          </c:tx>
          <c:spPr>
            <a:solidFill>
              <a:schemeClr val="accent3">
                <a:shade val="70000"/>
              </a:schemeClr>
            </a:solidFill>
            <a:ln>
              <a:noFill/>
            </a:ln>
            <a:effectLst/>
            <a:scene3d>
              <a:camera prst="orthographicFront"/>
              <a:lightRig rig="threePt" dir="t"/>
            </a:scene3d>
          </c:spPr>
          <c:invertIfNegative val="0"/>
          <c:dLbls>
            <c:dLbl>
              <c:idx val="0"/>
              <c:layout>
                <c:manualLayout>
                  <c:x val="1.3503975120244529E-3"/>
                  <c:y val="9.30992710791787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C7C-4D75-9537-EDFF39ADDCA5}"/>
                </c:ext>
              </c:extLst>
            </c:dLbl>
            <c:dLbl>
              <c:idx val="1"/>
              <c:layout>
                <c:manualLayout>
                  <c:x val="1.0834645669290605E-3"/>
                  <c:y val="3.72118604537828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C7C-4D75-9537-EDFF39ADDCA5}"/>
                </c:ext>
              </c:extLst>
            </c:dLbl>
            <c:dLbl>
              <c:idx val="2"/>
              <c:layout>
                <c:manualLayout>
                  <c:x val="-1.7100706422039101E-4"/>
                  <c:y val="1.0162325110231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C7C-4D75-9537-EDFF39ADDCA5}"/>
                </c:ext>
              </c:extLst>
            </c:dLbl>
            <c:dLbl>
              <c:idx val="3"/>
              <c:layout>
                <c:manualLayout>
                  <c:x val="1.3965354330708684E-3"/>
                  <c:y val="-8.10482827035757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C7C-4D75-9537-EDFF39ADDCA5}"/>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инфляция</c:v>
                </c:pt>
                <c:pt idx="1">
                  <c:v>продовольственные товары</c:v>
                </c:pt>
                <c:pt idx="2">
                  <c:v>непродовольственные товары</c:v>
                </c:pt>
                <c:pt idx="3">
                  <c:v>услуги</c:v>
                </c:pt>
              </c:strCache>
            </c:strRef>
          </c:cat>
          <c:val>
            <c:numRef>
              <c:f>Лист1!$F$2:$F$5</c:f>
              <c:numCache>
                <c:formatCode>0.00</c:formatCode>
                <c:ptCount val="4"/>
                <c:pt idx="0">
                  <c:v>1.45</c:v>
                </c:pt>
                <c:pt idx="1">
                  <c:v>2.29</c:v>
                </c:pt>
                <c:pt idx="2">
                  <c:v>0.09</c:v>
                </c:pt>
                <c:pt idx="3">
                  <c:v>1.87</c:v>
                </c:pt>
              </c:numCache>
            </c:numRef>
          </c:val>
          <c:extLst>
            <c:ext xmlns:c16="http://schemas.microsoft.com/office/drawing/2014/chart" uri="{C3380CC4-5D6E-409C-BE32-E72D297353CC}">
              <c16:uniqueId val="{00000021-FC7C-4D75-9537-EDFF39ADDCA5}"/>
            </c:ext>
          </c:extLst>
        </c:ser>
        <c:ser>
          <c:idx val="5"/>
          <c:order val="5"/>
          <c:tx>
            <c:strRef>
              <c:f>Лист1!$G$1</c:f>
              <c:strCache>
                <c:ptCount val="1"/>
                <c:pt idx="0">
                  <c:v>2021 год</c:v>
                </c:pt>
              </c:strCache>
            </c:strRef>
          </c:tx>
          <c:spPr>
            <a:solidFill>
              <a:srgbClr val="595959"/>
            </a:solidFill>
            <a:ln>
              <a:noFill/>
            </a:ln>
            <a:effectLst/>
            <a:scene3d>
              <a:camera prst="orthographicFront"/>
              <a:lightRig rig="threePt" dir="t"/>
            </a:scene3d>
          </c:spPr>
          <c:invertIfNegative val="0"/>
          <c:dLbls>
            <c:dLbl>
              <c:idx val="0"/>
              <c:layout>
                <c:manualLayout>
                  <c:x val="1.5752755905511827E-3"/>
                  <c:y val="-3.63799021143585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C7C-4D75-9537-EDFF39ADDCA5}"/>
                </c:ext>
              </c:extLst>
            </c:dLbl>
            <c:dLbl>
              <c:idx val="1"/>
              <c:layout>
                <c:manualLayout>
                  <c:x val="-5.6645669291338586E-4"/>
                  <c:y val="-8.10482827035757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C7C-4D75-9537-EDFF39ADDCA5}"/>
                </c:ext>
              </c:extLst>
            </c:dLbl>
            <c:dLbl>
              <c:idx val="2"/>
              <c:layout>
                <c:manualLayout>
                  <c:x val="1.5044094488187527E-3"/>
                  <c:y val="-2.85441773359232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C7C-4D75-9537-EDFF39ADDCA5}"/>
                </c:ext>
              </c:extLst>
            </c:dLbl>
            <c:dLbl>
              <c:idx val="3"/>
              <c:layout>
                <c:manualLayout>
                  <c:x val="1.4335433070866142E-3"/>
                  <c:y val="4.4208664898320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C7C-4D75-9537-EDFF39ADDCA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инфляция</c:v>
                </c:pt>
                <c:pt idx="1">
                  <c:v>продовольственные товары</c:v>
                </c:pt>
                <c:pt idx="2">
                  <c:v>непродовольственные товары</c:v>
                </c:pt>
                <c:pt idx="3">
                  <c:v>услуги</c:v>
                </c:pt>
              </c:strCache>
            </c:strRef>
          </c:cat>
          <c:val>
            <c:numRef>
              <c:f>Лист1!$G$2:$G$5</c:f>
              <c:numCache>
                <c:formatCode>General</c:formatCode>
                <c:ptCount val="4"/>
                <c:pt idx="0">
                  <c:v>7.35</c:v>
                </c:pt>
                <c:pt idx="1">
                  <c:v>11.59</c:v>
                </c:pt>
                <c:pt idx="2">
                  <c:v>6.18</c:v>
                </c:pt>
                <c:pt idx="3">
                  <c:v>1.83</c:v>
                </c:pt>
              </c:numCache>
            </c:numRef>
          </c:val>
          <c:extLst>
            <c:ext xmlns:c16="http://schemas.microsoft.com/office/drawing/2014/chart" uri="{C3380CC4-5D6E-409C-BE32-E72D297353CC}">
              <c16:uniqueId val="{00000026-FC7C-4D75-9537-EDFF39ADDCA5}"/>
            </c:ext>
          </c:extLst>
        </c:ser>
        <c:dLbls>
          <c:showLegendKey val="0"/>
          <c:showVal val="0"/>
          <c:showCatName val="0"/>
          <c:showSerName val="0"/>
          <c:showPercent val="0"/>
          <c:showBubbleSize val="0"/>
        </c:dLbls>
        <c:gapWidth val="150"/>
        <c:axId val="128853120"/>
        <c:axId val="128854656"/>
      </c:barChart>
      <c:catAx>
        <c:axId val="128853120"/>
        <c:scaling>
          <c:orientation val="minMax"/>
        </c:scaling>
        <c:delete val="0"/>
        <c:axPos val="b"/>
        <c:numFmt formatCode="General" sourceLinked="1"/>
        <c:majorTickMark val="out"/>
        <c:minorTickMark val="none"/>
        <c:tickLblPos val="nextTo"/>
        <c:spPr>
          <a:noFill/>
          <a:ln w="6350" cap="flat" cmpd="sng" algn="ctr">
            <a:solidFill>
              <a:schemeClr val="bg1">
                <a:lumMod val="85000"/>
              </a:schemeClr>
            </a:solidFill>
            <a:prstDash val="solid"/>
            <a:round/>
          </a:ln>
          <a:effectLst/>
        </c:spPr>
        <c:txPr>
          <a:bodyPr rot="0" spcFirstLastPara="1" vertOverflow="ellipsis" wrap="square" anchor="ctr" anchorCtr="1"/>
          <a:lstStyle/>
          <a:p>
            <a:pPr>
              <a:defRPr sz="1000" b="0" i="0" u="none" strike="noStrike" kern="1200" baseline="0">
                <a:ln>
                  <a:noFill/>
                </a:ln>
                <a:solidFill>
                  <a:schemeClr val="tx1"/>
                </a:solidFill>
                <a:latin typeface="Times New Roman" pitchFamily="18" charset="0"/>
                <a:ea typeface="+mn-ea"/>
                <a:cs typeface="Times New Roman" pitchFamily="18" charset="0"/>
              </a:defRPr>
            </a:pPr>
            <a:endParaRPr lang="ru-RU"/>
          </a:p>
        </c:txPr>
        <c:crossAx val="128854656"/>
        <c:crosses val="autoZero"/>
        <c:auto val="1"/>
        <c:lblAlgn val="ctr"/>
        <c:lblOffset val="0"/>
        <c:noMultiLvlLbl val="0"/>
      </c:catAx>
      <c:valAx>
        <c:axId val="128854656"/>
        <c:scaling>
          <c:orientation val="minMax"/>
        </c:scaling>
        <c:delete val="1"/>
        <c:axPos val="l"/>
        <c:numFmt formatCode="0.00" sourceLinked="1"/>
        <c:majorTickMark val="out"/>
        <c:minorTickMark val="none"/>
        <c:tickLblPos val="nextTo"/>
        <c:crossAx val="128853120"/>
        <c:crosses val="autoZero"/>
        <c:crossBetween val="between"/>
      </c:valAx>
      <c:spPr>
        <a:noFill/>
        <a:ln w="25400">
          <a:noFill/>
        </a:ln>
        <a:effectLst/>
      </c:spPr>
    </c:plotArea>
    <c:legend>
      <c:legendPos val="b"/>
      <c:layout>
        <c:manualLayout>
          <c:xMode val="edge"/>
          <c:yMode val="edge"/>
          <c:x val="0.17055777489477761"/>
          <c:y val="0.93127054177118973"/>
          <c:w val="0.66194790903991807"/>
          <c:h val="5.776012413846143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 2021 год</c:v>
                </c:pt>
              </c:strCache>
            </c:strRef>
          </c:tx>
          <c:spPr>
            <a:solidFill>
              <a:srgbClr val="595959"/>
            </a:solidFill>
            <a:ln>
              <a:noFill/>
            </a:ln>
            <a:effectLst/>
          </c:spPr>
          <c:invertIfNegative val="0"/>
          <c:dLbls>
            <c:dLbl>
              <c:idx val="0"/>
              <c:layout>
                <c:manualLayout>
                  <c:x val="-4.8382219534321161E-2"/>
                  <c:y val="-1.3027622346810308E-16"/>
                </c:manualLayout>
              </c:layout>
              <c:tx>
                <c:rich>
                  <a:bodyPr/>
                  <a:lstStyle/>
                  <a:p>
                    <a:r>
                      <a:rPr lang="en-US"/>
                      <a:t>173,4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E2-4A05-9CF6-0C7479EFF3C9}"/>
                </c:ext>
              </c:extLst>
            </c:dLbl>
            <c:dLbl>
              <c:idx val="1"/>
              <c:layout>
                <c:manualLayout>
                  <c:x val="-6.2493700231831643E-2"/>
                  <c:y val="0"/>
                </c:manualLayout>
              </c:layout>
              <c:tx>
                <c:rich>
                  <a:bodyPr/>
                  <a:lstStyle/>
                  <a:p>
                    <a:r>
                      <a:rPr lang="en-US"/>
                      <a:t>1 893,6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E2-4A05-9CF6-0C7479EFF3C9}"/>
                </c:ext>
              </c:extLst>
            </c:dLbl>
            <c:dLbl>
              <c:idx val="2"/>
              <c:layout>
                <c:manualLayout>
                  <c:x val="-6.4509626045761603E-2"/>
                  <c:y val="-3.5530289571860016E-3"/>
                </c:manualLayout>
              </c:layout>
              <c:tx>
                <c:rich>
                  <a:bodyPr/>
                  <a:lstStyle/>
                  <a:p>
                    <a:r>
                      <a:rPr lang="en-US"/>
                      <a:t>1 587,7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E2-4A05-9CF6-0C7479EFF3C9}"/>
                </c:ext>
              </c:extLst>
            </c:dLbl>
            <c:dLbl>
              <c:idx val="3"/>
              <c:layout>
                <c:manualLayout>
                  <c:x val="-5.4429996976111297E-2"/>
                  <c:y val="-6.5138111734051539E-17"/>
                </c:manualLayout>
              </c:layout>
              <c:tx>
                <c:rich>
                  <a:bodyPr/>
                  <a:lstStyle/>
                  <a:p>
                    <a:r>
                      <a:rPr lang="en-US"/>
                      <a:t>580,4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E2-4A05-9CF6-0C7479EFF3C9}"/>
                </c:ext>
              </c:extLst>
            </c:dLbl>
            <c:dLbl>
              <c:idx val="4"/>
              <c:layout>
                <c:manualLayout>
                  <c:x val="-5.0398145348251176E-2"/>
                  <c:y val="0"/>
                </c:manualLayout>
              </c:layout>
              <c:tx>
                <c:rich>
                  <a:bodyPr/>
                  <a:lstStyle/>
                  <a:p>
                    <a:r>
                      <a:rPr lang="en-US"/>
                      <a:t>299,4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E2-4A05-9CF6-0C7479EFF3C9}"/>
                </c:ext>
              </c:extLst>
            </c:dLbl>
            <c:dLbl>
              <c:idx val="5"/>
              <c:layout>
                <c:manualLayout>
                  <c:x val="-5.2414061878628827E-2"/>
                  <c:y val="3.3734874049834683E-3"/>
                </c:manualLayout>
              </c:layout>
              <c:tx>
                <c:rich>
                  <a:bodyPr/>
                  <a:lstStyle/>
                  <a:p>
                    <a:r>
                      <a:rPr lang="en-US"/>
                      <a:t>430,2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E2-4A05-9CF6-0C7479EFF3C9}"/>
                </c:ext>
              </c:extLst>
            </c:dLbl>
            <c:dLbl>
              <c:idx val="6"/>
              <c:layout>
                <c:manualLayout>
                  <c:x val="-4.8382219534321161E-2"/>
                  <c:y val="-3.2569055867025776E-17"/>
                </c:manualLayout>
              </c:layout>
              <c:tx>
                <c:rich>
                  <a:bodyPr/>
                  <a:lstStyle/>
                  <a:p>
                    <a:r>
                      <a:rPr lang="en-US"/>
                      <a:t>329,1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E2-4A05-9CF6-0C7479EFF3C9}"/>
                </c:ext>
              </c:extLst>
            </c:dLbl>
            <c:dLbl>
              <c:idx val="7"/>
              <c:layout>
                <c:manualLayout>
                  <c:x val="-6.1203983913864564E-2"/>
                  <c:y val="-3.5530289571860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E2-4A05-9CF6-0C7479EFF3C9}"/>
                </c:ext>
              </c:extLst>
            </c:dLbl>
            <c:dLbl>
              <c:idx val="8"/>
              <c:layout>
                <c:manualLayout>
                  <c:x val="-6.45096260457616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E2-4A05-9CF6-0C7479EFF3C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мукомольно-крупяная
промышленность</c:v>
                </c:pt>
                <c:pt idx="1">
                  <c:v>пищевая промышленность
</c:v>
                </c:pt>
                <c:pt idx="2">
                  <c:v>легкая промышленность
</c:v>
                </c:pt>
                <c:pt idx="3">
                  <c:v>промышленность строительных
 материалов</c:v>
                </c:pt>
                <c:pt idx="4">
                  <c:v>электротехническая промышленность
</c:v>
                </c:pt>
                <c:pt idx="5">
                  <c:v>машиностроение
и металлообработка</c:v>
                </c:pt>
                <c:pt idx="6">
                  <c:v>химическая промышленность
</c:v>
                </c:pt>
                <c:pt idx="7">
                  <c:v>черная металлургия</c:v>
                </c:pt>
                <c:pt idx="8">
                  <c:v>электроэнергетика</c:v>
                </c:pt>
              </c:strCache>
            </c:strRef>
          </c:cat>
          <c:val>
            <c:numRef>
              <c:f>Лист1!$B$2:$B$10</c:f>
              <c:numCache>
                <c:formatCode>General</c:formatCode>
                <c:ptCount val="9"/>
                <c:pt idx="0">
                  <c:v>520.20000000000005</c:v>
                </c:pt>
                <c:pt idx="1">
                  <c:v>5680.8</c:v>
                </c:pt>
                <c:pt idx="2">
                  <c:v>4763.1000000000004</c:v>
                </c:pt>
                <c:pt idx="3">
                  <c:v>1741.2</c:v>
                </c:pt>
                <c:pt idx="4">
                  <c:v>898.2</c:v>
                </c:pt>
                <c:pt idx="5">
                  <c:v>1290.5999999999999</c:v>
                </c:pt>
                <c:pt idx="6">
                  <c:v>987.3</c:v>
                </c:pt>
                <c:pt idx="7">
                  <c:v>6880</c:v>
                </c:pt>
                <c:pt idx="8">
                  <c:v>4454.7</c:v>
                </c:pt>
              </c:numCache>
            </c:numRef>
          </c:val>
          <c:extLst>
            <c:ext xmlns:c16="http://schemas.microsoft.com/office/drawing/2014/chart" uri="{C3380CC4-5D6E-409C-BE32-E72D297353CC}">
              <c16:uniqueId val="{00000009-6CE2-4A05-9CF6-0C7479EFF3C9}"/>
            </c:ext>
          </c:extLst>
        </c:ser>
        <c:ser>
          <c:idx val="1"/>
          <c:order val="1"/>
          <c:tx>
            <c:strRef>
              <c:f>Лист1!$C$1</c:f>
              <c:strCache>
                <c:ptCount val="1"/>
                <c:pt idx="0">
                  <c:v> 2020 год</c:v>
                </c:pt>
              </c:strCache>
            </c:strRef>
          </c:tx>
          <c:spPr>
            <a:solidFill>
              <a:srgbClr val="D9D9D9"/>
            </a:solidFill>
            <a:ln>
              <a:noFill/>
            </a:ln>
            <a:effectLst/>
          </c:spPr>
          <c:invertIfNegative val="0"/>
          <c:dLbls>
            <c:dLbl>
              <c:idx val="0"/>
              <c:layout>
                <c:manualLayout>
                  <c:x val="-5.241407116218124E-2"/>
                  <c:y val="0"/>
                </c:manualLayout>
              </c:layout>
              <c:tx>
                <c:rich>
                  <a:bodyPr/>
                  <a:lstStyle/>
                  <a:p>
                    <a:r>
                      <a:rPr lang="en-US">
                        <a:solidFill>
                          <a:sysClr val="windowText" lastClr="000000"/>
                        </a:solidFill>
                      </a:rPr>
                      <a:t>175,8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E2-4A05-9CF6-0C7479EFF3C9}"/>
                </c:ext>
              </c:extLst>
            </c:dLbl>
            <c:dLbl>
              <c:idx val="1"/>
              <c:layout>
                <c:manualLayout>
                  <c:x val="-6.4509626045761603E-2"/>
                  <c:y val="-3.5530289571861322E-3"/>
                </c:manualLayout>
              </c:layout>
              <c:tx>
                <c:rich>
                  <a:bodyPr/>
                  <a:lstStyle/>
                  <a:p>
                    <a:r>
                      <a:rPr lang="en-US">
                        <a:solidFill>
                          <a:sysClr val="windowText" lastClr="000000"/>
                        </a:solidFill>
                      </a:rPr>
                      <a:t>1 634,6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E2-4A05-9CF6-0C7479EFF3C9}"/>
                </c:ext>
              </c:extLst>
            </c:dLbl>
            <c:dLbl>
              <c:idx val="2"/>
              <c:layout>
                <c:manualLayout>
                  <c:x val="-6.4509626045761534E-2"/>
                  <c:y val="0"/>
                </c:manualLayout>
              </c:layout>
              <c:tx>
                <c:rich>
                  <a:bodyPr/>
                  <a:lstStyle/>
                  <a:p>
                    <a:r>
                      <a:rPr lang="en-US">
                        <a:solidFill>
                          <a:sysClr val="windowText" lastClr="000000"/>
                        </a:solidFill>
                      </a:rPr>
                      <a:t>1 340,4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E2-4A05-9CF6-0C7479EFF3C9}"/>
                </c:ext>
              </c:extLst>
            </c:dLbl>
            <c:dLbl>
              <c:idx val="3"/>
              <c:layout>
                <c:manualLayout>
                  <c:x val="-4.8382219534321161E-2"/>
                  <c:y val="0"/>
                </c:manualLayout>
              </c:layout>
              <c:tx>
                <c:rich>
                  <a:bodyPr/>
                  <a:lstStyle/>
                  <a:p>
                    <a:r>
                      <a:rPr lang="en-US">
                        <a:solidFill>
                          <a:sysClr val="windowText" lastClr="000000"/>
                        </a:solidFill>
                      </a:rPr>
                      <a:t>597,3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E2-4A05-9CF6-0C7479EFF3C9}"/>
                </c:ext>
              </c:extLst>
            </c:dLbl>
            <c:dLbl>
              <c:idx val="4"/>
              <c:layout>
                <c:manualLayout>
                  <c:x val="-5.0398145348251225E-2"/>
                  <c:y val="-3.5530289571860671E-3"/>
                </c:manualLayout>
              </c:layout>
              <c:tx>
                <c:rich>
                  <a:bodyPr/>
                  <a:lstStyle/>
                  <a:p>
                    <a:r>
                      <a:rPr lang="en-US">
                        <a:solidFill>
                          <a:sysClr val="windowText" lastClr="000000"/>
                        </a:solidFill>
                      </a:rPr>
                      <a:t>270,6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CE2-4A05-9CF6-0C7479EFF3C9}"/>
                </c:ext>
              </c:extLst>
            </c:dLbl>
            <c:dLbl>
              <c:idx val="5"/>
              <c:layout>
                <c:manualLayout>
                  <c:x val="-4.8382219534321196E-2"/>
                  <c:y val="0"/>
                </c:manualLayout>
              </c:layout>
              <c:tx>
                <c:rich>
                  <a:bodyPr/>
                  <a:lstStyle/>
                  <a:p>
                    <a:r>
                      <a:rPr lang="en-US">
                        <a:solidFill>
                          <a:sysClr val="windowText" lastClr="000000"/>
                        </a:solidFill>
                      </a:rPr>
                      <a:t>321,3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CE2-4A05-9CF6-0C7479EFF3C9}"/>
                </c:ext>
              </c:extLst>
            </c:dLbl>
            <c:dLbl>
              <c:idx val="6"/>
              <c:layout>
                <c:manualLayout>
                  <c:x val="-5.0398145348251155E-2"/>
                  <c:y val="-3.2569055867025776E-17"/>
                </c:manualLayout>
              </c:layout>
              <c:tx>
                <c:rich>
                  <a:bodyPr/>
                  <a:lstStyle/>
                  <a:p>
                    <a:r>
                      <a:rPr lang="en-US">
                        <a:solidFill>
                          <a:sysClr val="windowText" lastClr="000000"/>
                        </a:solidFill>
                      </a:rPr>
                      <a:t>275,7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CE2-4A05-9CF6-0C7479EFF3C9}"/>
                </c:ext>
              </c:extLst>
            </c:dLbl>
            <c:dLbl>
              <c:idx val="7"/>
              <c:layout>
                <c:manualLayout>
                  <c:x val="-6.45096260457615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CE2-4A05-9CF6-0C7479EFF3C9}"/>
                </c:ext>
              </c:extLst>
            </c:dLbl>
            <c:dLbl>
              <c:idx val="8"/>
              <c:layout>
                <c:manualLayout>
                  <c:x val="-6.2493700231831553E-2"/>
                  <c:y val="-8.1422639667564393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CE2-4A05-9CF6-0C7479EFF3C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мукомольно-крупяная
промышленность</c:v>
                </c:pt>
                <c:pt idx="1">
                  <c:v>пищевая промышленность
</c:v>
                </c:pt>
                <c:pt idx="2">
                  <c:v>легкая промышленность
</c:v>
                </c:pt>
                <c:pt idx="3">
                  <c:v>промышленность строительных
 материалов</c:v>
                </c:pt>
                <c:pt idx="4">
                  <c:v>электротехническая промышленность
</c:v>
                </c:pt>
                <c:pt idx="5">
                  <c:v>машиностроение
и металлообработка</c:v>
                </c:pt>
                <c:pt idx="6">
                  <c:v>химическая промышленность
</c:v>
                </c:pt>
                <c:pt idx="7">
                  <c:v>черная металлургия</c:v>
                </c:pt>
                <c:pt idx="8">
                  <c:v>электроэнергетика</c:v>
                </c:pt>
              </c:strCache>
            </c:strRef>
          </c:cat>
          <c:val>
            <c:numRef>
              <c:f>Лист1!$C$2:$C$10</c:f>
              <c:numCache>
                <c:formatCode>General</c:formatCode>
                <c:ptCount val="9"/>
                <c:pt idx="0">
                  <c:v>527.4</c:v>
                </c:pt>
                <c:pt idx="1">
                  <c:v>4903.8</c:v>
                </c:pt>
                <c:pt idx="2">
                  <c:v>4021.2</c:v>
                </c:pt>
                <c:pt idx="3">
                  <c:v>1791.9</c:v>
                </c:pt>
                <c:pt idx="4">
                  <c:v>811.8</c:v>
                </c:pt>
                <c:pt idx="5">
                  <c:v>963.9</c:v>
                </c:pt>
                <c:pt idx="6">
                  <c:v>827.1</c:v>
                </c:pt>
                <c:pt idx="7">
                  <c:v>3512</c:v>
                </c:pt>
                <c:pt idx="8">
                  <c:v>4021.6</c:v>
                </c:pt>
              </c:numCache>
            </c:numRef>
          </c:val>
          <c:extLst>
            <c:ext xmlns:c16="http://schemas.microsoft.com/office/drawing/2014/chart" uri="{C3380CC4-5D6E-409C-BE32-E72D297353CC}">
              <c16:uniqueId val="{00000013-6CE2-4A05-9CF6-0C7479EFF3C9}"/>
            </c:ext>
          </c:extLst>
        </c:ser>
        <c:dLbls>
          <c:showLegendKey val="0"/>
          <c:showVal val="0"/>
          <c:showCatName val="0"/>
          <c:showSerName val="0"/>
          <c:showPercent val="0"/>
          <c:showBubbleSize val="0"/>
        </c:dLbls>
        <c:gapWidth val="64"/>
        <c:axId val="69855872"/>
        <c:axId val="69903104"/>
      </c:barChart>
      <c:catAx>
        <c:axId val="69855872"/>
        <c:scaling>
          <c:orientation val="minMax"/>
        </c:scaling>
        <c:delete val="0"/>
        <c:axPos val="l"/>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903104"/>
        <c:crosses val="autoZero"/>
        <c:auto val="1"/>
        <c:lblAlgn val="ctr"/>
        <c:lblOffset val="100"/>
        <c:noMultiLvlLbl val="0"/>
      </c:catAx>
      <c:valAx>
        <c:axId val="69903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6985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userShapes r:id="rId5"/>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933460564620507E-3"/>
          <c:y val="0.16712962962962943"/>
          <c:w val="0.97172971356108573"/>
          <c:h val="0.46512284922718022"/>
        </c:manualLayout>
      </c:layout>
      <c:lineChart>
        <c:grouping val="standard"/>
        <c:varyColors val="0"/>
        <c:ser>
          <c:idx val="0"/>
          <c:order val="0"/>
          <c:tx>
            <c:strRef>
              <c:f>Лист1!$B$1</c:f>
              <c:strCache>
                <c:ptCount val="1"/>
                <c:pt idx="0">
                  <c:v>Десяток куриных яиц</c:v>
                </c:pt>
              </c:strCache>
            </c:strRef>
          </c:tx>
          <c:spPr>
            <a:ln w="28575" cap="rnd">
              <a:solidFill>
                <a:sysClr val="window" lastClr="FFFFFF">
                  <a:lumMod val="50000"/>
                </a:sysClr>
              </a:solidFill>
              <a:round/>
            </a:ln>
            <a:effectLst/>
          </c:spPr>
          <c:marker>
            <c:symbol val="circle"/>
            <c:size val="5"/>
            <c:spPr>
              <a:solidFill>
                <a:srgbClr val="595959"/>
              </a:solidFill>
              <a:ln w="9525">
                <a:solidFill>
                  <a:sysClr val="window" lastClr="FFFFFF">
                    <a:lumMod val="50000"/>
                  </a:sysClr>
                </a:solidFill>
              </a:ln>
              <a:effectLst/>
            </c:spPr>
          </c:marker>
          <c:dPt>
            <c:idx val="13"/>
            <c:marker>
              <c:symbol val="circle"/>
              <c:size val="5"/>
              <c:spPr>
                <a:solidFill>
                  <a:srgbClr val="595959"/>
                </a:solidFill>
                <a:ln w="9525">
                  <a:solidFill>
                    <a:sysClr val="window" lastClr="FFFFFF">
                      <a:lumMod val="50000"/>
                    </a:sysClr>
                  </a:solidFill>
                </a:ln>
                <a:effectLst/>
              </c:spPr>
            </c:marker>
            <c:bubble3D val="0"/>
            <c:spPr>
              <a:ln w="28575" cap="rnd">
                <a:solidFill>
                  <a:sysClr val="window" lastClr="FFFFFF">
                    <a:lumMod val="50000"/>
                  </a:sysClr>
                </a:solidFill>
                <a:round/>
              </a:ln>
              <a:effectLst/>
            </c:spPr>
            <c:extLst>
              <c:ext xmlns:c16="http://schemas.microsoft.com/office/drawing/2014/chart" uri="{C3380CC4-5D6E-409C-BE32-E72D297353CC}">
                <c16:uniqueId val="{00000001-CDAE-411A-8DE0-7D149DD37B59}"/>
              </c:ext>
            </c:extLst>
          </c:dPt>
          <c:dLbls>
            <c:dLbl>
              <c:idx val="0"/>
              <c:layout>
                <c:manualLayout>
                  <c:x val="-3.5603026257231864E-2"/>
                  <c:y val="-4.6296296296296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AE-411A-8DE0-7D149DD37B59}"/>
                </c:ext>
              </c:extLst>
            </c:dLbl>
            <c:dLbl>
              <c:idx val="1"/>
              <c:layout>
                <c:manualLayout>
                  <c:x val="-3.560302625723186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AE-411A-8DE0-7D149DD37B59}"/>
                </c:ext>
              </c:extLst>
            </c:dLbl>
            <c:dLbl>
              <c:idx val="2"/>
              <c:layout>
                <c:manualLayout>
                  <c:x val="-2.892745883400085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AE-411A-8DE0-7D149DD37B59}"/>
                </c:ext>
              </c:extLst>
            </c:dLbl>
            <c:dLbl>
              <c:idx val="3"/>
              <c:delete val="1"/>
              <c:extLst>
                <c:ext xmlns:c15="http://schemas.microsoft.com/office/drawing/2012/chart" uri="{CE6537A1-D6FC-4f65-9D91-7224C49458BB}"/>
                <c:ext xmlns:c16="http://schemas.microsoft.com/office/drawing/2014/chart" uri="{C3380CC4-5D6E-409C-BE32-E72D297353CC}">
                  <c16:uniqueId val="{00000005-CDAE-411A-8DE0-7D149DD37B59}"/>
                </c:ext>
              </c:extLst>
            </c:dLbl>
            <c:dLbl>
              <c:idx val="4"/>
              <c:layout>
                <c:manualLayout>
                  <c:x val="-4.1666666666666664E-2"/>
                  <c:y val="-5.5555555555555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AE-411A-8DE0-7D149DD37B59}"/>
                </c:ext>
              </c:extLst>
            </c:dLbl>
            <c:dLbl>
              <c:idx val="5"/>
              <c:layout>
                <c:manualLayout>
                  <c:x val="-3.5603026257231954E-2"/>
                  <c:y val="-4.166666666666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AE-411A-8DE0-7D149DD37B59}"/>
                </c:ext>
              </c:extLst>
            </c:dLbl>
            <c:dLbl>
              <c:idx val="6"/>
              <c:layout>
                <c:manualLayout>
                  <c:x val="-2.892745883400085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AE-411A-8DE0-7D149DD37B59}"/>
                </c:ext>
              </c:extLst>
            </c:dLbl>
            <c:dLbl>
              <c:idx val="7"/>
              <c:delete val="1"/>
              <c:extLst>
                <c:ext xmlns:c15="http://schemas.microsoft.com/office/drawing/2012/chart" uri="{CE6537A1-D6FC-4f65-9D91-7224C49458BB}"/>
                <c:ext xmlns:c16="http://schemas.microsoft.com/office/drawing/2014/chart" uri="{C3380CC4-5D6E-409C-BE32-E72D297353CC}">
                  <c16:uniqueId val="{00000009-CDAE-411A-8DE0-7D149DD37B59}"/>
                </c:ext>
              </c:extLst>
            </c:dLbl>
            <c:dLbl>
              <c:idx val="8"/>
              <c:layout>
                <c:manualLayout>
                  <c:x val="-2.7777777777777811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AE-411A-8DE0-7D149DD37B59}"/>
                </c:ext>
              </c:extLst>
            </c:dLbl>
            <c:dLbl>
              <c:idx val="9"/>
              <c:layout>
                <c:manualLayout>
                  <c:x val="-4.005340453938593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AE-411A-8DE0-7D149DD37B59}"/>
                </c:ext>
              </c:extLst>
            </c:dLbl>
            <c:dLbl>
              <c:idx val="10"/>
              <c:layout>
                <c:manualLayout>
                  <c:x val="-4.005340453938593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AE-411A-8DE0-7D149DD37B59}"/>
                </c:ext>
              </c:extLst>
            </c:dLbl>
            <c:dLbl>
              <c:idx val="11"/>
              <c:layout>
                <c:manualLayout>
                  <c:x val="-3.7828215398308856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AE-411A-8DE0-7D149DD37B59}"/>
                </c:ext>
              </c:extLst>
            </c:dLbl>
            <c:dLbl>
              <c:idx val="12"/>
              <c:layout>
                <c:manualLayout>
                  <c:x val="-3.782821539830885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AE-411A-8DE0-7D149DD37B59}"/>
                </c:ext>
              </c:extLst>
            </c:dLbl>
            <c:dLbl>
              <c:idx val="13"/>
              <c:layout>
                <c:manualLayout>
                  <c:x val="-3.3377785223655559E-2"/>
                  <c:y val="4.1149149834531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AE-411A-8DE0-7D149DD37B59}"/>
                </c:ext>
              </c:extLst>
            </c:dLbl>
            <c:dLbl>
              <c:idx val="14"/>
              <c:layout>
                <c:manualLayout>
                  <c:x val="-3.7037037037037056E-2"/>
                  <c:y val="-4.365079365079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AE-411A-8DE0-7D149DD37B59}"/>
                </c:ext>
              </c:extLst>
            </c:dLbl>
            <c:dLbl>
              <c:idx val="15"/>
              <c:layout>
                <c:manualLayout>
                  <c:x val="-2.7777777777777811E-2"/>
                  <c:y val="-3.5714285714285712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D42AF2C-9D86-46DA-BE65-15D7774C3A23}" type="VALUE">
                      <a:rPr lang="en-US" b="0"/>
                      <a:pPr>
                        <a:defRPr b="1"/>
                      </a:pPr>
                      <a:t>[ЗНАЧЕНИЕ]</a:t>
                    </a:fld>
                    <a:endParaRPr lang="ru-RU"/>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CDAE-411A-8DE0-7D149DD37B59}"/>
                </c:ext>
              </c:extLst>
            </c:dLbl>
            <c:dLbl>
              <c:idx val="16"/>
              <c:layout>
                <c:manualLayout>
                  <c:x val="-4.3498817966903081E-2"/>
                  <c:y val="5.7971014492753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DAE-411A-8DE0-7D149DD37B59}"/>
                </c:ext>
              </c:extLst>
            </c:dLbl>
            <c:dLbl>
              <c:idx val="17"/>
              <c:layout>
                <c:manualLayout>
                  <c:x val="-2.4586288416075654E-2"/>
                  <c:y val="4.3478260869565223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978CDEE5-BF80-4904-9D2D-7A35E859B917}" type="VALUE">
                      <a:rPr lang="en-US" b="0"/>
                      <a:pPr>
                        <a:defRPr b="1"/>
                      </a:pPr>
                      <a:t>[ЗНАЧЕНИЕ]</a:t>
                    </a:fld>
                    <a:endParaRPr lang="ru-RU"/>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CDAE-411A-8DE0-7D149DD37B59}"/>
                </c:ext>
              </c:extLst>
            </c:dLbl>
            <c:dLbl>
              <c:idx val="18"/>
              <c:delete val="1"/>
              <c:extLst>
                <c:ext xmlns:c15="http://schemas.microsoft.com/office/drawing/2012/chart" uri="{CE6537A1-D6FC-4f65-9D91-7224C49458BB}"/>
                <c:ext xmlns:c16="http://schemas.microsoft.com/office/drawing/2014/chart" uri="{C3380CC4-5D6E-409C-BE32-E72D297353CC}">
                  <c16:uniqueId val="{00000013-CDAE-411A-8DE0-7D149DD37B59}"/>
                </c:ext>
              </c:extLst>
            </c:dLbl>
            <c:dLbl>
              <c:idx val="19"/>
              <c:layout>
                <c:manualLayout>
                  <c:x val="-2.3516835916622129E-2"/>
                  <c:y val="4.9153468050245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DAE-411A-8DE0-7D149DD37B59}"/>
                </c:ext>
              </c:extLst>
            </c:dLbl>
            <c:dLbl>
              <c:idx val="21"/>
              <c:layout>
                <c:manualLayout>
                  <c:x val="-1.4715056925894484E-16"/>
                  <c:y val="1.2383900928792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DAE-411A-8DE0-7D149DD37B59}"/>
                </c:ext>
              </c:extLst>
            </c:dLbl>
            <c:dLbl>
              <c:idx val="22"/>
              <c:layout>
                <c:manualLayout>
                  <c:x val="4.031851627860095E-3"/>
                  <c:y val="2.5027859075935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DAE-411A-8DE0-7D149DD37B59}"/>
                </c:ext>
              </c:extLst>
            </c:dLbl>
            <c:dLbl>
              <c:idx val="23"/>
              <c:layout>
                <c:manualLayout>
                  <c:x val="-4.031851627860095E-3"/>
                  <c:y val="-6.220839813374807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DAE-411A-8DE0-7D149DD37B5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Лист1!$A$2:$A$25</c:f>
              <c:strCache>
                <c:ptCount val="24"/>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pt idx="18">
                  <c:v>июль</c:v>
                </c:pt>
                <c:pt idx="19">
                  <c:v>август</c:v>
                </c:pt>
                <c:pt idx="20">
                  <c:v>сентябрь</c:v>
                </c:pt>
                <c:pt idx="21">
                  <c:v>октябрь</c:v>
                </c:pt>
                <c:pt idx="22">
                  <c:v>ноябрь</c:v>
                </c:pt>
                <c:pt idx="23">
                  <c:v>декабрь</c:v>
                </c:pt>
              </c:strCache>
            </c:strRef>
          </c:cat>
          <c:val>
            <c:numRef>
              <c:f>Лист1!$B$2:$B$25</c:f>
              <c:numCache>
                <c:formatCode>General</c:formatCode>
                <c:ptCount val="24"/>
                <c:pt idx="0">
                  <c:v>14.32</c:v>
                </c:pt>
                <c:pt idx="1">
                  <c:v>12.61</c:v>
                </c:pt>
                <c:pt idx="2">
                  <c:v>12.54</c:v>
                </c:pt>
                <c:pt idx="3">
                  <c:v>12.45</c:v>
                </c:pt>
                <c:pt idx="4">
                  <c:v>12</c:v>
                </c:pt>
                <c:pt idx="5">
                  <c:v>13.2</c:v>
                </c:pt>
                <c:pt idx="6">
                  <c:v>12.73</c:v>
                </c:pt>
                <c:pt idx="7">
                  <c:v>12.74</c:v>
                </c:pt>
                <c:pt idx="8">
                  <c:v>12.57</c:v>
                </c:pt>
                <c:pt idx="9">
                  <c:v>16.34</c:v>
                </c:pt>
                <c:pt idx="10">
                  <c:v>16.36</c:v>
                </c:pt>
                <c:pt idx="11">
                  <c:v>17.23</c:v>
                </c:pt>
                <c:pt idx="12">
                  <c:v>18.13</c:v>
                </c:pt>
                <c:pt idx="13">
                  <c:v>16.73</c:v>
                </c:pt>
                <c:pt idx="14">
                  <c:v>17.79</c:v>
                </c:pt>
                <c:pt idx="15">
                  <c:v>18.23</c:v>
                </c:pt>
                <c:pt idx="16">
                  <c:v>17.010000000000002</c:v>
                </c:pt>
                <c:pt idx="17">
                  <c:v>14.39</c:v>
                </c:pt>
                <c:pt idx="18">
                  <c:v>14.4</c:v>
                </c:pt>
                <c:pt idx="19">
                  <c:v>14.97</c:v>
                </c:pt>
                <c:pt idx="20">
                  <c:v>15.21</c:v>
                </c:pt>
                <c:pt idx="21">
                  <c:v>17.98</c:v>
                </c:pt>
                <c:pt idx="22">
                  <c:v>18.86</c:v>
                </c:pt>
                <c:pt idx="23">
                  <c:v>19.93</c:v>
                </c:pt>
              </c:numCache>
            </c:numRef>
          </c:val>
          <c:smooth val="0"/>
          <c:extLst>
            <c:ext xmlns:c16="http://schemas.microsoft.com/office/drawing/2014/chart" uri="{C3380CC4-5D6E-409C-BE32-E72D297353CC}">
              <c16:uniqueId val="{00000018-CDAE-411A-8DE0-7D149DD37B59}"/>
            </c:ext>
          </c:extLst>
        </c:ser>
        <c:dLbls>
          <c:showLegendKey val="0"/>
          <c:showVal val="0"/>
          <c:showCatName val="0"/>
          <c:showSerName val="0"/>
          <c:showPercent val="0"/>
          <c:showBubbleSize val="0"/>
        </c:dLbls>
        <c:marker val="1"/>
        <c:smooth val="0"/>
        <c:axId val="172642496"/>
        <c:axId val="172642888"/>
      </c:lineChart>
      <c:catAx>
        <c:axId val="1726424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642888"/>
        <c:crosses val="autoZero"/>
        <c:auto val="1"/>
        <c:lblAlgn val="ctr"/>
        <c:lblOffset val="100"/>
        <c:noMultiLvlLbl val="0"/>
      </c:catAx>
      <c:valAx>
        <c:axId val="172642888"/>
        <c:scaling>
          <c:orientation val="minMax"/>
          <c:max val="20"/>
          <c:min val="10"/>
        </c:scaling>
        <c:delete val="1"/>
        <c:axPos val="l"/>
        <c:majorGridlines>
          <c:spPr>
            <a:ln w="9525" cap="flat" cmpd="sng" algn="ctr">
              <a:noFill/>
              <a:round/>
            </a:ln>
            <a:effectLst/>
          </c:spPr>
        </c:majorGridlines>
        <c:numFmt formatCode="0.0" sourceLinked="0"/>
        <c:majorTickMark val="none"/>
        <c:minorTickMark val="none"/>
        <c:tickLblPos val="nextTo"/>
        <c:crossAx val="172642496"/>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userShapes r:id="rId5"/>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421698611425441E-3"/>
          <c:y val="0.10847853695707389"/>
          <c:w val="0.93930630834534479"/>
          <c:h val="0.5838620760640213"/>
        </c:manualLayout>
      </c:layout>
      <c:lineChart>
        <c:grouping val="standard"/>
        <c:varyColors val="0"/>
        <c:ser>
          <c:idx val="0"/>
          <c:order val="0"/>
          <c:tx>
            <c:strRef>
              <c:f>Лист1!$B$1</c:f>
              <c:strCache>
                <c:ptCount val="1"/>
                <c:pt idx="0">
                  <c:v>масло подсолнечное рафинированное, л</c:v>
                </c:pt>
              </c:strCache>
            </c:strRef>
          </c:tx>
          <c:spPr>
            <a:ln w="28575" cap="rnd">
              <a:solidFill>
                <a:srgbClr val="595959"/>
              </a:solidFill>
              <a:round/>
            </a:ln>
            <a:effectLst/>
          </c:spPr>
          <c:marker>
            <c:symbol val="circle"/>
            <c:size val="6"/>
            <c:spPr>
              <a:solidFill>
                <a:srgbClr val="595959"/>
              </a:solidFill>
              <a:ln w="9525">
                <a:solidFill>
                  <a:srgbClr val="10253F"/>
                </a:solidFill>
              </a:ln>
              <a:effectLst/>
            </c:spPr>
          </c:marker>
          <c:dPt>
            <c:idx val="20"/>
            <c:marker>
              <c:spPr>
                <a:solidFill>
                  <a:srgbClr val="595959"/>
                </a:solidFill>
                <a:ln w="9525">
                  <a:solidFill>
                    <a:sysClr val="windowText" lastClr="000000"/>
                  </a:solidFill>
                  <a:tailEnd type="oval"/>
                </a:ln>
                <a:effectLst/>
              </c:spPr>
            </c:marker>
            <c:bubble3D val="0"/>
            <c:spPr>
              <a:ln w="28575" cmpd="sng">
                <a:solidFill>
                  <a:srgbClr val="595959"/>
                </a:solidFill>
                <a:tailEnd type="none"/>
              </a:ln>
              <a:effectLst/>
            </c:spPr>
            <c:extLst>
              <c:ext xmlns:c16="http://schemas.microsoft.com/office/drawing/2014/chart" uri="{C3380CC4-5D6E-409C-BE32-E72D297353CC}">
                <c16:uniqueId val="{00000001-E55C-4F7A-86D3-67A5D1B6776C}"/>
              </c:ext>
            </c:extLst>
          </c:dPt>
          <c:dLbls>
            <c:dLbl>
              <c:idx val="0"/>
              <c:layout>
                <c:manualLayout>
                  <c:x val="-3.5603026257231864E-2"/>
                  <c:y val="-4.629629629629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5C-4F7A-86D3-67A5D1B6776C}"/>
                </c:ext>
              </c:extLst>
            </c:dLbl>
            <c:dLbl>
              <c:idx val="1"/>
              <c:delete val="1"/>
              <c:extLst>
                <c:ext xmlns:c15="http://schemas.microsoft.com/office/drawing/2012/chart" uri="{CE6537A1-D6FC-4f65-9D91-7224C49458BB}"/>
                <c:ext xmlns:c16="http://schemas.microsoft.com/office/drawing/2014/chart" uri="{C3380CC4-5D6E-409C-BE32-E72D297353CC}">
                  <c16:uniqueId val="{00000003-E55C-4F7A-86D3-67A5D1B6776C}"/>
                </c:ext>
              </c:extLst>
            </c:dLbl>
            <c:dLbl>
              <c:idx val="2"/>
              <c:delete val="1"/>
              <c:extLst>
                <c:ext xmlns:c15="http://schemas.microsoft.com/office/drawing/2012/chart" uri="{CE6537A1-D6FC-4f65-9D91-7224C49458BB}"/>
                <c:ext xmlns:c16="http://schemas.microsoft.com/office/drawing/2014/chart" uri="{C3380CC4-5D6E-409C-BE32-E72D297353CC}">
                  <c16:uniqueId val="{00000004-E55C-4F7A-86D3-67A5D1B6776C}"/>
                </c:ext>
              </c:extLst>
            </c:dLbl>
            <c:dLbl>
              <c:idx val="3"/>
              <c:delete val="1"/>
              <c:extLst>
                <c:ext xmlns:c15="http://schemas.microsoft.com/office/drawing/2012/chart" uri="{CE6537A1-D6FC-4f65-9D91-7224C49458BB}"/>
                <c:ext xmlns:c16="http://schemas.microsoft.com/office/drawing/2014/chart" uri="{C3380CC4-5D6E-409C-BE32-E72D297353CC}">
                  <c16:uniqueId val="{00000005-E55C-4F7A-86D3-67A5D1B6776C}"/>
                </c:ext>
              </c:extLst>
            </c:dLbl>
            <c:dLbl>
              <c:idx val="4"/>
              <c:delete val="1"/>
              <c:extLst>
                <c:ext xmlns:c15="http://schemas.microsoft.com/office/drawing/2012/chart" uri="{CE6537A1-D6FC-4f65-9D91-7224C49458BB}"/>
                <c:ext xmlns:c16="http://schemas.microsoft.com/office/drawing/2014/chart" uri="{C3380CC4-5D6E-409C-BE32-E72D297353CC}">
                  <c16:uniqueId val="{00000006-E55C-4F7A-86D3-67A5D1B6776C}"/>
                </c:ext>
              </c:extLst>
            </c:dLbl>
            <c:dLbl>
              <c:idx val="5"/>
              <c:delete val="1"/>
              <c:extLst>
                <c:ext xmlns:c15="http://schemas.microsoft.com/office/drawing/2012/chart" uri="{CE6537A1-D6FC-4f65-9D91-7224C49458BB}"/>
                <c:ext xmlns:c16="http://schemas.microsoft.com/office/drawing/2014/chart" uri="{C3380CC4-5D6E-409C-BE32-E72D297353CC}">
                  <c16:uniqueId val="{00000007-E55C-4F7A-86D3-67A5D1B6776C}"/>
                </c:ext>
              </c:extLst>
            </c:dLbl>
            <c:dLbl>
              <c:idx val="6"/>
              <c:layout>
                <c:manualLayout>
                  <c:x val="-2.8927458834000819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5C-4F7A-86D3-67A5D1B6776C}"/>
                </c:ext>
              </c:extLst>
            </c:dLbl>
            <c:dLbl>
              <c:idx val="7"/>
              <c:delete val="1"/>
              <c:extLst>
                <c:ext xmlns:c15="http://schemas.microsoft.com/office/drawing/2012/chart" uri="{CE6537A1-D6FC-4f65-9D91-7224C49458BB}"/>
                <c:ext xmlns:c16="http://schemas.microsoft.com/office/drawing/2014/chart" uri="{C3380CC4-5D6E-409C-BE32-E72D297353CC}">
                  <c16:uniqueId val="{00000009-E55C-4F7A-86D3-67A5D1B6776C}"/>
                </c:ext>
              </c:extLst>
            </c:dLbl>
            <c:dLbl>
              <c:idx val="8"/>
              <c:delete val="1"/>
              <c:extLst>
                <c:ext xmlns:c15="http://schemas.microsoft.com/office/drawing/2012/chart" uri="{CE6537A1-D6FC-4f65-9D91-7224C49458BB}"/>
                <c:ext xmlns:c16="http://schemas.microsoft.com/office/drawing/2014/chart" uri="{C3380CC4-5D6E-409C-BE32-E72D297353CC}">
                  <c16:uniqueId val="{0000000A-E55C-4F7A-86D3-67A5D1B6776C}"/>
                </c:ext>
              </c:extLst>
            </c:dLbl>
            <c:dLbl>
              <c:idx val="9"/>
              <c:layout>
                <c:manualLayout>
                  <c:x val="-4.005340453938593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5C-4F7A-86D3-67A5D1B6776C}"/>
                </c:ext>
              </c:extLst>
            </c:dLbl>
            <c:dLbl>
              <c:idx val="10"/>
              <c:delete val="1"/>
              <c:extLst>
                <c:ext xmlns:c15="http://schemas.microsoft.com/office/drawing/2012/chart" uri="{CE6537A1-D6FC-4f65-9D91-7224C49458BB}"/>
                <c:ext xmlns:c16="http://schemas.microsoft.com/office/drawing/2014/chart" uri="{C3380CC4-5D6E-409C-BE32-E72D297353CC}">
                  <c16:uniqueId val="{0000000C-E55C-4F7A-86D3-67A5D1B6776C}"/>
                </c:ext>
              </c:extLst>
            </c:dLbl>
            <c:dLbl>
              <c:idx val="11"/>
              <c:layout>
                <c:manualLayout>
                  <c:x val="-3.7828215398308856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5C-4F7A-86D3-67A5D1B6776C}"/>
                </c:ext>
              </c:extLst>
            </c:dLbl>
            <c:dLbl>
              <c:idx val="12"/>
              <c:delete val="1"/>
              <c:extLst>
                <c:ext xmlns:c15="http://schemas.microsoft.com/office/drawing/2012/chart" uri="{CE6537A1-D6FC-4f65-9D91-7224C49458BB}"/>
                <c:ext xmlns:c16="http://schemas.microsoft.com/office/drawing/2014/chart" uri="{C3380CC4-5D6E-409C-BE32-E72D297353CC}">
                  <c16:uniqueId val="{0000000E-E55C-4F7A-86D3-67A5D1B6776C}"/>
                </c:ext>
              </c:extLst>
            </c:dLbl>
            <c:dLbl>
              <c:idx val="13"/>
              <c:layout>
                <c:manualLayout>
                  <c:x val="-5.5105406368925074E-2"/>
                  <c:y val="-4.166666666666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55C-4F7A-86D3-67A5D1B6776C}"/>
                </c:ext>
              </c:extLst>
            </c:dLbl>
            <c:dLbl>
              <c:idx val="14"/>
              <c:layout>
                <c:manualLayout>
                  <c:x val="-6.4814814814814978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55C-4F7A-86D3-67A5D1B6776C}"/>
                </c:ext>
              </c:extLst>
            </c:dLbl>
            <c:dLbl>
              <c:idx val="15"/>
              <c:layout>
                <c:manualLayout>
                  <c:x val="-4.3862829112172944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55C-4F7A-86D3-67A5D1B6776C}"/>
                </c:ext>
              </c:extLst>
            </c:dLbl>
            <c:dLbl>
              <c:idx val="16"/>
              <c:layout>
                <c:manualLayout>
                  <c:x val="-3.9886039886039885E-2"/>
                  <c:y val="-4.365079365079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55C-4F7A-86D3-67A5D1B6776C}"/>
                </c:ext>
              </c:extLst>
            </c:dLbl>
            <c:dLbl>
              <c:idx val="17"/>
              <c:layout>
                <c:manualLayout>
                  <c:x val="-3.0389363722697089E-2"/>
                  <c:y val="-3.96825396825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55C-4F7A-86D3-67A5D1B6776C}"/>
                </c:ext>
              </c:extLst>
            </c:dLbl>
            <c:dLbl>
              <c:idx val="18"/>
              <c:layout>
                <c:manualLayout>
                  <c:x val="-2.0892687559354257E-2"/>
                  <c:y val="-3.968253968253968E-2"/>
                </c:manualLayout>
              </c:layout>
              <c:tx>
                <c:rich>
                  <a:bodyPr/>
                  <a:lstStyle/>
                  <a:p>
                    <a:fld id="{6F9B45EC-E42A-4F72-B296-47984E659101}" type="VALUE">
                      <a:rPr lang="en-US" b="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E55C-4F7A-86D3-67A5D1B6776C}"/>
                </c:ext>
              </c:extLst>
            </c:dLbl>
            <c:dLbl>
              <c:idx val="19"/>
              <c:layout>
                <c:manualLayout>
                  <c:x val="3.4163838024645747E-3"/>
                  <c:y val="-5.147087299615296E-2"/>
                </c:manualLayout>
              </c:layout>
              <c:tx>
                <c:rich>
                  <a:bodyPr/>
                  <a:lstStyle/>
                  <a:p>
                    <a:r>
                      <a:rPr lang="en-US"/>
                      <a:t>35,2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55C-4F7A-86D3-67A5D1B6776C}"/>
                </c:ext>
              </c:extLst>
            </c:dLbl>
            <c:dLbl>
              <c:idx val="20"/>
              <c:delete val="1"/>
              <c:extLst>
                <c:ext xmlns:c15="http://schemas.microsoft.com/office/drawing/2012/chart" uri="{CE6537A1-D6FC-4f65-9D91-7224C49458BB}"/>
                <c:ext xmlns:c16="http://schemas.microsoft.com/office/drawing/2014/chart" uri="{C3380CC4-5D6E-409C-BE32-E72D297353CC}">
                  <c16:uniqueId val="{00000001-E55C-4F7A-86D3-67A5D1B6776C}"/>
                </c:ext>
              </c:extLst>
            </c:dLbl>
            <c:dLbl>
              <c:idx val="21"/>
              <c:layout>
                <c:manualLayout>
                  <c:x val="-2.932551319648094E-2"/>
                  <c:y val="-4.6470248181002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55C-4F7A-86D3-67A5D1B6776C}"/>
                </c:ext>
              </c:extLst>
            </c:dLbl>
            <c:dLbl>
              <c:idx val="22"/>
              <c:layout>
                <c:manualLayout>
                  <c:x val="-3.023888720895071E-2"/>
                  <c:y val="-4.6045517156308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55C-4F7A-86D3-67A5D1B6776C}"/>
                </c:ext>
              </c:extLst>
            </c:dLbl>
            <c:dLbl>
              <c:idx val="23"/>
              <c:layout>
                <c:manualLayout>
                  <c:x val="-2.0159258139301954E-3"/>
                  <c:y val="-4.177545691906004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55C-4F7A-86D3-67A5D1B6776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Лист1!$A$2:$A$25</c:f>
              <c:strCache>
                <c:ptCount val="24"/>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pt idx="18">
                  <c:v>июль</c:v>
                </c:pt>
                <c:pt idx="19">
                  <c:v>август</c:v>
                </c:pt>
                <c:pt idx="20">
                  <c:v>сентябрь</c:v>
                </c:pt>
                <c:pt idx="21">
                  <c:v>октябрь</c:v>
                </c:pt>
                <c:pt idx="22">
                  <c:v>ноябрь</c:v>
                </c:pt>
                <c:pt idx="23">
                  <c:v>декабрь</c:v>
                </c:pt>
              </c:strCache>
            </c:strRef>
          </c:cat>
          <c:val>
            <c:numRef>
              <c:f>Лист1!$B$2:$B$25</c:f>
              <c:numCache>
                <c:formatCode>General</c:formatCode>
                <c:ptCount val="24"/>
                <c:pt idx="0">
                  <c:v>24.22</c:v>
                </c:pt>
                <c:pt idx="1">
                  <c:v>24.4</c:v>
                </c:pt>
                <c:pt idx="2">
                  <c:v>24.46</c:v>
                </c:pt>
                <c:pt idx="3">
                  <c:v>24.5</c:v>
                </c:pt>
                <c:pt idx="4">
                  <c:v>24.51</c:v>
                </c:pt>
                <c:pt idx="5">
                  <c:v>24.36</c:v>
                </c:pt>
                <c:pt idx="6">
                  <c:v>23.19</c:v>
                </c:pt>
                <c:pt idx="7">
                  <c:v>23.32</c:v>
                </c:pt>
                <c:pt idx="8">
                  <c:v>23.32</c:v>
                </c:pt>
                <c:pt idx="9">
                  <c:v>24.37</c:v>
                </c:pt>
                <c:pt idx="10">
                  <c:v>25.66</c:v>
                </c:pt>
                <c:pt idx="11">
                  <c:v>26.49</c:v>
                </c:pt>
                <c:pt idx="12">
                  <c:v>26.77</c:v>
                </c:pt>
                <c:pt idx="13">
                  <c:v>28.88</c:v>
                </c:pt>
                <c:pt idx="14">
                  <c:v>32.979999999999997</c:v>
                </c:pt>
                <c:pt idx="15">
                  <c:v>33.909999999999997</c:v>
                </c:pt>
                <c:pt idx="16">
                  <c:v>34.479999999999997</c:v>
                </c:pt>
                <c:pt idx="17">
                  <c:v>34.61</c:v>
                </c:pt>
                <c:pt idx="18">
                  <c:v>34.799999999999997</c:v>
                </c:pt>
                <c:pt idx="19">
                  <c:v>35.15</c:v>
                </c:pt>
                <c:pt idx="20">
                  <c:v>35.15</c:v>
                </c:pt>
                <c:pt idx="21">
                  <c:v>36.090000000000003</c:v>
                </c:pt>
                <c:pt idx="22">
                  <c:v>37.39</c:v>
                </c:pt>
                <c:pt idx="23">
                  <c:v>37.56</c:v>
                </c:pt>
              </c:numCache>
            </c:numRef>
          </c:val>
          <c:smooth val="0"/>
          <c:extLst>
            <c:ext xmlns:c16="http://schemas.microsoft.com/office/drawing/2014/chart" uri="{C3380CC4-5D6E-409C-BE32-E72D297353CC}">
              <c16:uniqueId val="{00000019-E55C-4F7A-86D3-67A5D1B6776C}"/>
            </c:ext>
          </c:extLst>
        </c:ser>
        <c:ser>
          <c:idx val="1"/>
          <c:order val="1"/>
          <c:tx>
            <c:strRef>
              <c:f>Лист1!$C$1</c:f>
              <c:strCache>
                <c:ptCount val="1"/>
                <c:pt idx="0">
                  <c:v>масло подсолнечное нерафинированное, л</c:v>
                </c:pt>
              </c:strCache>
            </c:strRef>
          </c:tx>
          <c:spPr>
            <a:ln w="28575" cap="rnd">
              <a:solidFill>
                <a:srgbClr val="D9D9D9"/>
              </a:solidFill>
              <a:round/>
            </a:ln>
            <a:effectLst/>
          </c:spPr>
          <c:marker>
            <c:symbol val="circle"/>
            <c:size val="6"/>
            <c:spPr>
              <a:solidFill>
                <a:srgbClr val="D9D9D9"/>
              </a:solidFill>
              <a:ln w="9525">
                <a:solidFill>
                  <a:srgbClr val="D9D9D9"/>
                </a:solidFill>
              </a:ln>
              <a:effectLst/>
            </c:spPr>
          </c:marker>
          <c:dLbls>
            <c:dLbl>
              <c:idx val="0"/>
              <c:layout>
                <c:manualLayout>
                  <c:x val="-2.8927458834000833E-2"/>
                  <c:y val="-4.166666666666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55C-4F7A-86D3-67A5D1B6776C}"/>
                </c:ext>
              </c:extLst>
            </c:dLbl>
            <c:dLbl>
              <c:idx val="1"/>
              <c:delete val="1"/>
              <c:extLst>
                <c:ext xmlns:c15="http://schemas.microsoft.com/office/drawing/2012/chart" uri="{CE6537A1-D6FC-4f65-9D91-7224C49458BB}"/>
                <c:ext xmlns:c16="http://schemas.microsoft.com/office/drawing/2014/chart" uri="{C3380CC4-5D6E-409C-BE32-E72D297353CC}">
                  <c16:uniqueId val="{0000001B-E55C-4F7A-86D3-67A5D1B6776C}"/>
                </c:ext>
              </c:extLst>
            </c:dLbl>
            <c:dLbl>
              <c:idx val="2"/>
              <c:delete val="1"/>
              <c:extLst>
                <c:ext xmlns:c15="http://schemas.microsoft.com/office/drawing/2012/chart" uri="{CE6537A1-D6FC-4f65-9D91-7224C49458BB}"/>
                <c:ext xmlns:c16="http://schemas.microsoft.com/office/drawing/2014/chart" uri="{C3380CC4-5D6E-409C-BE32-E72D297353CC}">
                  <c16:uniqueId val="{0000001C-E55C-4F7A-86D3-67A5D1B6776C}"/>
                </c:ext>
              </c:extLst>
            </c:dLbl>
            <c:dLbl>
              <c:idx val="3"/>
              <c:delete val="1"/>
              <c:extLst>
                <c:ext xmlns:c15="http://schemas.microsoft.com/office/drawing/2012/chart" uri="{CE6537A1-D6FC-4f65-9D91-7224C49458BB}"/>
                <c:ext xmlns:c16="http://schemas.microsoft.com/office/drawing/2014/chart" uri="{C3380CC4-5D6E-409C-BE32-E72D297353CC}">
                  <c16:uniqueId val="{0000001D-E55C-4F7A-86D3-67A5D1B6776C}"/>
                </c:ext>
              </c:extLst>
            </c:dLbl>
            <c:dLbl>
              <c:idx val="4"/>
              <c:delete val="1"/>
              <c:extLst>
                <c:ext xmlns:c15="http://schemas.microsoft.com/office/drawing/2012/chart" uri="{CE6537A1-D6FC-4f65-9D91-7224C49458BB}"/>
                <c:ext xmlns:c16="http://schemas.microsoft.com/office/drawing/2014/chart" uri="{C3380CC4-5D6E-409C-BE32-E72D297353CC}">
                  <c16:uniqueId val="{0000001E-E55C-4F7A-86D3-67A5D1B6776C}"/>
                </c:ext>
              </c:extLst>
            </c:dLbl>
            <c:dLbl>
              <c:idx val="5"/>
              <c:layout>
                <c:manualLayout>
                  <c:x val="-3.7828215398308981E-2"/>
                  <c:y val="-4.6296296296296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55C-4F7A-86D3-67A5D1B6776C}"/>
                </c:ext>
              </c:extLst>
            </c:dLbl>
            <c:dLbl>
              <c:idx val="6"/>
              <c:delete val="1"/>
              <c:extLst>
                <c:ext xmlns:c15="http://schemas.microsoft.com/office/drawing/2012/chart" uri="{CE6537A1-D6FC-4f65-9D91-7224C49458BB}"/>
                <c:ext xmlns:c16="http://schemas.microsoft.com/office/drawing/2014/chart" uri="{C3380CC4-5D6E-409C-BE32-E72D297353CC}">
                  <c16:uniqueId val="{00000020-E55C-4F7A-86D3-67A5D1B6776C}"/>
                </c:ext>
              </c:extLst>
            </c:dLbl>
            <c:dLbl>
              <c:idx val="7"/>
              <c:delete val="1"/>
              <c:extLst>
                <c:ext xmlns:c15="http://schemas.microsoft.com/office/drawing/2012/chart" uri="{CE6537A1-D6FC-4f65-9D91-7224C49458BB}"/>
                <c:ext xmlns:c16="http://schemas.microsoft.com/office/drawing/2014/chart" uri="{C3380CC4-5D6E-409C-BE32-E72D297353CC}">
                  <c16:uniqueId val="{00000021-E55C-4F7A-86D3-67A5D1B6776C}"/>
                </c:ext>
              </c:extLst>
            </c:dLbl>
            <c:dLbl>
              <c:idx val="8"/>
              <c:layout>
                <c:manualLayout>
                  <c:x val="-3.7828146847178112E-2"/>
                  <c:y val="-3.8359892513435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55C-4F7A-86D3-67A5D1B6776C}"/>
                </c:ext>
              </c:extLst>
            </c:dLbl>
            <c:dLbl>
              <c:idx val="9"/>
              <c:delete val="1"/>
              <c:extLst>
                <c:ext xmlns:c15="http://schemas.microsoft.com/office/drawing/2012/chart" uri="{CE6537A1-D6FC-4f65-9D91-7224C49458BB}"/>
                <c:ext xmlns:c16="http://schemas.microsoft.com/office/drawing/2014/chart" uri="{C3380CC4-5D6E-409C-BE32-E72D297353CC}">
                  <c16:uniqueId val="{00000023-E55C-4F7A-86D3-67A5D1B6776C}"/>
                </c:ext>
              </c:extLst>
            </c:dLbl>
            <c:dLbl>
              <c:idx val="10"/>
              <c:layout>
                <c:manualLayout>
                  <c:x val="-3.7828146847178036E-2"/>
                  <c:y val="-3.9021059867516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55C-4F7A-86D3-67A5D1B6776C}"/>
                </c:ext>
              </c:extLst>
            </c:dLbl>
            <c:dLbl>
              <c:idx val="11"/>
              <c:layout>
                <c:manualLayout>
                  <c:x val="-4.0053404539386127E-2"/>
                  <c:y val="-4.166666666666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55C-4F7A-86D3-67A5D1B6776C}"/>
                </c:ext>
              </c:extLst>
            </c:dLbl>
            <c:dLbl>
              <c:idx val="12"/>
              <c:delete val="1"/>
              <c:extLst>
                <c:ext xmlns:c15="http://schemas.microsoft.com/office/drawing/2012/chart" uri="{CE6537A1-D6FC-4f65-9D91-7224C49458BB}"/>
                <c:ext xmlns:c16="http://schemas.microsoft.com/office/drawing/2014/chart" uri="{C3380CC4-5D6E-409C-BE32-E72D297353CC}">
                  <c16:uniqueId val="{00000026-E55C-4F7A-86D3-67A5D1B6776C}"/>
                </c:ext>
              </c:extLst>
            </c:dLbl>
            <c:dLbl>
              <c:idx val="13"/>
              <c:layout>
                <c:manualLayout>
                  <c:x val="-3.7202798979561892E-2"/>
                  <c:y val="-4.2328146481689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E55C-4F7A-86D3-67A5D1B6776C}"/>
                </c:ext>
              </c:extLst>
            </c:dLbl>
            <c:dLbl>
              <c:idx val="14"/>
              <c:layout>
                <c:manualLayout>
                  <c:x val="-3.9580168945555196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55C-4F7A-86D3-67A5D1B6776C}"/>
                </c:ext>
              </c:extLst>
            </c:dLbl>
            <c:dLbl>
              <c:idx val="15"/>
              <c:layout>
                <c:manualLayout>
                  <c:x val="-2.7837075921065515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E55C-4F7A-86D3-67A5D1B6776C}"/>
                </c:ext>
              </c:extLst>
            </c:dLbl>
            <c:dLbl>
              <c:idx val="16"/>
              <c:delete val="1"/>
              <c:extLst>
                <c:ext xmlns:c15="http://schemas.microsoft.com/office/drawing/2012/chart" uri="{CE6537A1-D6FC-4f65-9D91-7224C49458BB}"/>
                <c:ext xmlns:c16="http://schemas.microsoft.com/office/drawing/2014/chart" uri="{C3380CC4-5D6E-409C-BE32-E72D297353CC}">
                  <c16:uniqueId val="{0000002A-E55C-4F7A-86D3-67A5D1B6776C}"/>
                </c:ext>
              </c:extLst>
            </c:dLbl>
            <c:dLbl>
              <c:idx val="17"/>
              <c:layout>
                <c:manualLayout>
                  <c:x val="-4.4389059111888514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55C-4F7A-86D3-67A5D1B6776C}"/>
                </c:ext>
              </c:extLst>
            </c:dLbl>
            <c:dLbl>
              <c:idx val="18"/>
              <c:layout>
                <c:manualLayout>
                  <c:x val="-3.4892441913551772E-2"/>
                  <c:y val="-4.3650793650793697E-2"/>
                </c:manualLayout>
              </c:layout>
              <c:tx>
                <c:rich>
                  <a:bodyPr/>
                  <a:lstStyle/>
                  <a:p>
                    <a:fld id="{58B55CF5-95F8-463E-A741-A3B1048788BE}" type="VALUE">
                      <a:rPr lang="en-US" b="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C-E55C-4F7A-86D3-67A5D1B6776C}"/>
                </c:ext>
              </c:extLst>
            </c:dLbl>
            <c:dLbl>
              <c:idx val="19"/>
              <c:layout>
                <c:manualLayout>
                  <c:x val="-1.4117172532015731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55C-4F7A-86D3-67A5D1B6776C}"/>
                </c:ext>
              </c:extLst>
            </c:dLbl>
            <c:dLbl>
              <c:idx val="20"/>
              <c:layout>
                <c:manualLayout>
                  <c:x val="-9.7751710654936461E-3"/>
                  <c:y val="-4.2560350842220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55C-4F7A-86D3-67A5D1B6776C}"/>
                </c:ext>
              </c:extLst>
            </c:dLbl>
            <c:dLbl>
              <c:idx val="21"/>
              <c:layout>
                <c:manualLayout>
                  <c:x val="-1.3685239491691105E-2"/>
                  <c:y val="-3.9100568125186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55C-4F7A-86D3-67A5D1B6776C}"/>
                </c:ext>
              </c:extLst>
            </c:dLbl>
            <c:dLbl>
              <c:idx val="22"/>
              <c:delete val="1"/>
              <c:extLst>
                <c:ext xmlns:c15="http://schemas.microsoft.com/office/drawing/2012/chart" uri="{CE6537A1-D6FC-4f65-9D91-7224C49458BB}"/>
                <c:ext xmlns:c16="http://schemas.microsoft.com/office/drawing/2014/chart" uri="{C3380CC4-5D6E-409C-BE32-E72D297353CC}">
                  <c16:uniqueId val="{00000030-E55C-4F7A-86D3-67A5D1B6776C}"/>
                </c:ext>
              </c:extLst>
            </c:dLbl>
            <c:dLbl>
              <c:idx val="23"/>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31-E55C-4F7A-86D3-67A5D1B6776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Лист1!$A$2:$A$25</c:f>
              <c:strCache>
                <c:ptCount val="24"/>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pt idx="18">
                  <c:v>июль</c:v>
                </c:pt>
                <c:pt idx="19">
                  <c:v>август</c:v>
                </c:pt>
                <c:pt idx="20">
                  <c:v>сентябрь</c:v>
                </c:pt>
                <c:pt idx="21">
                  <c:v>октябрь</c:v>
                </c:pt>
                <c:pt idx="22">
                  <c:v>ноябрь</c:v>
                </c:pt>
                <c:pt idx="23">
                  <c:v>декабрь</c:v>
                </c:pt>
              </c:strCache>
            </c:strRef>
          </c:cat>
          <c:val>
            <c:numRef>
              <c:f>Лист1!$C$2:$C$25</c:f>
              <c:numCache>
                <c:formatCode>General</c:formatCode>
                <c:ptCount val="24"/>
                <c:pt idx="0">
                  <c:v>18.12</c:v>
                </c:pt>
                <c:pt idx="1">
                  <c:v>18.12</c:v>
                </c:pt>
                <c:pt idx="2">
                  <c:v>18.12</c:v>
                </c:pt>
                <c:pt idx="3">
                  <c:v>18.12</c:v>
                </c:pt>
                <c:pt idx="4">
                  <c:v>18.45</c:v>
                </c:pt>
                <c:pt idx="5">
                  <c:v>19.059999999999999</c:v>
                </c:pt>
                <c:pt idx="6">
                  <c:v>19.100000000000001</c:v>
                </c:pt>
                <c:pt idx="7">
                  <c:v>19.27</c:v>
                </c:pt>
                <c:pt idx="8">
                  <c:v>20.05</c:v>
                </c:pt>
                <c:pt idx="9">
                  <c:v>20.350000000000001</c:v>
                </c:pt>
                <c:pt idx="10">
                  <c:v>21.31</c:v>
                </c:pt>
                <c:pt idx="11">
                  <c:v>22.65</c:v>
                </c:pt>
                <c:pt idx="12">
                  <c:v>23.78</c:v>
                </c:pt>
                <c:pt idx="13">
                  <c:v>24.4</c:v>
                </c:pt>
                <c:pt idx="14">
                  <c:v>26.83</c:v>
                </c:pt>
                <c:pt idx="15">
                  <c:v>28.18</c:v>
                </c:pt>
                <c:pt idx="16">
                  <c:v>28.18</c:v>
                </c:pt>
                <c:pt idx="17">
                  <c:v>29.41</c:v>
                </c:pt>
                <c:pt idx="18">
                  <c:v>29.97</c:v>
                </c:pt>
                <c:pt idx="19">
                  <c:v>30.06</c:v>
                </c:pt>
                <c:pt idx="20">
                  <c:v>29.74</c:v>
                </c:pt>
                <c:pt idx="21">
                  <c:v>29.29</c:v>
                </c:pt>
                <c:pt idx="22">
                  <c:v>29.16</c:v>
                </c:pt>
                <c:pt idx="23">
                  <c:v>29.16</c:v>
                </c:pt>
              </c:numCache>
            </c:numRef>
          </c:val>
          <c:smooth val="0"/>
          <c:extLst>
            <c:ext xmlns:c16="http://schemas.microsoft.com/office/drawing/2014/chart" uri="{C3380CC4-5D6E-409C-BE32-E72D297353CC}">
              <c16:uniqueId val="{00000032-E55C-4F7A-86D3-67A5D1B6776C}"/>
            </c:ext>
          </c:extLst>
        </c:ser>
        <c:dLbls>
          <c:showLegendKey val="0"/>
          <c:showVal val="0"/>
          <c:showCatName val="0"/>
          <c:showSerName val="0"/>
          <c:showPercent val="0"/>
          <c:showBubbleSize val="0"/>
        </c:dLbls>
        <c:marker val="1"/>
        <c:smooth val="0"/>
        <c:axId val="130195840"/>
        <c:axId val="130197376"/>
      </c:lineChart>
      <c:catAx>
        <c:axId val="1301958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0197376"/>
        <c:crosses val="autoZero"/>
        <c:auto val="1"/>
        <c:lblAlgn val="ctr"/>
        <c:lblOffset val="100"/>
        <c:noMultiLvlLbl val="0"/>
      </c:catAx>
      <c:valAx>
        <c:axId val="130197376"/>
        <c:scaling>
          <c:orientation val="minMax"/>
          <c:max val="38"/>
          <c:min val="16"/>
        </c:scaling>
        <c:delete val="1"/>
        <c:axPos val="l"/>
        <c:majorGridlines>
          <c:spPr>
            <a:ln w="9525" cap="flat" cmpd="sng" algn="ctr">
              <a:noFill/>
              <a:round/>
            </a:ln>
            <a:effectLst/>
          </c:spPr>
        </c:majorGridlines>
        <c:numFmt formatCode="0.0" sourceLinked="0"/>
        <c:majorTickMark val="none"/>
        <c:minorTickMark val="none"/>
        <c:tickLblPos val="nextTo"/>
        <c:crossAx val="130195840"/>
        <c:crosses val="autoZero"/>
        <c:crossBetween val="between"/>
        <c:majorUnit val="3"/>
      </c:valAx>
      <c:spPr>
        <a:noFill/>
        <a:ln>
          <a:noFill/>
        </a:ln>
        <a:effectLst/>
      </c:spPr>
    </c:plotArea>
    <c:legend>
      <c:legendPos val="b"/>
      <c:layout>
        <c:manualLayout>
          <c:xMode val="edge"/>
          <c:yMode val="edge"/>
          <c:x val="4.3952262241788873E-2"/>
          <c:y val="0.91141423901646756"/>
          <c:w val="0.89999992063284195"/>
          <c:h val="8.858576098353240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603867859293792"/>
          <c:y val="4.0806642941874423E-2"/>
          <c:w val="0.86057663346936619"/>
          <c:h val="0.47473496417930588"/>
        </c:manualLayout>
      </c:layout>
      <c:barChart>
        <c:barDir val="col"/>
        <c:grouping val="clustered"/>
        <c:varyColors val="0"/>
        <c:ser>
          <c:idx val="0"/>
          <c:order val="0"/>
          <c:tx>
            <c:strRef>
              <c:f>Лист1!$B$1</c:f>
              <c:strCache>
                <c:ptCount val="1"/>
                <c:pt idx="0">
                  <c:v>ПМР</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scene3d>
              <a:camera prst="orthographicFront"/>
              <a:lightRig rig="threePt" dir="t">
                <a:rot lat="0" lon="0" rev="1200000"/>
              </a:lightRig>
            </a:scene3d>
            <a:sp3d/>
          </c:spPr>
          <c:invertIfNegative val="0"/>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Лист1!$B$2:$B$5</c:f>
              <c:numCache>
                <c:formatCode>0.0</c:formatCode>
                <c:ptCount val="4"/>
                <c:pt idx="0">
                  <c:v>107.4</c:v>
                </c:pt>
                <c:pt idx="1">
                  <c:v>111.6</c:v>
                </c:pt>
                <c:pt idx="2">
                  <c:v>106.2</c:v>
                </c:pt>
                <c:pt idx="3">
                  <c:v>101.8</c:v>
                </c:pt>
              </c:numCache>
            </c:numRef>
          </c:val>
          <c:extLst>
            <c:ext xmlns:c16="http://schemas.microsoft.com/office/drawing/2014/chart" uri="{C3380CC4-5D6E-409C-BE32-E72D297353CC}">
              <c16:uniqueId val="{00000000-C619-4346-910B-9EDF8662B183}"/>
            </c:ext>
          </c:extLst>
        </c:ser>
        <c:ser>
          <c:idx val="1"/>
          <c:order val="1"/>
          <c:tx>
            <c:strRef>
              <c:f>Лист1!$C$1</c:f>
              <c:strCache>
                <c:ptCount val="1"/>
                <c:pt idx="0">
                  <c:v>РФ</c:v>
                </c:pt>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scene3d>
              <a:camera prst="orthographicFront"/>
              <a:lightRig rig="threePt" dir="t">
                <a:rot lat="0" lon="0" rev="1200000"/>
              </a:lightRig>
            </a:scene3d>
            <a:sp3d/>
          </c:spPr>
          <c:invertIfNegative val="0"/>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Лист1!$C$2:$C$5</c:f>
              <c:numCache>
                <c:formatCode>0.0</c:formatCode>
                <c:ptCount val="4"/>
                <c:pt idx="0">
                  <c:v>108.4</c:v>
                </c:pt>
                <c:pt idx="1">
                  <c:v>110.6</c:v>
                </c:pt>
                <c:pt idx="2">
                  <c:v>108.6</c:v>
                </c:pt>
                <c:pt idx="3">
                  <c:v>105</c:v>
                </c:pt>
              </c:numCache>
            </c:numRef>
          </c:val>
          <c:extLst>
            <c:ext xmlns:c16="http://schemas.microsoft.com/office/drawing/2014/chart" uri="{C3380CC4-5D6E-409C-BE32-E72D297353CC}">
              <c16:uniqueId val="{00000001-C619-4346-910B-9EDF8662B183}"/>
            </c:ext>
          </c:extLst>
        </c:ser>
        <c:ser>
          <c:idx val="2"/>
          <c:order val="2"/>
          <c:tx>
            <c:strRef>
              <c:f>Лист1!$D$1</c:f>
              <c:strCache>
                <c:ptCount val="1"/>
                <c:pt idx="0">
                  <c:v>РМ</c:v>
                </c:pt>
              </c:strCache>
            </c:strRef>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scene3d>
              <a:camera prst="orthographicFront"/>
              <a:lightRig rig="threePt" dir="t">
                <a:rot lat="0" lon="0" rev="1200000"/>
              </a:lightRig>
            </a:scene3d>
            <a:sp3d/>
          </c:spPr>
          <c:invertIfNegative val="0"/>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Лист1!$D$2:$D$5</c:f>
              <c:numCache>
                <c:formatCode>0.0</c:formatCode>
                <c:ptCount val="4"/>
                <c:pt idx="0">
                  <c:v>113.9</c:v>
                </c:pt>
                <c:pt idx="1">
                  <c:v>117.8</c:v>
                </c:pt>
                <c:pt idx="2">
                  <c:v>112.1</c:v>
                </c:pt>
                <c:pt idx="3">
                  <c:v>111.6</c:v>
                </c:pt>
              </c:numCache>
            </c:numRef>
          </c:val>
          <c:extLst>
            <c:ext xmlns:c16="http://schemas.microsoft.com/office/drawing/2014/chart" uri="{C3380CC4-5D6E-409C-BE32-E72D297353CC}">
              <c16:uniqueId val="{00000002-C619-4346-910B-9EDF8662B183}"/>
            </c:ext>
          </c:extLst>
        </c:ser>
        <c:ser>
          <c:idx val="3"/>
          <c:order val="3"/>
          <c:tx>
            <c:strRef>
              <c:f>Лист1!$E$1</c:f>
              <c:strCache>
                <c:ptCount val="1"/>
                <c:pt idx="0">
                  <c:v>РБ</c:v>
                </c:pt>
              </c:strCache>
            </c:strRef>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a:scene3d>
              <a:camera prst="orthographicFront"/>
              <a:lightRig rig="threePt" dir="t">
                <a:rot lat="0" lon="0" rev="1200000"/>
              </a:lightRig>
            </a:scene3d>
            <a:sp3d/>
          </c:spPr>
          <c:invertIfNegative val="0"/>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Лист1!$E$2:$E$5</c:f>
              <c:numCache>
                <c:formatCode>0.0</c:formatCode>
                <c:ptCount val="4"/>
                <c:pt idx="0">
                  <c:v>110</c:v>
                </c:pt>
                <c:pt idx="1">
                  <c:v>111.3</c:v>
                </c:pt>
                <c:pt idx="2">
                  <c:v>109.9</c:v>
                </c:pt>
                <c:pt idx="3">
                  <c:v>107.6</c:v>
                </c:pt>
              </c:numCache>
            </c:numRef>
          </c:val>
          <c:extLst>
            <c:ext xmlns:c16="http://schemas.microsoft.com/office/drawing/2014/chart" uri="{C3380CC4-5D6E-409C-BE32-E72D297353CC}">
              <c16:uniqueId val="{00000003-C619-4346-910B-9EDF8662B183}"/>
            </c:ext>
          </c:extLst>
        </c:ser>
        <c:ser>
          <c:idx val="4"/>
          <c:order val="4"/>
          <c:tx>
            <c:strRef>
              <c:f>Лист1!$F$1</c:f>
              <c:strCache>
                <c:ptCount val="1"/>
                <c:pt idx="0">
                  <c:v>Украина</c:v>
                </c:pt>
              </c:strCache>
            </c:strRef>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Pt>
            <c:idx val="0"/>
            <c:invertIfNegative val="0"/>
            <c:bubble3D val="0"/>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a:scene3d>
                <a:camera prst="orthographicFront"/>
                <a:lightRig rig="threePt" dir="t">
                  <a:rot lat="0" lon="0" rev="1200000"/>
                </a:lightRig>
              </a:scene3d>
              <a:sp3d/>
            </c:spPr>
            <c:extLst>
              <c:ext xmlns:c16="http://schemas.microsoft.com/office/drawing/2014/chart" uri="{C3380CC4-5D6E-409C-BE32-E72D297353CC}">
                <c16:uniqueId val="{00000005-C619-4346-910B-9EDF8662B183}"/>
              </c:ext>
            </c:extLst>
          </c:dPt>
          <c:dPt>
            <c:idx val="1"/>
            <c:invertIfNegative val="0"/>
            <c:bubble3D val="0"/>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a:scene3d>
                <a:camera prst="orthographicFront"/>
                <a:lightRig rig="threePt" dir="t">
                  <a:rot lat="0" lon="0" rev="1200000"/>
                </a:lightRig>
              </a:scene3d>
              <a:sp3d/>
            </c:spPr>
            <c:extLst>
              <c:ext xmlns:c16="http://schemas.microsoft.com/office/drawing/2014/chart" uri="{C3380CC4-5D6E-409C-BE32-E72D297353CC}">
                <c16:uniqueId val="{00000007-C619-4346-910B-9EDF8662B183}"/>
              </c:ext>
            </c:extLst>
          </c:dPt>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Лист1!$F$2:$F$5</c:f>
              <c:numCache>
                <c:formatCode>0.0</c:formatCode>
                <c:ptCount val="4"/>
                <c:pt idx="0">
                  <c:v>110</c:v>
                </c:pt>
                <c:pt idx="1">
                  <c:v>113.3</c:v>
                </c:pt>
              </c:numCache>
            </c:numRef>
          </c:val>
          <c:extLst>
            <c:ext xmlns:c16="http://schemas.microsoft.com/office/drawing/2014/chart" uri="{C3380CC4-5D6E-409C-BE32-E72D297353CC}">
              <c16:uniqueId val="{00000008-C619-4346-910B-9EDF8662B183}"/>
            </c:ext>
          </c:extLst>
        </c:ser>
        <c:dLbls>
          <c:showLegendKey val="0"/>
          <c:showVal val="0"/>
          <c:showCatName val="0"/>
          <c:showSerName val="0"/>
          <c:showPercent val="0"/>
          <c:showBubbleSize val="0"/>
        </c:dLbls>
        <c:gapWidth val="150"/>
        <c:axId val="66838912"/>
        <c:axId val="66840448"/>
      </c:barChart>
      <c:catAx>
        <c:axId val="66838912"/>
        <c:scaling>
          <c:orientation val="minMax"/>
        </c:scaling>
        <c:delete val="0"/>
        <c:axPos val="b"/>
        <c:numFmt formatCode="General" sourceLinked="0"/>
        <c:majorTickMark val="out"/>
        <c:minorTickMark val="none"/>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66840448"/>
        <c:crossesAt val="100"/>
        <c:auto val="1"/>
        <c:lblAlgn val="ctr"/>
        <c:lblOffset val="100"/>
        <c:noMultiLvlLbl val="0"/>
      </c:catAx>
      <c:valAx>
        <c:axId val="66840448"/>
        <c:scaling>
          <c:orientation val="minMax"/>
          <c:max val="118"/>
          <c:min val="100"/>
        </c:scaling>
        <c:delete val="0"/>
        <c:axPos val="l"/>
        <c:numFmt formatCode="0.0" sourceLinked="1"/>
        <c:majorTickMark val="out"/>
        <c:minorTickMark val="none"/>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66838912"/>
        <c:crosses val="autoZero"/>
        <c:crossBetween val="between"/>
        <c:majorUnit val="3"/>
        <c:minorUnit val="1"/>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itchFamily="18" charset="0"/>
                <a:ea typeface="+mn-ea"/>
                <a:cs typeface="Times New Roman" pitchFamily="18" charset="0"/>
              </a:defRPr>
            </a:pPr>
            <a:endParaRPr lang="ru-RU"/>
          </a:p>
        </c:txPr>
      </c:dTable>
      <c:spPr>
        <a:noFill/>
        <a:ln w="25400">
          <a:noFill/>
        </a:ln>
        <a:effectLst/>
      </c:spPr>
    </c:plotArea>
    <c:plotVisOnly val="1"/>
    <c:dispBlanksAs val="gap"/>
    <c:showDLblsOverMax val="0"/>
  </c:chart>
  <c:spPr>
    <a:noFill/>
    <a:ln w="6350" cap="flat" cmpd="sng" algn="ctr">
      <a:noFill/>
      <a:prstDash val="solid"/>
      <a:round/>
    </a:ln>
    <a:effectLst/>
  </c:spPr>
  <c:txPr>
    <a:bodyPr/>
    <a:lstStyle/>
    <a:p>
      <a:pPr>
        <a:defRPr sz="1000">
          <a:latin typeface="Times New Roman" pitchFamily="18" charset="0"/>
          <a:cs typeface="Times New Roman" pitchFamily="18" charset="0"/>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Times New Roman" pitchFamily="18" charset="0"/>
                <a:cs typeface="Times New Roman" pitchFamily="18" charset="0"/>
              </a:defRPr>
            </a:pPr>
            <a:r>
              <a:rPr lang="ru-RU" sz="1200" i="1">
                <a:latin typeface="Times New Roman" pitchFamily="18" charset="0"/>
                <a:cs typeface="Times New Roman" pitchFamily="18" charset="0"/>
              </a:rPr>
              <a:t>в</a:t>
            </a:r>
            <a:r>
              <a:rPr lang="ru-RU" sz="1200" i="1" baseline="0">
                <a:latin typeface="Times New Roman" pitchFamily="18" charset="0"/>
                <a:cs typeface="Times New Roman" pitchFamily="18" charset="0"/>
              </a:rPr>
              <a:t> пределах нормы</a:t>
            </a:r>
            <a:endParaRPr lang="ru-RU" sz="1200" i="1">
              <a:latin typeface="Times New Roman" pitchFamily="18" charset="0"/>
              <a:cs typeface="Times New Roman" pitchFamily="18" charset="0"/>
            </a:endParaRPr>
          </a:p>
        </c:rich>
      </c:tx>
      <c:layout>
        <c:manualLayout>
          <c:xMode val="edge"/>
          <c:yMode val="edge"/>
          <c:x val="0.18391541902332759"/>
          <c:y val="4.5714285714285714E-2"/>
        </c:manualLayout>
      </c:layout>
      <c:overlay val="0"/>
    </c:title>
    <c:autoTitleDeleted val="0"/>
    <c:plotArea>
      <c:layout>
        <c:manualLayout>
          <c:layoutTarget val="inner"/>
          <c:xMode val="edge"/>
          <c:yMode val="edge"/>
          <c:x val="7.8630897317298803E-2"/>
          <c:y val="0.28123805884600678"/>
          <c:w val="0.68468609555165449"/>
          <c:h val="0.46759377660902818"/>
        </c:manualLayout>
      </c:layout>
      <c:barChart>
        <c:barDir val="bar"/>
        <c:grouping val="stacked"/>
        <c:varyColors val="0"/>
        <c:ser>
          <c:idx val="0"/>
          <c:order val="0"/>
          <c:tx>
            <c:strRef>
              <c:f>Лист1!$B$1</c:f>
              <c:strCache>
                <c:ptCount val="1"/>
                <c:pt idx="0">
                  <c:v>подлежит оплате населением</c:v>
                </c:pt>
              </c:strCache>
            </c:strRef>
          </c:tx>
          <c:spPr>
            <a:solidFill>
              <a:schemeClr val="bg1">
                <a:lumMod val="85000"/>
              </a:schemeClr>
            </a:solidFill>
            <a:ln>
              <a:no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
2020 год</c:v>
                </c:pt>
                <c:pt idx="1">
                  <c:v>
2021 год</c:v>
                </c:pt>
              </c:strCache>
            </c:strRef>
          </c:cat>
          <c:val>
            <c:numRef>
              <c:f>Лист1!$B$2:$B$3</c:f>
              <c:numCache>
                <c:formatCode>General</c:formatCode>
                <c:ptCount val="2"/>
                <c:pt idx="0">
                  <c:v>-0.54</c:v>
                </c:pt>
                <c:pt idx="1">
                  <c:v>-0.54</c:v>
                </c:pt>
              </c:numCache>
            </c:numRef>
          </c:val>
          <c:extLst>
            <c:ext xmlns:c16="http://schemas.microsoft.com/office/drawing/2014/chart" uri="{C3380CC4-5D6E-409C-BE32-E72D297353CC}">
              <c16:uniqueId val="{00000000-5085-4F75-9E9F-D10218451804}"/>
            </c:ext>
          </c:extLst>
        </c:ser>
        <c:ser>
          <c:idx val="2"/>
          <c:order val="1"/>
          <c:tx>
            <c:strRef>
              <c:f>Лист1!$C$1</c:f>
              <c:strCache>
                <c:ptCount val="1"/>
                <c:pt idx="0">
                  <c:v>Столбец1</c:v>
                </c:pt>
              </c:strCache>
            </c:strRef>
          </c:tx>
          <c:spPr>
            <a:noFill/>
            <a:ln>
              <a:noFill/>
            </a:ln>
            <a:effectLst/>
          </c:spPr>
          <c:invertIfNegative val="0"/>
          <c:cat>
            <c:strRef>
              <c:f>Лист1!$A$2:$A$3</c:f>
              <c:strCache>
                <c:ptCount val="2"/>
                <c:pt idx="0">
                  <c:v>
2020 год</c:v>
                </c:pt>
                <c:pt idx="1">
                  <c:v>
2021 год</c:v>
                </c:pt>
              </c:strCache>
            </c:strRef>
          </c:cat>
          <c:val>
            <c:numRef>
              <c:f>Лист1!$C$2:$C$3</c:f>
              <c:numCache>
                <c:formatCode>General</c:formatCode>
                <c:ptCount val="2"/>
                <c:pt idx="0">
                  <c:v>-1.0000000000000002E-2</c:v>
                </c:pt>
                <c:pt idx="1">
                  <c:v>-1.0000000000000002E-2</c:v>
                </c:pt>
              </c:numCache>
            </c:numRef>
          </c:val>
          <c:extLst>
            <c:ext xmlns:c16="http://schemas.microsoft.com/office/drawing/2014/chart" uri="{C3380CC4-5D6E-409C-BE32-E72D297353CC}">
              <c16:uniqueId val="{00000001-5085-4F75-9E9F-D10218451804}"/>
            </c:ext>
          </c:extLst>
        </c:ser>
        <c:ser>
          <c:idx val="1"/>
          <c:order val="2"/>
          <c:tx>
            <c:strRef>
              <c:f>Лист1!$D$1</c:f>
              <c:strCache>
                <c:ptCount val="1"/>
                <c:pt idx="0">
                  <c:v>подлежит возмещению из бюджета</c:v>
                </c:pt>
              </c:strCache>
            </c:strRef>
          </c:tx>
          <c:spPr>
            <a:solidFill>
              <a:schemeClr val="tx1">
                <a:lumMod val="65000"/>
                <a:lumOff val="35000"/>
              </a:schemeClr>
            </a:solidFill>
            <a:effectLst/>
          </c:spPr>
          <c:invertIfNegative val="0"/>
          <c:dLbls>
            <c:numFmt formatCode="#,##0.00;#,##0.00" sourceLinked="0"/>
            <c:spPr>
              <a:noFill/>
              <a:ln>
                <a:noFill/>
              </a:ln>
              <a:effectLst/>
            </c:spPr>
            <c:txPr>
              <a:bodyPr/>
              <a:lstStyle/>
              <a:p>
                <a:pPr>
                  <a:defRPr sz="900">
                    <a:solidFill>
                      <a:schemeClr val="bg1"/>
                    </a:solidFill>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2020 год</c:v>
                </c:pt>
                <c:pt idx="1">
                  <c:v>
2021 год</c:v>
                </c:pt>
              </c:strCache>
            </c:strRef>
          </c:cat>
          <c:val>
            <c:numRef>
              <c:f>Лист1!$D$2:$D$3</c:f>
              <c:numCache>
                <c:formatCode>General</c:formatCode>
                <c:ptCount val="2"/>
                <c:pt idx="0">
                  <c:v>-0.19</c:v>
                </c:pt>
                <c:pt idx="1">
                  <c:v>-0.23</c:v>
                </c:pt>
              </c:numCache>
            </c:numRef>
          </c:val>
          <c:extLst>
            <c:ext xmlns:c16="http://schemas.microsoft.com/office/drawing/2014/chart" uri="{C3380CC4-5D6E-409C-BE32-E72D297353CC}">
              <c16:uniqueId val="{00000002-5085-4F75-9E9F-D10218451804}"/>
            </c:ext>
          </c:extLst>
        </c:ser>
        <c:dLbls>
          <c:showLegendKey val="0"/>
          <c:showVal val="0"/>
          <c:showCatName val="0"/>
          <c:showSerName val="0"/>
          <c:showPercent val="0"/>
          <c:showBubbleSize val="0"/>
        </c:dLbls>
        <c:gapWidth val="97"/>
        <c:overlap val="100"/>
        <c:axId val="69903488"/>
        <c:axId val="79008128"/>
      </c:barChart>
      <c:catAx>
        <c:axId val="69903488"/>
        <c:scaling>
          <c:orientation val="maxMin"/>
        </c:scaling>
        <c:delete val="0"/>
        <c:axPos val="l"/>
        <c:numFmt formatCode="General" sourceLinked="1"/>
        <c:majorTickMark val="none"/>
        <c:minorTickMark val="none"/>
        <c:tickLblPos val="high"/>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008128"/>
        <c:crosses val="autoZero"/>
        <c:auto val="1"/>
        <c:lblAlgn val="ctr"/>
        <c:lblOffset val="100"/>
        <c:noMultiLvlLbl val="0"/>
      </c:catAx>
      <c:valAx>
        <c:axId val="79008128"/>
        <c:scaling>
          <c:orientation val="minMax"/>
        </c:scaling>
        <c:delete val="1"/>
        <c:axPos val="t"/>
        <c:numFmt formatCode="#,##0.0;#,##0.0" sourceLinked="0"/>
        <c:majorTickMark val="out"/>
        <c:minorTickMark val="none"/>
        <c:tickLblPos val="nextTo"/>
        <c:crossAx val="69903488"/>
        <c:crosses val="autoZero"/>
        <c:crossBetween val="between"/>
        <c:majorUnit val="0.1"/>
      </c:valAx>
      <c:spPr>
        <a:noFill/>
        <a:ln>
          <a:noFill/>
        </a:ln>
        <a:effectLst/>
      </c:spPr>
    </c:plotArea>
    <c:legend>
      <c:legendPos val="b"/>
      <c:legendEntry>
        <c:idx val="1"/>
        <c:delete val="1"/>
      </c:legendEntry>
      <c:legendEntry>
        <c:idx val="2"/>
        <c:delete val="1"/>
      </c:legendEntry>
      <c:layout>
        <c:manualLayout>
          <c:xMode val="edge"/>
          <c:yMode val="edge"/>
          <c:x val="0.12651379955858891"/>
          <c:y val="0.78736847806137344"/>
          <c:w val="0.66147268131724057"/>
          <c:h val="0.120971058564305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Times New Roman" pitchFamily="18" charset="0"/>
                <a:cs typeface="Times New Roman" pitchFamily="18" charset="0"/>
              </a:defRPr>
            </a:pPr>
            <a:r>
              <a:rPr lang="ru-RU" sz="1200" i="1">
                <a:latin typeface="Times New Roman" pitchFamily="18" charset="0"/>
                <a:cs typeface="Times New Roman" pitchFamily="18" charset="0"/>
              </a:rPr>
              <a:t>сверх</a:t>
            </a:r>
            <a:r>
              <a:rPr lang="ru-RU" sz="1200" i="1" baseline="0">
                <a:latin typeface="Times New Roman" pitchFamily="18" charset="0"/>
                <a:cs typeface="Times New Roman" pitchFamily="18" charset="0"/>
              </a:rPr>
              <a:t> нормы</a:t>
            </a:r>
            <a:endParaRPr lang="ru-RU" sz="1200" i="1">
              <a:latin typeface="Times New Roman" pitchFamily="18" charset="0"/>
              <a:cs typeface="Times New Roman" pitchFamily="18" charset="0"/>
            </a:endParaRPr>
          </a:p>
        </c:rich>
      </c:tx>
      <c:layout>
        <c:manualLayout>
          <c:xMode val="edge"/>
          <c:yMode val="edge"/>
          <c:x val="0.17744586152083236"/>
          <c:y val="3.8095238095238099E-2"/>
        </c:manualLayout>
      </c:layout>
      <c:overlay val="0"/>
    </c:title>
    <c:autoTitleDeleted val="0"/>
    <c:plotArea>
      <c:layout>
        <c:manualLayout>
          <c:layoutTarget val="inner"/>
          <c:xMode val="edge"/>
          <c:yMode val="edge"/>
          <c:x val="4.1244844394450461E-2"/>
          <c:y val="0.25713198934956288"/>
          <c:w val="0.58550496148611186"/>
          <c:h val="0.49284629645714301"/>
        </c:manualLayout>
      </c:layout>
      <c:barChart>
        <c:barDir val="bar"/>
        <c:grouping val="stacked"/>
        <c:varyColors val="0"/>
        <c:ser>
          <c:idx val="0"/>
          <c:order val="0"/>
          <c:tx>
            <c:strRef>
              <c:f>Лист1!$B$1</c:f>
              <c:strCache>
                <c:ptCount val="1"/>
                <c:pt idx="0">
                  <c:v>подлежит оплате населением</c:v>
                </c:pt>
              </c:strCache>
            </c:strRef>
          </c:tx>
          <c:spPr>
            <a:solidFill>
              <a:schemeClr val="bg1">
                <a:lumMod val="85000"/>
              </a:schemeClr>
            </a:solidFill>
            <a:ln>
              <a:noFill/>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Январь-июнь 2020 года</c:v>
                </c:pt>
                <c:pt idx="1">
                  <c:v>Январь-июнь 2021 года</c:v>
                </c:pt>
              </c:strCache>
            </c:strRef>
          </c:cat>
          <c:val>
            <c:numRef>
              <c:f>Лист1!$B$2:$B$3</c:f>
              <c:numCache>
                <c:formatCode>General</c:formatCode>
                <c:ptCount val="2"/>
                <c:pt idx="0">
                  <c:v>0.72000000000000008</c:v>
                </c:pt>
                <c:pt idx="1">
                  <c:v>0.72000000000000008</c:v>
                </c:pt>
              </c:numCache>
            </c:numRef>
          </c:val>
          <c:extLst>
            <c:ext xmlns:c16="http://schemas.microsoft.com/office/drawing/2014/chart" uri="{C3380CC4-5D6E-409C-BE32-E72D297353CC}">
              <c16:uniqueId val="{00000000-2088-48CF-985B-FFBC76E283E6}"/>
            </c:ext>
          </c:extLst>
        </c:ser>
        <c:ser>
          <c:idx val="2"/>
          <c:order val="1"/>
          <c:tx>
            <c:strRef>
              <c:f>Лист1!$C$1</c:f>
              <c:strCache>
                <c:ptCount val="1"/>
                <c:pt idx="0">
                  <c:v>Столбец1</c:v>
                </c:pt>
              </c:strCache>
            </c:strRef>
          </c:tx>
          <c:spPr>
            <a:noFill/>
            <a:ln>
              <a:noFill/>
            </a:ln>
            <a:effectLst/>
          </c:spPr>
          <c:invertIfNegative val="0"/>
          <c:cat>
            <c:strRef>
              <c:f>Лист1!$A$2:$A$3</c:f>
              <c:strCache>
                <c:ptCount val="2"/>
                <c:pt idx="0">
                  <c:v>Январь-июнь 2020 года</c:v>
                </c:pt>
                <c:pt idx="1">
                  <c:v>Январь-июнь 2021 года</c:v>
                </c:pt>
              </c:strCache>
            </c:strRef>
          </c:cat>
          <c:val>
            <c:numRef>
              <c:f>Лист1!$C$2:$C$3</c:f>
              <c:numCache>
                <c:formatCode>General</c:formatCode>
                <c:ptCount val="2"/>
                <c:pt idx="0">
                  <c:v>1.0000000000000002E-2</c:v>
                </c:pt>
                <c:pt idx="1">
                  <c:v>1.0000000000000002E-2</c:v>
                </c:pt>
              </c:numCache>
            </c:numRef>
          </c:val>
          <c:extLst>
            <c:ext xmlns:c16="http://schemas.microsoft.com/office/drawing/2014/chart" uri="{C3380CC4-5D6E-409C-BE32-E72D297353CC}">
              <c16:uniqueId val="{00000001-2088-48CF-985B-FFBC76E283E6}"/>
            </c:ext>
          </c:extLst>
        </c:ser>
        <c:ser>
          <c:idx val="1"/>
          <c:order val="2"/>
          <c:tx>
            <c:strRef>
              <c:f>Лист1!$D$1</c:f>
              <c:strCache>
                <c:ptCount val="1"/>
                <c:pt idx="0">
                  <c:v>подлежит возмещению из бюджета</c:v>
                </c:pt>
              </c:strCache>
            </c:strRef>
          </c:tx>
          <c:spPr>
            <a:solidFill>
              <a:schemeClr val="tx1">
                <a:lumMod val="65000"/>
                <a:lumOff val="35000"/>
              </a:schemeClr>
            </a:solidFill>
            <a:effectLst/>
          </c:spPr>
          <c:invertIfNegative val="0"/>
          <c:dLbls>
            <c:spPr>
              <a:noFill/>
              <a:ln>
                <a:noFill/>
              </a:ln>
              <a:effectLst/>
            </c:spPr>
            <c:txPr>
              <a:bodyPr/>
              <a:lstStyle/>
              <a:p>
                <a:pPr>
                  <a:defRPr sz="900">
                    <a:solidFill>
                      <a:schemeClr val="bg1"/>
                    </a:solidFill>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Январь-июнь 2020 года</c:v>
                </c:pt>
                <c:pt idx="1">
                  <c:v>Январь-июнь 2021 года</c:v>
                </c:pt>
              </c:strCache>
            </c:strRef>
          </c:cat>
          <c:val>
            <c:numRef>
              <c:f>Лист1!$D$2:$D$3</c:f>
              <c:numCache>
                <c:formatCode>General</c:formatCode>
                <c:ptCount val="2"/>
                <c:pt idx="0">
                  <c:v>0.19</c:v>
                </c:pt>
                <c:pt idx="1">
                  <c:v>0.18000000000000002</c:v>
                </c:pt>
              </c:numCache>
            </c:numRef>
          </c:val>
          <c:extLst>
            <c:ext xmlns:c16="http://schemas.microsoft.com/office/drawing/2014/chart" uri="{C3380CC4-5D6E-409C-BE32-E72D297353CC}">
              <c16:uniqueId val="{00000002-2088-48CF-985B-FFBC76E283E6}"/>
            </c:ext>
          </c:extLst>
        </c:ser>
        <c:dLbls>
          <c:showLegendKey val="0"/>
          <c:showVal val="0"/>
          <c:showCatName val="0"/>
          <c:showSerName val="0"/>
          <c:showPercent val="0"/>
          <c:showBubbleSize val="0"/>
        </c:dLbls>
        <c:gapWidth val="97"/>
        <c:overlap val="100"/>
        <c:axId val="79833344"/>
        <c:axId val="79839616"/>
      </c:barChart>
      <c:catAx>
        <c:axId val="79833344"/>
        <c:scaling>
          <c:orientation val="maxMin"/>
        </c:scaling>
        <c:delete val="0"/>
        <c:axPos val="l"/>
        <c:numFmt formatCode="General" sourceLinked="1"/>
        <c:majorTickMark val="none"/>
        <c:minorTickMark val="none"/>
        <c:tickLblPos val="high"/>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79839616"/>
        <c:crosses val="autoZero"/>
        <c:auto val="1"/>
        <c:lblAlgn val="ctr"/>
        <c:lblOffset val="100"/>
        <c:noMultiLvlLbl val="0"/>
      </c:catAx>
      <c:valAx>
        <c:axId val="79839616"/>
        <c:scaling>
          <c:orientation val="minMax"/>
        </c:scaling>
        <c:delete val="1"/>
        <c:axPos val="t"/>
        <c:numFmt formatCode="#,##0.0;#,##0.0" sourceLinked="0"/>
        <c:majorTickMark val="out"/>
        <c:minorTickMark val="none"/>
        <c:tickLblPos val="nextTo"/>
        <c:crossAx val="79833344"/>
        <c:crosses val="autoZero"/>
        <c:crossBetween val="between"/>
        <c:majorUnit val="0.1"/>
      </c:valAx>
      <c:spPr>
        <a:noFill/>
        <a:ln>
          <a:noFill/>
        </a:ln>
        <a:effectLst/>
      </c:spPr>
    </c:plotArea>
    <c:legend>
      <c:legendPos val="b"/>
      <c:legendEntry>
        <c:idx val="0"/>
        <c:delete val="1"/>
      </c:legendEntry>
      <c:legendEntry>
        <c:idx val="1"/>
        <c:delete val="1"/>
      </c:legendEntry>
      <c:layout>
        <c:manualLayout>
          <c:xMode val="edge"/>
          <c:yMode val="edge"/>
          <c:x val="1.5154156387112109E-3"/>
          <c:y val="0.79507738878177958"/>
          <c:w val="0.67042018539223369"/>
          <c:h val="0.120832858573561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lgn="just">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93097709719218"/>
          <c:y val="4.0204678362573097E-2"/>
          <c:w val="0.66340064791729059"/>
          <c:h val="0.85168638679523334"/>
        </c:manualLayout>
      </c:layout>
      <c:barChart>
        <c:barDir val="bar"/>
        <c:grouping val="clustered"/>
        <c:varyColors val="0"/>
        <c:ser>
          <c:idx val="0"/>
          <c:order val="0"/>
          <c:tx>
            <c:strRef>
              <c:f>Лист1!$C$3</c:f>
              <c:strCache>
                <c:ptCount val="1"/>
                <c:pt idx="0">
                  <c:v>2021 год</c:v>
                </c:pt>
              </c:strCache>
            </c:strRef>
          </c:tx>
          <c:spPr>
            <a:solidFill>
              <a:srgbClr val="595959"/>
            </a:solidFill>
            <a:ln>
              <a:noFill/>
            </a:ln>
            <a:effectLst/>
          </c:spPr>
          <c:invertIfNegative val="0"/>
          <c:dLbls>
            <c:dLbl>
              <c:idx val="0"/>
              <c:layout>
                <c:manualLayout>
                  <c:x val="0"/>
                  <c:y val="-6.573280549876017E-3"/>
                </c:manualLayout>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E2-4965-8990-734748D0B0DE}"/>
                </c:ext>
              </c:extLst>
            </c:dLbl>
            <c:dLbl>
              <c:idx val="1"/>
              <c:layout>
                <c:manualLayout>
                  <c:x val="0"/>
                  <c:y val="-1.3675213675213675E-2"/>
                </c:manualLayout>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E2-4965-8990-734748D0B0DE}"/>
                </c:ext>
              </c:extLst>
            </c:dLbl>
            <c:dLbl>
              <c:idx val="2"/>
              <c:layout>
                <c:manualLayout>
                  <c:x val="1.8967583228641843E-4"/>
                  <c:y val="-1.7377722899685151E-2"/>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t>+12,6%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6220298767664026E-2"/>
                      <c:h val="4.4363915836487293E-2"/>
                    </c:manualLayout>
                  </c15:layout>
                </c:ext>
                <c:ext xmlns:c16="http://schemas.microsoft.com/office/drawing/2014/chart" uri="{C3380CC4-5D6E-409C-BE32-E72D297353CC}">
                  <c16:uniqueId val="{00000002-CAE2-4965-8990-734748D0B0DE}"/>
                </c:ext>
              </c:extLst>
            </c:dLbl>
            <c:dLbl>
              <c:idx val="3"/>
              <c:layout>
                <c:manualLayout>
                  <c:x val="-3.8218994840436399E-3"/>
                  <c:y val="-9.963928305753357E-3"/>
                </c:manualLayout>
              </c:layout>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E2-4965-8990-734748D0B0DE}"/>
                </c:ext>
              </c:extLst>
            </c:dLbl>
            <c:dLbl>
              <c:idx val="4"/>
              <c:layout>
                <c:manualLayout>
                  <c:x val="-4.2012393656128558E-3"/>
                  <c:y val="-6.8374878554545325E-3"/>
                </c:manualLayout>
              </c:layout>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E2-4965-8990-734748D0B0DE}"/>
                </c:ext>
              </c:extLst>
            </c:dLbl>
            <c:dLbl>
              <c:idx val="5"/>
              <c:layout>
                <c:manualLayout>
                  <c:x val="-9.5546768974012694E-3"/>
                  <c:y val="-1.0228389959542349E-2"/>
                </c:manualLayout>
              </c:layout>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E2-4965-8990-734748D0B0DE}"/>
                </c:ext>
              </c:extLst>
            </c:dLbl>
            <c:dLbl>
              <c:idx val="6"/>
              <c:layout>
                <c:manualLayout>
                  <c:x val="-6.6720486025107122E-17"/>
                  <c:y val="-1.3675213675213675E-2"/>
                </c:manualLayout>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E2-4965-8990-734748D0B0DE}"/>
                </c:ext>
              </c:extLst>
            </c:dLbl>
            <c:dLbl>
              <c:idx val="7"/>
              <c:layout>
                <c:manualLayout>
                  <c:x val="-7.0067347783484828E-17"/>
                  <c:y val="-1.4260249554367202E-2"/>
                </c:manualLayout>
              </c:layout>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E2-4965-8990-734748D0B0DE}"/>
                </c:ext>
              </c:extLst>
            </c:dLbl>
            <c:dLbl>
              <c:idx val="8"/>
              <c:layout>
                <c:manualLayout>
                  <c:x val="0"/>
                  <c:y val="-1.025641025641026E-2"/>
                </c:manualLayout>
              </c:layout>
              <c:tx>
                <c:rich>
                  <a:bodyPr/>
                  <a:lstStyle/>
                  <a:p>
                    <a:r>
                      <a:rPr lang="en-US"/>
                      <a:t>+20,0%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E2-4965-8990-734748D0B0DE}"/>
                </c:ext>
              </c:extLst>
            </c:dLbl>
            <c:dLbl>
              <c:idx val="9"/>
              <c:layout>
                <c:manualLayout>
                  <c:x val="-3.8218994840436399E-3"/>
                  <c:y val="-2.7104342220380354E-3"/>
                </c:manualLayout>
              </c:layout>
              <c:tx>
                <c:rich>
                  <a:bodyPr/>
                  <a:lstStyle/>
                  <a:p>
                    <a:r>
                      <a:rPr lang="en-US"/>
                      <a:t>+14,9%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E2-4965-8990-734748D0B0DE}"/>
                </c:ext>
              </c:extLst>
            </c:dLbl>
            <c:dLbl>
              <c:idx val="10"/>
              <c:layout>
                <c:manualLayout>
                  <c:x val="0"/>
                  <c:y val="-1.025641025641026E-2"/>
                </c:manualLayout>
              </c:layout>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E2-4965-8990-734748D0B0DE}"/>
                </c:ext>
              </c:extLst>
            </c:dLbl>
            <c:dLbl>
              <c:idx val="11"/>
              <c:layout>
                <c:manualLayout>
                  <c:x val="5.7328492260653565E-3"/>
                  <c:y val="-1.3911336740802171E-2"/>
                </c:manualLayout>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E2-4965-8990-734748D0B0DE}"/>
                </c:ext>
              </c:extLst>
            </c:dLbl>
            <c:dLbl>
              <c:idx val="12"/>
              <c:layout>
                <c:manualLayout>
                  <c:x val="0"/>
                  <c:y val="-1.025641025641026E-2"/>
                </c:manualLayout>
              </c:layout>
              <c:tx>
                <c:rich>
                  <a:bodyPr/>
                  <a:lstStyle/>
                  <a:p>
                    <a:r>
                      <a:rPr lang="en-US"/>
                      <a:t>+12,6%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AE2-4965-8990-734748D0B0DE}"/>
                </c:ext>
              </c:extLst>
            </c:dLbl>
            <c:dLbl>
              <c:idx val="13"/>
              <c:layout>
                <c:manualLayout>
                  <c:x val="-6.6720486025107122E-17"/>
                  <c:y val="-1.025641025641026E-2"/>
                </c:manualLayout>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AE2-4965-8990-734748D0B0DE}"/>
                </c:ext>
              </c:extLst>
            </c:dLbl>
            <c:dLbl>
              <c:idx val="14"/>
              <c:layout>
                <c:manualLayout>
                  <c:x val="0"/>
                  <c:y val="-6.8376732513698961E-3"/>
                </c:manualLayout>
              </c:layout>
              <c:tx>
                <c:rich>
                  <a:bodyPr/>
                  <a:lstStyle/>
                  <a:p>
                    <a:r>
                      <a:rPr lang="en-US"/>
                      <a:t>+6,6%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AE2-4965-8990-734748D0B0DE}"/>
                </c:ext>
              </c:extLst>
            </c:dLbl>
            <c:dLbl>
              <c:idx val="15"/>
              <c:layout>
                <c:manualLayout>
                  <c:x val="-2.1006196828065051E-3"/>
                  <c:y val="-1.0256521802178042E-2"/>
                </c:manualLayout>
              </c:layout>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AE2-4965-8990-734748D0B0DE}"/>
                </c:ext>
              </c:extLst>
            </c:dLbl>
            <c:dLbl>
              <c:idx val="16"/>
              <c:layout>
                <c:manualLayout>
                  <c:x val="3.8033918605578487E-3"/>
                  <c:y val="-6.5893079154579386E-3"/>
                </c:manualLayout>
              </c:layout>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AE2-4965-8990-734748D0B0D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Лист1!$B$4:$B$20</c:f>
              <c:strCache>
                <c:ptCount val="17"/>
                <c:pt idx="0">
                  <c:v>страхование</c:v>
                </c:pt>
                <c:pt idx="1">
                  <c:v>банки и кредитование</c:v>
                </c:pt>
                <c:pt idx="2">
                  <c:v>физкультура, отдых и туризм</c:v>
                </c:pt>
                <c:pt idx="3">
                  <c:v>культура и искусство</c:v>
                </c:pt>
                <c:pt idx="4">
                  <c:v>образование</c:v>
                </c:pt>
                <c:pt idx="5">
                  <c:v>здравоохранение</c:v>
                </c:pt>
                <c:pt idx="6">
                  <c:v>ЖКХ</c:v>
                </c:pt>
                <c:pt idx="7">
                  <c:v>редакции и издательства</c:v>
                </c:pt>
                <c:pt idx="8">
                  <c:v>геология и метеорология</c:v>
                </c:pt>
                <c:pt idx="9">
                  <c:v>операции с недвиж. имуществом</c:v>
                </c:pt>
                <c:pt idx="10">
                  <c:v>торговля и общепит</c:v>
                </c:pt>
                <c:pt idx="11">
                  <c:v>строительство</c:v>
                </c:pt>
                <c:pt idx="12">
                  <c:v>связь</c:v>
                </c:pt>
                <c:pt idx="13">
                  <c:v>транспорт</c:v>
                </c:pt>
                <c:pt idx="14">
                  <c:v>лесное хозяйство</c:v>
                </c:pt>
                <c:pt idx="15">
                  <c:v>сельское хозяйство</c:v>
                </c:pt>
                <c:pt idx="16">
                  <c:v>промышленность</c:v>
                </c:pt>
              </c:strCache>
            </c:strRef>
          </c:cat>
          <c:val>
            <c:numRef>
              <c:f>Лист1!$C$4:$C$20</c:f>
              <c:numCache>
                <c:formatCode>General</c:formatCode>
                <c:ptCount val="17"/>
                <c:pt idx="0">
                  <c:v>8394</c:v>
                </c:pt>
                <c:pt idx="1">
                  <c:v>9261</c:v>
                </c:pt>
                <c:pt idx="2">
                  <c:v>6123</c:v>
                </c:pt>
                <c:pt idx="3">
                  <c:v>3080</c:v>
                </c:pt>
                <c:pt idx="4">
                  <c:v>3471</c:v>
                </c:pt>
                <c:pt idx="5">
                  <c:v>4858</c:v>
                </c:pt>
                <c:pt idx="6">
                  <c:v>5382</c:v>
                </c:pt>
                <c:pt idx="7">
                  <c:v>4633</c:v>
                </c:pt>
                <c:pt idx="8">
                  <c:v>3153</c:v>
                </c:pt>
                <c:pt idx="9">
                  <c:v>5152</c:v>
                </c:pt>
                <c:pt idx="10">
                  <c:v>5183</c:v>
                </c:pt>
                <c:pt idx="11">
                  <c:v>5893</c:v>
                </c:pt>
                <c:pt idx="12">
                  <c:v>10462</c:v>
                </c:pt>
                <c:pt idx="13">
                  <c:v>5248</c:v>
                </c:pt>
                <c:pt idx="14">
                  <c:v>2342</c:v>
                </c:pt>
                <c:pt idx="15">
                  <c:v>5006</c:v>
                </c:pt>
                <c:pt idx="16">
                  <c:v>7283</c:v>
                </c:pt>
              </c:numCache>
            </c:numRef>
          </c:val>
          <c:extLst>
            <c:ext xmlns:c16="http://schemas.microsoft.com/office/drawing/2014/chart" uri="{C3380CC4-5D6E-409C-BE32-E72D297353CC}">
              <c16:uniqueId val="{00000011-CAE2-4965-8990-734748D0B0DE}"/>
            </c:ext>
          </c:extLst>
        </c:ser>
        <c:ser>
          <c:idx val="1"/>
          <c:order val="1"/>
          <c:tx>
            <c:strRef>
              <c:f>Лист1!$D$3</c:f>
              <c:strCache>
                <c:ptCount val="1"/>
                <c:pt idx="0">
                  <c:v>2020 год</c:v>
                </c:pt>
              </c:strCache>
            </c:strRef>
          </c:tx>
          <c:spPr>
            <a:solidFill>
              <a:srgbClr val="D9D9D9"/>
            </a:solidFill>
            <a:ln>
              <a:noFill/>
            </a:ln>
            <a:effectLst/>
          </c:spPr>
          <c:invertIfNegative val="0"/>
          <c:cat>
            <c:strRef>
              <c:f>Лист1!$B$4:$B$20</c:f>
              <c:strCache>
                <c:ptCount val="17"/>
                <c:pt idx="0">
                  <c:v>страхование</c:v>
                </c:pt>
                <c:pt idx="1">
                  <c:v>банки и кредитование</c:v>
                </c:pt>
                <c:pt idx="2">
                  <c:v>физкультура, отдых и туризм</c:v>
                </c:pt>
                <c:pt idx="3">
                  <c:v>культура и искусство</c:v>
                </c:pt>
                <c:pt idx="4">
                  <c:v>образование</c:v>
                </c:pt>
                <c:pt idx="5">
                  <c:v>здравоохранение</c:v>
                </c:pt>
                <c:pt idx="6">
                  <c:v>ЖКХ</c:v>
                </c:pt>
                <c:pt idx="7">
                  <c:v>редакции и издательства</c:v>
                </c:pt>
                <c:pt idx="8">
                  <c:v>геология и метеорология</c:v>
                </c:pt>
                <c:pt idx="9">
                  <c:v>операции с недвиж. имуществом</c:v>
                </c:pt>
                <c:pt idx="10">
                  <c:v>торговля и общепит</c:v>
                </c:pt>
                <c:pt idx="11">
                  <c:v>строительство</c:v>
                </c:pt>
                <c:pt idx="12">
                  <c:v>связь</c:v>
                </c:pt>
                <c:pt idx="13">
                  <c:v>транспорт</c:v>
                </c:pt>
                <c:pt idx="14">
                  <c:v>лесное хозяйство</c:v>
                </c:pt>
                <c:pt idx="15">
                  <c:v>сельское хозяйство</c:v>
                </c:pt>
                <c:pt idx="16">
                  <c:v>промышленность</c:v>
                </c:pt>
              </c:strCache>
            </c:strRef>
          </c:cat>
          <c:val>
            <c:numRef>
              <c:f>Лист1!$D$4:$D$20</c:f>
              <c:numCache>
                <c:formatCode>General</c:formatCode>
                <c:ptCount val="17"/>
                <c:pt idx="0">
                  <c:v>7867</c:v>
                </c:pt>
                <c:pt idx="1">
                  <c:v>8935</c:v>
                </c:pt>
                <c:pt idx="2">
                  <c:v>5436</c:v>
                </c:pt>
                <c:pt idx="3">
                  <c:v>2884</c:v>
                </c:pt>
                <c:pt idx="4">
                  <c:v>3158</c:v>
                </c:pt>
                <c:pt idx="5">
                  <c:v>4186</c:v>
                </c:pt>
                <c:pt idx="6">
                  <c:v>5024</c:v>
                </c:pt>
                <c:pt idx="7">
                  <c:v>4276</c:v>
                </c:pt>
                <c:pt idx="8">
                  <c:v>2628</c:v>
                </c:pt>
                <c:pt idx="9">
                  <c:v>4482</c:v>
                </c:pt>
                <c:pt idx="10">
                  <c:v>4791</c:v>
                </c:pt>
                <c:pt idx="11">
                  <c:v>5672</c:v>
                </c:pt>
                <c:pt idx="12">
                  <c:v>9291</c:v>
                </c:pt>
                <c:pt idx="13">
                  <c:v>4900</c:v>
                </c:pt>
                <c:pt idx="14">
                  <c:v>2197</c:v>
                </c:pt>
                <c:pt idx="15">
                  <c:v>4621</c:v>
                </c:pt>
                <c:pt idx="16">
                  <c:v>6473</c:v>
                </c:pt>
              </c:numCache>
            </c:numRef>
          </c:val>
          <c:extLst>
            <c:ext xmlns:c16="http://schemas.microsoft.com/office/drawing/2014/chart" uri="{C3380CC4-5D6E-409C-BE32-E72D297353CC}">
              <c16:uniqueId val="{00000012-CAE2-4965-8990-734748D0B0DE}"/>
            </c:ext>
          </c:extLst>
        </c:ser>
        <c:dLbls>
          <c:showLegendKey val="0"/>
          <c:showVal val="0"/>
          <c:showCatName val="0"/>
          <c:showSerName val="0"/>
          <c:showPercent val="0"/>
          <c:showBubbleSize val="0"/>
        </c:dLbls>
        <c:gapWidth val="53"/>
        <c:axId val="77848576"/>
        <c:axId val="77850112"/>
      </c:barChart>
      <c:catAx>
        <c:axId val="77848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850112"/>
        <c:crosses val="autoZero"/>
        <c:auto val="1"/>
        <c:lblAlgn val="ctr"/>
        <c:lblOffset val="100"/>
        <c:noMultiLvlLbl val="0"/>
      </c:catAx>
      <c:valAx>
        <c:axId val="77850112"/>
        <c:scaling>
          <c:orientation val="minMax"/>
          <c:max val="11000"/>
          <c:min val="0"/>
        </c:scaling>
        <c:delete val="0"/>
        <c:axPos val="b"/>
        <c:numFmt formatCode="#,##0"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crossAx val="77848576"/>
        <c:crosses val="autoZero"/>
        <c:crossBetween val="between"/>
      </c:valAx>
      <c:spPr>
        <a:noFill/>
        <a:ln>
          <a:noFill/>
        </a:ln>
        <a:effectLst/>
      </c:spPr>
    </c:plotArea>
    <c:legend>
      <c:legendPos val="b"/>
      <c:layout>
        <c:manualLayout>
          <c:xMode val="edge"/>
          <c:yMode val="edge"/>
          <c:x val="0.40180351524471447"/>
          <c:y val="0.9434390219939085"/>
          <c:w val="0.19257091955804398"/>
          <c:h val="5.656097800609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Лист1!$C$3</c:f>
              <c:strCache>
                <c:ptCount val="1"/>
                <c:pt idx="0">
                  <c:v>2021 год</c:v>
                </c:pt>
              </c:strCache>
            </c:strRef>
          </c:tx>
          <c:spPr>
            <a:solidFill>
              <a:srgbClr val="595959"/>
            </a:solidFill>
            <a:ln>
              <a:noFill/>
            </a:ln>
            <a:effectLst/>
          </c:spPr>
          <c:invertIfNegative val="0"/>
          <c:dLbls>
            <c:dLbl>
              <c:idx val="0"/>
              <c:layout>
                <c:manualLayout>
                  <c:x val="4.2016806722689074E-3"/>
                  <c:y val="-6.4453500096024584E-3"/>
                </c:manualLayout>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5F-4A33-A064-354C19C2970F}"/>
                </c:ext>
              </c:extLst>
            </c:dLbl>
            <c:dLbl>
              <c:idx val="1"/>
              <c:layout>
                <c:manualLayout>
                  <c:x val="-1.050420168067227E-2"/>
                  <c:y val="-9.8641252160553104E-3"/>
                </c:manualLayout>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5F-4A33-A064-354C19C2970F}"/>
                </c:ext>
              </c:extLst>
            </c:dLbl>
            <c:dLbl>
              <c:idx val="2"/>
              <c:layout>
                <c:manualLayout>
                  <c:x val="-2.1008855510708212E-3"/>
                  <c:y val="-3.1273794069423849E-2"/>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t>+13,5%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62208032819427E-2"/>
                      <c:h val="5.1730543019012865E-2"/>
                    </c:manualLayout>
                  </c15:layout>
                </c:ext>
                <c:ext xmlns:c16="http://schemas.microsoft.com/office/drawing/2014/chart" uri="{C3380CC4-5D6E-409C-BE32-E72D297353CC}">
                  <c16:uniqueId val="{00000002-705F-4A33-A064-354C19C2970F}"/>
                </c:ext>
              </c:extLst>
            </c:dLbl>
            <c:dLbl>
              <c:idx val="3"/>
              <c:layout>
                <c:manualLayout>
                  <c:x val="-6.6720486025107122E-17"/>
                  <c:y val="-1.7094017094017099E-2"/>
                </c:manualLayout>
              </c:layout>
              <c:tx>
                <c:rich>
                  <a:bodyPr/>
                  <a:lstStyle/>
                  <a:p>
                    <a:r>
                      <a:rPr lang="en-US"/>
                      <a:t>+14,3%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5F-4A33-A064-354C19C2970F}"/>
                </c:ext>
              </c:extLst>
            </c:dLbl>
            <c:dLbl>
              <c:idx val="4"/>
              <c:layout>
                <c:manualLayout>
                  <c:x val="-1.3344097205021422E-16"/>
                  <c:y val="-6.8376068376068385E-3"/>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5F-4A33-A064-354C19C2970F}"/>
                </c:ext>
              </c:extLst>
            </c:dLbl>
            <c:dLbl>
              <c:idx val="5"/>
              <c:layout>
                <c:manualLayout>
                  <c:x val="0"/>
                  <c:y val="-1.3675213675213739E-2"/>
                </c:manualLayout>
              </c:layout>
              <c:tx>
                <c:rich>
                  <a:bodyPr/>
                  <a:lstStyle/>
                  <a:p>
                    <a:r>
                      <a:rPr lang="en-US"/>
                      <a:t>+21,7%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5F-4A33-A064-354C19C2970F}"/>
                </c:ext>
              </c:extLst>
            </c:dLbl>
            <c:dLbl>
              <c:idx val="6"/>
              <c:layout>
                <c:manualLayout>
                  <c:x val="-6.6720486025107122E-17"/>
                  <c:y val="-1.3675213675213675E-2"/>
                </c:manualLayout>
              </c:layout>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5F-4A33-A064-354C19C2970F}"/>
                </c:ext>
              </c:extLst>
            </c:dLbl>
            <c:dLbl>
              <c:idx val="7"/>
              <c:layout>
                <c:manualLayout>
                  <c:x val="0"/>
                  <c:y val="-1.0256410256410258E-2"/>
                </c:manualLayout>
              </c:layout>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5F-4A33-A064-354C19C2970F}"/>
                </c:ext>
              </c:extLst>
            </c:dLbl>
            <c:dLbl>
              <c:idx val="8"/>
              <c:layout>
                <c:manualLayout>
                  <c:x val="6.6720486025107122E-17"/>
                  <c:y val="-1.3675213675213675E-2"/>
                </c:manualLayout>
              </c:layout>
              <c:tx>
                <c:rich>
                  <a:bodyPr/>
                  <a:lstStyle/>
                  <a:p>
                    <a:r>
                      <a:rPr lang="en-US"/>
                      <a:t>+14,9%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5F-4A33-A064-354C19C2970F}"/>
                </c:ext>
              </c:extLst>
            </c:dLbl>
            <c:dLbl>
              <c:idx val="9"/>
              <c:layout>
                <c:manualLayout>
                  <c:x val="0"/>
                  <c:y val="-1.0256410256410258E-2"/>
                </c:manualLayout>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5F-4A33-A064-354C19C2970F}"/>
                </c:ext>
              </c:extLst>
            </c:dLbl>
            <c:dLbl>
              <c:idx val="10"/>
              <c:layout>
                <c:manualLayout>
                  <c:x val="0"/>
                  <c:y val="-1.0256410256410258E-2"/>
                </c:manualLayout>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5F-4A33-A064-354C19C2970F}"/>
                </c:ext>
              </c:extLst>
            </c:dLbl>
            <c:dLbl>
              <c:idx val="11"/>
              <c:layout>
                <c:manualLayout>
                  <c:x val="0"/>
                  <c:y val="-1.0256410256410258E-2"/>
                </c:manualLayout>
              </c:layout>
              <c:tx>
                <c:rich>
                  <a:bodyPr/>
                  <a:lstStyle/>
                  <a:p>
                    <a:r>
                      <a:rPr lang="en-US"/>
                      <a:t>+12,6%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5F-4A33-A064-354C19C2970F}"/>
                </c:ext>
              </c:extLst>
            </c:dLbl>
            <c:dLbl>
              <c:idx val="12"/>
              <c:layout>
                <c:manualLayout>
                  <c:x val="-6.6720486025107122E-17"/>
                  <c:y val="-1.0256410256410258E-2"/>
                </c:manualLayout>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5F-4A33-A064-354C19C2970F}"/>
                </c:ext>
              </c:extLst>
            </c:dLbl>
            <c:dLbl>
              <c:idx val="13"/>
              <c:layout>
                <c:manualLayout>
                  <c:x val="-6.6720486025107122E-17"/>
                  <c:y val="-6.8376068376068385E-3"/>
                </c:manualLayout>
              </c:layout>
              <c:tx>
                <c:rich>
                  <a:bodyPr/>
                  <a:lstStyle/>
                  <a:p>
                    <a:r>
                      <a:rPr lang="en-US"/>
                      <a:t>+6,6%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05F-4A33-A064-354C19C2970F}"/>
                </c:ext>
              </c:extLst>
            </c:dLbl>
            <c:dLbl>
              <c:idx val="14"/>
              <c:layout>
                <c:manualLayout>
                  <c:x val="-6.6720486025107122E-17"/>
                  <c:y val="-1.0256410256410258E-2"/>
                </c:manualLayout>
              </c:layout>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5F-4A33-A064-354C19C2970F}"/>
                </c:ext>
              </c:extLst>
            </c:dLbl>
            <c:dLbl>
              <c:idx val="15"/>
              <c:layout>
                <c:manualLayout>
                  <c:x val="5.7142857142857143E-3"/>
                  <c:y val="-1.3899287179266534E-2"/>
                </c:manualLayout>
              </c:layout>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05F-4A33-A064-354C19C2970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Лист1!$B$4:$B$19</c:f>
              <c:strCache>
                <c:ptCount val="16"/>
                <c:pt idx="0">
                  <c:v>страхование</c:v>
                </c:pt>
                <c:pt idx="1">
                  <c:v>банки и кредитование</c:v>
                </c:pt>
                <c:pt idx="2">
                  <c:v>физкультура, отдых и туризм</c:v>
                </c:pt>
                <c:pt idx="3">
                  <c:v>культура и искусство</c:v>
                </c:pt>
                <c:pt idx="4">
                  <c:v>образование</c:v>
                </c:pt>
                <c:pt idx="5">
                  <c:v>здравоохранение</c:v>
                </c:pt>
                <c:pt idx="6">
                  <c:v>ЖКХ</c:v>
                </c:pt>
                <c:pt idx="7">
                  <c:v>информационно-вычислительное обслуживание</c:v>
                </c:pt>
                <c:pt idx="8">
                  <c:v>операции с недвижимым имуществом</c:v>
                </c:pt>
                <c:pt idx="9">
                  <c:v>торговля и общепит</c:v>
                </c:pt>
                <c:pt idx="10">
                  <c:v>строительство</c:v>
                </c:pt>
                <c:pt idx="11">
                  <c:v>связь</c:v>
                </c:pt>
                <c:pt idx="12">
                  <c:v>транспорт</c:v>
                </c:pt>
                <c:pt idx="13">
                  <c:v>лесное хозяйство</c:v>
                </c:pt>
                <c:pt idx="14">
                  <c:v>сельское хозяйство</c:v>
                </c:pt>
                <c:pt idx="15">
                  <c:v>промышленность</c:v>
                </c:pt>
              </c:strCache>
            </c:strRef>
          </c:cat>
          <c:val>
            <c:numRef>
              <c:f>Лист1!$C$4:$C$19</c:f>
              <c:numCache>
                <c:formatCode>General</c:formatCode>
                <c:ptCount val="16"/>
                <c:pt idx="0">
                  <c:v>8394</c:v>
                </c:pt>
                <c:pt idx="1">
                  <c:v>9261</c:v>
                </c:pt>
                <c:pt idx="2">
                  <c:v>13443</c:v>
                </c:pt>
                <c:pt idx="3">
                  <c:v>3387</c:v>
                </c:pt>
                <c:pt idx="4">
                  <c:v>5064</c:v>
                </c:pt>
                <c:pt idx="5">
                  <c:v>6509</c:v>
                </c:pt>
                <c:pt idx="6">
                  <c:v>5466</c:v>
                </c:pt>
                <c:pt idx="7">
                  <c:v>7353</c:v>
                </c:pt>
                <c:pt idx="8">
                  <c:v>5152</c:v>
                </c:pt>
                <c:pt idx="9">
                  <c:v>5274</c:v>
                </c:pt>
                <c:pt idx="10">
                  <c:v>5893</c:v>
                </c:pt>
                <c:pt idx="11">
                  <c:v>10462</c:v>
                </c:pt>
                <c:pt idx="12">
                  <c:v>5248</c:v>
                </c:pt>
                <c:pt idx="13">
                  <c:v>2342</c:v>
                </c:pt>
                <c:pt idx="14">
                  <c:v>5587</c:v>
                </c:pt>
                <c:pt idx="15">
                  <c:v>7283</c:v>
                </c:pt>
              </c:numCache>
            </c:numRef>
          </c:val>
          <c:extLst>
            <c:ext xmlns:c16="http://schemas.microsoft.com/office/drawing/2014/chart" uri="{C3380CC4-5D6E-409C-BE32-E72D297353CC}">
              <c16:uniqueId val="{00000010-705F-4A33-A064-354C19C2970F}"/>
            </c:ext>
          </c:extLst>
        </c:ser>
        <c:ser>
          <c:idx val="1"/>
          <c:order val="1"/>
          <c:tx>
            <c:strRef>
              <c:f>Лист1!$D$3</c:f>
              <c:strCache>
                <c:ptCount val="1"/>
                <c:pt idx="0">
                  <c:v>2020 год</c:v>
                </c:pt>
              </c:strCache>
            </c:strRef>
          </c:tx>
          <c:spPr>
            <a:solidFill>
              <a:srgbClr val="D9D9D9"/>
            </a:solidFill>
            <a:ln>
              <a:noFill/>
            </a:ln>
            <a:effectLst/>
          </c:spPr>
          <c:invertIfNegative val="0"/>
          <c:cat>
            <c:strRef>
              <c:f>Лист1!$B$4:$B$19</c:f>
              <c:strCache>
                <c:ptCount val="16"/>
                <c:pt idx="0">
                  <c:v>страхование</c:v>
                </c:pt>
                <c:pt idx="1">
                  <c:v>банки и кредитование</c:v>
                </c:pt>
                <c:pt idx="2">
                  <c:v>физкультура, отдых и туризм</c:v>
                </c:pt>
                <c:pt idx="3">
                  <c:v>культура и искусство</c:v>
                </c:pt>
                <c:pt idx="4">
                  <c:v>образование</c:v>
                </c:pt>
                <c:pt idx="5">
                  <c:v>здравоохранение</c:v>
                </c:pt>
                <c:pt idx="6">
                  <c:v>ЖКХ</c:v>
                </c:pt>
                <c:pt idx="7">
                  <c:v>информационно-вычислительное обслуживание</c:v>
                </c:pt>
                <c:pt idx="8">
                  <c:v>операции с недвижимым имуществом</c:v>
                </c:pt>
                <c:pt idx="9">
                  <c:v>торговля и общепит</c:v>
                </c:pt>
                <c:pt idx="10">
                  <c:v>строительство</c:v>
                </c:pt>
                <c:pt idx="11">
                  <c:v>связь</c:v>
                </c:pt>
                <c:pt idx="12">
                  <c:v>транспорт</c:v>
                </c:pt>
                <c:pt idx="13">
                  <c:v>лесное хозяйство</c:v>
                </c:pt>
                <c:pt idx="14">
                  <c:v>сельское хозяйство</c:v>
                </c:pt>
                <c:pt idx="15">
                  <c:v>промышленность</c:v>
                </c:pt>
              </c:strCache>
            </c:strRef>
          </c:cat>
          <c:val>
            <c:numRef>
              <c:f>Лист1!$D$4:$D$19</c:f>
              <c:numCache>
                <c:formatCode>General</c:formatCode>
                <c:ptCount val="16"/>
                <c:pt idx="0">
                  <c:v>7867</c:v>
                </c:pt>
                <c:pt idx="1">
                  <c:v>8935</c:v>
                </c:pt>
                <c:pt idx="2">
                  <c:v>11846</c:v>
                </c:pt>
                <c:pt idx="3">
                  <c:v>2964</c:v>
                </c:pt>
                <c:pt idx="4">
                  <c:v>5164</c:v>
                </c:pt>
                <c:pt idx="5">
                  <c:v>5350</c:v>
                </c:pt>
                <c:pt idx="6">
                  <c:v>5086</c:v>
                </c:pt>
                <c:pt idx="7">
                  <c:v>6823</c:v>
                </c:pt>
                <c:pt idx="8">
                  <c:v>4882</c:v>
                </c:pt>
                <c:pt idx="9">
                  <c:v>4859</c:v>
                </c:pt>
                <c:pt idx="10">
                  <c:v>5672</c:v>
                </c:pt>
                <c:pt idx="11">
                  <c:v>9291</c:v>
                </c:pt>
                <c:pt idx="12">
                  <c:v>4900</c:v>
                </c:pt>
                <c:pt idx="13">
                  <c:v>2197</c:v>
                </c:pt>
                <c:pt idx="14">
                  <c:v>5154</c:v>
                </c:pt>
                <c:pt idx="15">
                  <c:v>6473</c:v>
                </c:pt>
              </c:numCache>
            </c:numRef>
          </c:val>
          <c:extLst>
            <c:ext xmlns:c16="http://schemas.microsoft.com/office/drawing/2014/chart" uri="{C3380CC4-5D6E-409C-BE32-E72D297353CC}">
              <c16:uniqueId val="{00000011-705F-4A33-A064-354C19C2970F}"/>
            </c:ext>
          </c:extLst>
        </c:ser>
        <c:dLbls>
          <c:showLegendKey val="0"/>
          <c:showVal val="0"/>
          <c:showCatName val="0"/>
          <c:showSerName val="0"/>
          <c:showPercent val="0"/>
          <c:showBubbleSize val="0"/>
        </c:dLbls>
        <c:gapWidth val="53"/>
        <c:axId val="81949056"/>
        <c:axId val="81950592"/>
      </c:barChart>
      <c:catAx>
        <c:axId val="8194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950592"/>
        <c:crosses val="autoZero"/>
        <c:auto val="1"/>
        <c:lblAlgn val="ctr"/>
        <c:lblOffset val="100"/>
        <c:noMultiLvlLbl val="0"/>
      </c:catAx>
      <c:valAx>
        <c:axId val="81950592"/>
        <c:scaling>
          <c:orientation val="minMax"/>
          <c:max val="13500"/>
          <c:min val="0"/>
        </c:scaling>
        <c:delete val="0"/>
        <c:axPos val="b"/>
        <c:numFmt formatCode="#,##0"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94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Лист1!$C$3</c:f>
              <c:strCache>
                <c:ptCount val="1"/>
                <c:pt idx="0">
                  <c:v>2021 год</c:v>
                </c:pt>
              </c:strCache>
            </c:strRef>
          </c:tx>
          <c:spPr>
            <a:solidFill>
              <a:srgbClr val="595959"/>
            </a:solidFill>
            <a:ln>
              <a:noFill/>
            </a:ln>
            <a:effectLst/>
          </c:spPr>
          <c:invertIfNegative val="0"/>
          <c:dLbls>
            <c:dLbl>
              <c:idx val="0"/>
              <c:layout>
                <c:manualLayout>
                  <c:x val="6.1431350465854405E-3"/>
                  <c:y val="-5.898047882389075E-3"/>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27-4FF6-B138-F18D904539C1}"/>
                </c:ext>
              </c:extLst>
            </c:dLbl>
            <c:dLbl>
              <c:idx val="1"/>
              <c:layout>
                <c:manualLayout>
                  <c:x val="6.6720486025107122E-17"/>
                  <c:y val="-1.3675213675213675E-2"/>
                </c:manualLayout>
              </c:layout>
              <c:tx>
                <c:rich>
                  <a:bodyPr/>
                  <a:lstStyle/>
                  <a:p>
                    <a:r>
                      <a:rPr lang="en-US"/>
                      <a:t>+15,6%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27-4FF6-B138-F18D904539C1}"/>
                </c:ext>
              </c:extLst>
            </c:dLbl>
            <c:dLbl>
              <c:idx val="2"/>
              <c:layout>
                <c:manualLayout>
                  <c:x val="2.0477116821951413E-3"/>
                  <c:y val="-1.0256410256410262E-2"/>
                </c:manualLayout>
              </c:layout>
              <c:tx>
                <c:rich>
                  <a:bodyPr/>
                  <a:lstStyle/>
                  <a:p>
                    <a:r>
                      <a:rPr lang="en-US"/>
                      <a:t>+10,4%</a:t>
                    </a:r>
                  </a:p>
                </c:rich>
              </c:tx>
              <c:showLegendKey val="0"/>
              <c:showVal val="1"/>
              <c:showCatName val="0"/>
              <c:showSerName val="0"/>
              <c:showPercent val="0"/>
              <c:showBubbleSize val="0"/>
              <c:extLst>
                <c:ext xmlns:c15="http://schemas.microsoft.com/office/drawing/2012/chart" uri="{CE6537A1-D6FC-4f65-9D91-7224C49458BB}">
                  <c15:layout>
                    <c:manualLayout>
                      <c:w val="6.793275443825382E-2"/>
                      <c:h val="5.3170625408585741E-2"/>
                    </c:manualLayout>
                  </c15:layout>
                </c:ext>
                <c:ext xmlns:c16="http://schemas.microsoft.com/office/drawing/2014/chart" uri="{C3380CC4-5D6E-409C-BE32-E72D297353CC}">
                  <c16:uniqueId val="{00000002-E727-4FF6-B138-F18D904539C1}"/>
                </c:ext>
              </c:extLst>
            </c:dLbl>
            <c:dLbl>
              <c:idx val="3"/>
              <c:layout>
                <c:manualLayout>
                  <c:x val="2.0477116821951413E-3"/>
                  <c:y val="-1.0256410256410262E-2"/>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+14,0%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793275443825382E-2"/>
                      <c:h val="5.3170625408585741E-2"/>
                    </c:manualLayout>
                  </c15:layout>
                </c:ext>
                <c:ext xmlns:c16="http://schemas.microsoft.com/office/drawing/2014/chart" uri="{C3380CC4-5D6E-409C-BE32-E72D297353CC}">
                  <c16:uniqueId val="{00000003-E727-4FF6-B138-F18D904539C1}"/>
                </c:ext>
              </c:extLst>
            </c:dLbl>
            <c:dLbl>
              <c:idx val="4"/>
              <c:layout>
                <c:manualLayout>
                  <c:x val="4.0954233643902185E-3"/>
                  <c:y val="-1.0256295866699463E-2"/>
                </c:manualLayout>
              </c:layout>
              <c:tx>
                <c:rich>
                  <a:bodyPr/>
                  <a:lstStyle/>
                  <a:p>
                    <a:r>
                      <a:rPr lang="en-US"/>
                      <a:t>+12,8%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27-4FF6-B138-F18D904539C1}"/>
                </c:ext>
              </c:extLst>
            </c:dLbl>
            <c:dLbl>
              <c:idx val="5"/>
              <c:layout>
                <c:manualLayout>
                  <c:x val="4.0954233643902185E-3"/>
                  <c:y val="0"/>
                </c:manualLayout>
              </c:layout>
              <c:tx>
                <c:rich>
                  <a:bodyPr/>
                  <a:lstStyle/>
                  <a:p>
                    <a:r>
                      <a:rPr lang="en-US"/>
                      <a:t>+34,1%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27-4FF6-B138-F18D904539C1}"/>
                </c:ext>
              </c:extLst>
            </c:dLbl>
            <c:dLbl>
              <c:idx val="6"/>
              <c:layout>
                <c:manualLayout>
                  <c:x val="6.1431350465854405E-3"/>
                  <c:y val="-1.0256295866699383E-2"/>
                </c:manualLayout>
              </c:layout>
              <c:tx>
                <c:rich>
                  <a:bodyPr/>
                  <a:lstStyle/>
                  <a:p>
                    <a:r>
                      <a:rPr lang="en-US"/>
                      <a:t>+10,7%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27-4FF6-B138-F18D904539C1}"/>
                </c:ext>
              </c:extLst>
            </c:dLbl>
            <c:dLbl>
              <c:idx val="7"/>
              <c:layout>
                <c:manualLayout>
                  <c:x val="6.1431350465854405E-3"/>
                  <c:y val="-6.8376449675104627E-3"/>
                </c:manualLayout>
              </c:layout>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27-4FF6-B138-F18D904539C1}"/>
                </c:ext>
              </c:extLst>
            </c:dLbl>
            <c:dLbl>
              <c:idx val="8"/>
              <c:layout>
                <c:manualLayout>
                  <c:x val="4.0954233643902939E-3"/>
                  <c:y val="-1.4614543851009689E-2"/>
                </c:manualLayout>
              </c:layout>
              <c:tx>
                <c:rich>
                  <a:bodyPr/>
                  <a:lstStyle/>
                  <a:p>
                    <a:r>
                      <a:rPr lang="en-US"/>
                      <a:t>+18,9%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27-4FF6-B138-F18D904539C1}"/>
                </c:ext>
              </c:extLst>
            </c:dLbl>
            <c:dLbl>
              <c:idx val="9"/>
              <c:layout>
                <c:manualLayout>
                  <c:x val="5.7142442533067725E-3"/>
                  <c:y val="-1.825762736293397E-2"/>
                </c:manualLayout>
              </c:layout>
              <c:tx>
                <c:rich>
                  <a:bodyPr/>
                  <a:lstStyle/>
                  <a:p>
                    <a:r>
                      <a:rPr lang="en-US"/>
                      <a:t>+9,6%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27-4FF6-B138-F18D904539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Лист1!$B$4:$B$13</c:f>
              <c:strCache>
                <c:ptCount val="10"/>
                <c:pt idx="0">
                  <c:v>полиграфические промышленность</c:v>
                </c:pt>
                <c:pt idx="1">
                  <c:v>мукомольно-крупяная промышленность</c:v>
                </c:pt>
                <c:pt idx="2">
                  <c:v>пищевая промышленность</c:v>
                </c:pt>
                <c:pt idx="3">
                  <c:v>легкая промышленность</c:v>
                </c:pt>
                <c:pt idx="4">
                  <c:v>промышленность стройматериалов</c:v>
                </c:pt>
                <c:pt idx="5">
                  <c:v>деревообрабатывающая промышленность</c:v>
                </c:pt>
                <c:pt idx="6">
                  <c:v>машиностроение и металлобработка</c:v>
                </c:pt>
                <c:pt idx="7">
                  <c:v>химическая промышленность</c:v>
                </c:pt>
                <c:pt idx="8">
                  <c:v>черная металлургия</c:v>
                </c:pt>
                <c:pt idx="9">
                  <c:v>электроэнергетика</c:v>
                </c:pt>
              </c:strCache>
            </c:strRef>
          </c:cat>
          <c:val>
            <c:numRef>
              <c:f>Лист1!$C$4:$C$13</c:f>
              <c:numCache>
                <c:formatCode>General</c:formatCode>
                <c:ptCount val="10"/>
                <c:pt idx="0">
                  <c:v>4778</c:v>
                </c:pt>
                <c:pt idx="1">
                  <c:v>6331</c:v>
                </c:pt>
                <c:pt idx="2">
                  <c:v>6250</c:v>
                </c:pt>
                <c:pt idx="3">
                  <c:v>5968</c:v>
                </c:pt>
                <c:pt idx="4">
                  <c:v>6928</c:v>
                </c:pt>
                <c:pt idx="5">
                  <c:v>6166</c:v>
                </c:pt>
                <c:pt idx="6">
                  <c:v>7436</c:v>
                </c:pt>
                <c:pt idx="7">
                  <c:v>6549</c:v>
                </c:pt>
                <c:pt idx="8">
                  <c:v>9817</c:v>
                </c:pt>
                <c:pt idx="9">
                  <c:v>8307</c:v>
                </c:pt>
              </c:numCache>
            </c:numRef>
          </c:val>
          <c:extLst>
            <c:ext xmlns:c16="http://schemas.microsoft.com/office/drawing/2014/chart" uri="{C3380CC4-5D6E-409C-BE32-E72D297353CC}">
              <c16:uniqueId val="{0000000A-E727-4FF6-B138-F18D904539C1}"/>
            </c:ext>
          </c:extLst>
        </c:ser>
        <c:ser>
          <c:idx val="1"/>
          <c:order val="1"/>
          <c:tx>
            <c:strRef>
              <c:f>Лист1!$D$3</c:f>
              <c:strCache>
                <c:ptCount val="1"/>
                <c:pt idx="0">
                  <c:v>2020 год</c:v>
                </c:pt>
              </c:strCache>
            </c:strRef>
          </c:tx>
          <c:spPr>
            <a:solidFill>
              <a:srgbClr val="D9D9D9"/>
            </a:solidFill>
            <a:ln>
              <a:noFill/>
            </a:ln>
            <a:effectLst/>
          </c:spPr>
          <c:invertIfNegative val="0"/>
          <c:cat>
            <c:strRef>
              <c:f>Лист1!$B$4:$B$13</c:f>
              <c:strCache>
                <c:ptCount val="10"/>
                <c:pt idx="0">
                  <c:v>полиграфические промышленность</c:v>
                </c:pt>
                <c:pt idx="1">
                  <c:v>мукомольно-крупяная промышленность</c:v>
                </c:pt>
                <c:pt idx="2">
                  <c:v>пищевая промышленность</c:v>
                </c:pt>
                <c:pt idx="3">
                  <c:v>легкая промышленность</c:v>
                </c:pt>
                <c:pt idx="4">
                  <c:v>промышленность стройматериалов</c:v>
                </c:pt>
                <c:pt idx="5">
                  <c:v>деревообрабатывающая промышленность</c:v>
                </c:pt>
                <c:pt idx="6">
                  <c:v>машиностроение и металлобработка</c:v>
                </c:pt>
                <c:pt idx="7">
                  <c:v>химическая промышленность</c:v>
                </c:pt>
                <c:pt idx="8">
                  <c:v>черная металлургия</c:v>
                </c:pt>
                <c:pt idx="9">
                  <c:v>электроэнергетика</c:v>
                </c:pt>
              </c:strCache>
            </c:strRef>
          </c:cat>
          <c:val>
            <c:numRef>
              <c:f>Лист1!$D$4:$D$13</c:f>
              <c:numCache>
                <c:formatCode>General</c:formatCode>
                <c:ptCount val="10"/>
                <c:pt idx="0">
                  <c:v>4703</c:v>
                </c:pt>
                <c:pt idx="1">
                  <c:v>5479</c:v>
                </c:pt>
                <c:pt idx="2">
                  <c:v>5659</c:v>
                </c:pt>
                <c:pt idx="3">
                  <c:v>5234</c:v>
                </c:pt>
                <c:pt idx="4">
                  <c:v>6142</c:v>
                </c:pt>
                <c:pt idx="5">
                  <c:v>4598</c:v>
                </c:pt>
                <c:pt idx="6">
                  <c:v>6716</c:v>
                </c:pt>
                <c:pt idx="7">
                  <c:v>6130</c:v>
                </c:pt>
                <c:pt idx="8">
                  <c:v>8254</c:v>
                </c:pt>
                <c:pt idx="9">
                  <c:v>7581</c:v>
                </c:pt>
              </c:numCache>
            </c:numRef>
          </c:val>
          <c:extLst>
            <c:ext xmlns:c16="http://schemas.microsoft.com/office/drawing/2014/chart" uri="{C3380CC4-5D6E-409C-BE32-E72D297353CC}">
              <c16:uniqueId val="{0000000B-E727-4FF6-B138-F18D904539C1}"/>
            </c:ext>
          </c:extLst>
        </c:ser>
        <c:dLbls>
          <c:showLegendKey val="0"/>
          <c:showVal val="0"/>
          <c:showCatName val="0"/>
          <c:showSerName val="0"/>
          <c:showPercent val="0"/>
          <c:showBubbleSize val="0"/>
        </c:dLbls>
        <c:gapWidth val="53"/>
        <c:axId val="79351168"/>
        <c:axId val="81998976"/>
      </c:barChart>
      <c:catAx>
        <c:axId val="7935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998976"/>
        <c:crosses val="autoZero"/>
        <c:auto val="1"/>
        <c:lblAlgn val="ctr"/>
        <c:lblOffset val="100"/>
        <c:noMultiLvlLbl val="0"/>
      </c:catAx>
      <c:valAx>
        <c:axId val="81998976"/>
        <c:scaling>
          <c:orientation val="minMax"/>
          <c:max val="13500"/>
          <c:min val="0"/>
        </c:scaling>
        <c:delete val="0"/>
        <c:axPos val="b"/>
        <c:numFmt formatCode="#,##0"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crossAx val="7935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37222445734428"/>
          <c:y val="3.9855072463768113E-2"/>
          <c:w val="0.65399038258903752"/>
          <c:h val="0.80189489900718935"/>
        </c:manualLayout>
      </c:layout>
      <c:barChart>
        <c:barDir val="bar"/>
        <c:grouping val="clustered"/>
        <c:varyColors val="0"/>
        <c:ser>
          <c:idx val="0"/>
          <c:order val="0"/>
          <c:tx>
            <c:strRef>
              <c:f>Лист1!$C$3</c:f>
              <c:strCache>
                <c:ptCount val="1"/>
                <c:pt idx="0">
                  <c:v>2021 год</c:v>
                </c:pt>
              </c:strCache>
            </c:strRef>
          </c:tx>
          <c:spPr>
            <a:solidFill>
              <a:srgbClr val="595959"/>
            </a:solidFill>
            <a:ln>
              <a:noFill/>
            </a:ln>
            <a:effectLst/>
          </c:spPr>
          <c:invertIfNegative val="0"/>
          <c:dLbls>
            <c:dLbl>
              <c:idx val="0"/>
              <c:layout>
                <c:manualLayout>
                  <c:x val="0"/>
                  <c:y val="-1.3675213675213675E-2"/>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D3-4193-890F-0E759BA9557A}"/>
                </c:ext>
              </c:extLst>
            </c:dLbl>
            <c:dLbl>
              <c:idx val="1"/>
              <c:layout>
                <c:manualLayout>
                  <c:x val="1.9464720194645774E-3"/>
                  <c:y val="-2.0512952185324659E-2"/>
                </c:manualLayout>
              </c:layout>
              <c:tx>
                <c:rich>
                  <a:bodyPr/>
                  <a:lstStyle/>
                  <a:p>
                    <a:r>
                      <a:rPr lang="en-US"/>
                      <a:t>+11,1%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D3-4193-890F-0E759BA9557A}"/>
                </c:ext>
              </c:extLst>
            </c:dLbl>
            <c:dLbl>
              <c:idx val="2"/>
              <c:layout>
                <c:manualLayout>
                  <c:x val="-6.6720486025107122E-17"/>
                  <c:y val="-1.7094017094017099E-2"/>
                </c:manualLayout>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D3-4193-890F-0E759BA9557A}"/>
                </c:ext>
              </c:extLst>
            </c:dLbl>
            <c:dLbl>
              <c:idx val="3"/>
              <c:layout>
                <c:manualLayout>
                  <c:x val="-1.3344097205021422E-16"/>
                  <c:y val="-6.8376068376068385E-3"/>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D3-4193-890F-0E759BA9557A}"/>
                </c:ext>
              </c:extLst>
            </c:dLbl>
            <c:dLbl>
              <c:idx val="4"/>
              <c:layout>
                <c:manualLayout>
                  <c:x val="0"/>
                  <c:y val="-1.3675213675213739E-2"/>
                </c:manualLayout>
              </c:layout>
              <c:tx>
                <c:rich>
                  <a:bodyPr/>
                  <a:lstStyle/>
                  <a:p>
                    <a:r>
                      <a:rPr lang="en-US"/>
                      <a:t>+15,5%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D3-4193-890F-0E759BA9557A}"/>
                </c:ext>
              </c:extLst>
            </c:dLbl>
            <c:dLbl>
              <c:idx val="5"/>
              <c:layout>
                <c:manualLayout>
                  <c:x val="1.0918023837685382E-2"/>
                  <c:y val="-1.5723270440251631E-2"/>
                </c:manualLayout>
              </c:layout>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D3-4193-890F-0E759BA9557A}"/>
                </c:ext>
              </c:extLst>
            </c:dLbl>
            <c:dLbl>
              <c:idx val="6"/>
              <c:layout>
                <c:manualLayout>
                  <c:x val="-6.6720486025107122E-17"/>
                  <c:y val="-1.3675213675213675E-2"/>
                </c:manualLayout>
              </c:layout>
              <c:tx>
                <c:rich>
                  <a:bodyPr/>
                  <a:lstStyle/>
                  <a:p>
                    <a:r>
                      <a:rPr lang="en-US"/>
                      <a:t>+11,2%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D3-4193-890F-0E759BA9557A}"/>
                </c:ext>
              </c:extLst>
            </c:dLbl>
            <c:dLbl>
              <c:idx val="7"/>
              <c:layout>
                <c:manualLayout>
                  <c:x val="0"/>
                  <c:y val="-1.025647609266233E-2"/>
                </c:manualLayout>
              </c:layout>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D3-4193-890F-0E759BA9557A}"/>
                </c:ext>
              </c:extLst>
            </c:dLbl>
            <c:dLbl>
              <c:idx val="8"/>
              <c:layout>
                <c:manualLayout>
                  <c:x val="0"/>
                  <c:y val="-1.0256410256410258E-2"/>
                </c:manualLayout>
              </c:layout>
              <c:tx>
                <c:rich>
                  <a:bodyPr/>
                  <a:lstStyle/>
                  <a:p>
                    <a:r>
                      <a:rPr lang="en-US"/>
                      <a:t>+20,0%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D3-4193-890F-0E759BA9557A}"/>
                </c:ext>
              </c:extLst>
            </c:dLbl>
            <c:dLbl>
              <c:idx val="9"/>
              <c:layout>
                <c:manualLayout>
                  <c:x val="-6.6720486025107122E-17"/>
                  <c:y val="-1.0256410256410258E-2"/>
                </c:manualLayout>
              </c:layout>
              <c:tx>
                <c:rich>
                  <a:bodyPr/>
                  <a:lstStyle/>
                  <a:p>
                    <a:r>
                      <a:rPr lang="en-US"/>
                      <a:t>+11,1%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D3-4193-890F-0E759BA9557A}"/>
                </c:ext>
              </c:extLst>
            </c:dLbl>
            <c:dLbl>
              <c:idx val="10"/>
              <c:layout>
                <c:manualLayout>
                  <c:x val="-7.7858880778588812E-3"/>
                  <c:y val="-2.8576686066415606E-2"/>
                </c:manualLayout>
              </c:layout>
              <c:tx>
                <c:rich>
                  <a:bodyPr/>
                  <a:lstStyle/>
                  <a:p>
                    <a:r>
                      <a:rPr lang="en-US"/>
                      <a:t>+10,2%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D3-4193-890F-0E759BA9557A}"/>
                </c:ext>
              </c:extLst>
            </c:dLbl>
            <c:dLbl>
              <c:idx val="11"/>
              <c:layout>
                <c:manualLayout>
                  <c:x val="-6.6720486025107122E-17"/>
                  <c:y val="-1.0256410256410258E-2"/>
                </c:manualLayout>
              </c:layout>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D3-4193-890F-0E759BA955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Лист1!$B$4:$B$15</c:f>
              <c:strCache>
                <c:ptCount val="12"/>
                <c:pt idx="0">
                  <c:v>наука и научное обслуживание</c:v>
                </c:pt>
                <c:pt idx="1">
                  <c:v>физкультура, отдых и туризм</c:v>
                </c:pt>
                <c:pt idx="2">
                  <c:v>культура и искусство</c:v>
                </c:pt>
                <c:pt idx="3">
                  <c:v>образование</c:v>
                </c:pt>
                <c:pt idx="4">
                  <c:v>здравоохранение</c:v>
                </c:pt>
                <c:pt idx="5">
                  <c:v>социальное обеспечение</c:v>
                </c:pt>
                <c:pt idx="6">
                  <c:v>ЖКХ</c:v>
                </c:pt>
                <c:pt idx="7">
                  <c:v>редакции и издательства</c:v>
                </c:pt>
                <c:pt idx="8">
                  <c:v>геология и метеорология</c:v>
                </c:pt>
                <c:pt idx="9">
                  <c:v>торговля и общепит</c:v>
                </c:pt>
                <c:pt idx="10">
                  <c:v>общая коммерческая деят-ть</c:v>
                </c:pt>
                <c:pt idx="11">
                  <c:v>сельское хозяйство</c:v>
                </c:pt>
              </c:strCache>
            </c:strRef>
          </c:cat>
          <c:val>
            <c:numRef>
              <c:f>Лист1!$C$4:$C$15</c:f>
              <c:numCache>
                <c:formatCode>General</c:formatCode>
                <c:ptCount val="12"/>
                <c:pt idx="0">
                  <c:v>3367</c:v>
                </c:pt>
                <c:pt idx="1">
                  <c:v>3311</c:v>
                </c:pt>
                <c:pt idx="2">
                  <c:v>3067</c:v>
                </c:pt>
                <c:pt idx="3">
                  <c:v>3459</c:v>
                </c:pt>
                <c:pt idx="4">
                  <c:v>4773</c:v>
                </c:pt>
                <c:pt idx="5">
                  <c:v>3135</c:v>
                </c:pt>
                <c:pt idx="6">
                  <c:v>3644</c:v>
                </c:pt>
                <c:pt idx="7">
                  <c:v>4633</c:v>
                </c:pt>
                <c:pt idx="8">
                  <c:v>3153</c:v>
                </c:pt>
                <c:pt idx="9">
                  <c:v>2426</c:v>
                </c:pt>
                <c:pt idx="10">
                  <c:v>6083</c:v>
                </c:pt>
                <c:pt idx="11">
                  <c:v>3288</c:v>
                </c:pt>
              </c:numCache>
            </c:numRef>
          </c:val>
          <c:extLst>
            <c:ext xmlns:c16="http://schemas.microsoft.com/office/drawing/2014/chart" uri="{C3380CC4-5D6E-409C-BE32-E72D297353CC}">
              <c16:uniqueId val="{0000000C-F7D3-4193-890F-0E759BA9557A}"/>
            </c:ext>
          </c:extLst>
        </c:ser>
        <c:ser>
          <c:idx val="1"/>
          <c:order val="1"/>
          <c:tx>
            <c:strRef>
              <c:f>Лист1!$D$3</c:f>
              <c:strCache>
                <c:ptCount val="1"/>
                <c:pt idx="0">
                  <c:v>2020 год</c:v>
                </c:pt>
              </c:strCache>
            </c:strRef>
          </c:tx>
          <c:spPr>
            <a:solidFill>
              <a:srgbClr val="D9D9D9"/>
            </a:solidFill>
            <a:ln>
              <a:noFill/>
            </a:ln>
            <a:effectLst/>
          </c:spPr>
          <c:invertIfNegative val="0"/>
          <c:cat>
            <c:strRef>
              <c:f>Лист1!$B$4:$B$15</c:f>
              <c:strCache>
                <c:ptCount val="12"/>
                <c:pt idx="0">
                  <c:v>наука и научное обслуживание</c:v>
                </c:pt>
                <c:pt idx="1">
                  <c:v>физкультура, отдых и туризм</c:v>
                </c:pt>
                <c:pt idx="2">
                  <c:v>культура и искусство</c:v>
                </c:pt>
                <c:pt idx="3">
                  <c:v>образование</c:v>
                </c:pt>
                <c:pt idx="4">
                  <c:v>здравоохранение</c:v>
                </c:pt>
                <c:pt idx="5">
                  <c:v>социальное обеспечение</c:v>
                </c:pt>
                <c:pt idx="6">
                  <c:v>ЖКХ</c:v>
                </c:pt>
                <c:pt idx="7">
                  <c:v>редакции и издательства</c:v>
                </c:pt>
                <c:pt idx="8">
                  <c:v>геология и метеорология</c:v>
                </c:pt>
                <c:pt idx="9">
                  <c:v>торговля и общепит</c:v>
                </c:pt>
                <c:pt idx="10">
                  <c:v>общая коммерческая деят-ть</c:v>
                </c:pt>
                <c:pt idx="11">
                  <c:v>сельское хозяйство</c:v>
                </c:pt>
              </c:strCache>
            </c:strRef>
          </c:cat>
          <c:val>
            <c:numRef>
              <c:f>Лист1!$D$4:$D$15</c:f>
              <c:numCache>
                <c:formatCode>General</c:formatCode>
                <c:ptCount val="12"/>
                <c:pt idx="0">
                  <c:v>3345</c:v>
                </c:pt>
                <c:pt idx="1">
                  <c:v>2981</c:v>
                </c:pt>
                <c:pt idx="2">
                  <c:v>2880</c:v>
                </c:pt>
                <c:pt idx="3">
                  <c:v>3144</c:v>
                </c:pt>
                <c:pt idx="4">
                  <c:v>4131</c:v>
                </c:pt>
                <c:pt idx="5">
                  <c:v>3260</c:v>
                </c:pt>
                <c:pt idx="6">
                  <c:v>3276</c:v>
                </c:pt>
                <c:pt idx="7">
                  <c:v>4276</c:v>
                </c:pt>
                <c:pt idx="8">
                  <c:v>2628</c:v>
                </c:pt>
                <c:pt idx="9">
                  <c:v>2183</c:v>
                </c:pt>
                <c:pt idx="10">
                  <c:v>5520</c:v>
                </c:pt>
                <c:pt idx="11">
                  <c:v>2933</c:v>
                </c:pt>
              </c:numCache>
            </c:numRef>
          </c:val>
          <c:extLst>
            <c:ext xmlns:c16="http://schemas.microsoft.com/office/drawing/2014/chart" uri="{C3380CC4-5D6E-409C-BE32-E72D297353CC}">
              <c16:uniqueId val="{0000000D-F7D3-4193-890F-0E759BA9557A}"/>
            </c:ext>
          </c:extLst>
        </c:ser>
        <c:dLbls>
          <c:showLegendKey val="0"/>
          <c:showVal val="0"/>
          <c:showCatName val="0"/>
          <c:showSerName val="0"/>
          <c:showPercent val="0"/>
          <c:showBubbleSize val="0"/>
        </c:dLbls>
        <c:gapWidth val="53"/>
        <c:axId val="82512512"/>
        <c:axId val="82481536"/>
      </c:barChart>
      <c:catAx>
        <c:axId val="8251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481536"/>
        <c:crosses val="autoZero"/>
        <c:auto val="1"/>
        <c:lblAlgn val="ctr"/>
        <c:lblOffset val="100"/>
        <c:noMultiLvlLbl val="0"/>
      </c:catAx>
      <c:valAx>
        <c:axId val="82481536"/>
        <c:scaling>
          <c:orientation val="minMax"/>
          <c:max val="6200"/>
          <c:min val="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51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213908066419838E-2"/>
          <c:y val="0.22653915665386121"/>
          <c:w val="0.97567931575288214"/>
          <c:h val="0.50710795666112674"/>
        </c:manualLayout>
      </c:layout>
      <c:barChart>
        <c:barDir val="col"/>
        <c:grouping val="clustered"/>
        <c:varyColors val="0"/>
        <c:ser>
          <c:idx val="0"/>
          <c:order val="0"/>
          <c:tx>
            <c:strRef>
              <c:f>Лист1!$B$1</c:f>
              <c:strCache>
                <c:ptCount val="1"/>
                <c:pt idx="0">
                  <c:v>2020 год</c:v>
                </c:pt>
              </c:strCache>
            </c:strRef>
          </c:tx>
          <c:spPr>
            <a:solidFill>
              <a:srgbClr val="D9D9D9"/>
            </a:solidFill>
            <a:ln>
              <a:noFill/>
            </a:ln>
            <a:effectLst/>
          </c:spPr>
          <c:invertIfNegative val="0"/>
          <c:dLbls>
            <c:dLbl>
              <c:idx val="0"/>
              <c:layout>
                <c:manualLayout>
                  <c:x val="-1.8822506722329372E-17"/>
                  <c:y val="0.2280699125412090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8B-41F2-B14B-F7400E6B9DB1}"/>
                </c:ext>
              </c:extLst>
            </c:dLbl>
            <c:dLbl>
              <c:idx val="1"/>
              <c:layout>
                <c:manualLayout>
                  <c:x val="-7.5290026889317487E-17"/>
                  <c:y val="0.1436994251151131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8B-41F2-B14B-F7400E6B9DB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среднегодовой размер назначенных пенсий</c:v>
                </c:pt>
                <c:pt idx="1">
                  <c:v>прожиточный минимум пенсионера</c:v>
                </c:pt>
              </c:strCache>
            </c:strRef>
          </c:cat>
          <c:val>
            <c:numRef>
              <c:f>Лист1!$B$2:$B$3</c:f>
              <c:numCache>
                <c:formatCode>General</c:formatCode>
                <c:ptCount val="2"/>
                <c:pt idx="0">
                  <c:v>1389.2</c:v>
                </c:pt>
                <c:pt idx="1">
                  <c:v>1300.3</c:v>
                </c:pt>
              </c:numCache>
            </c:numRef>
          </c:val>
          <c:extLst>
            <c:ext xmlns:c16="http://schemas.microsoft.com/office/drawing/2014/chart" uri="{C3380CC4-5D6E-409C-BE32-E72D297353CC}">
              <c16:uniqueId val="{00000002-CA8B-41F2-B14B-F7400E6B9DB1}"/>
            </c:ext>
          </c:extLst>
        </c:ser>
        <c:ser>
          <c:idx val="1"/>
          <c:order val="1"/>
          <c:tx>
            <c:strRef>
              <c:f>Лист1!$C$1</c:f>
              <c:strCache>
                <c:ptCount val="1"/>
                <c:pt idx="0">
                  <c:v>2021 год</c:v>
                </c:pt>
              </c:strCache>
            </c:strRef>
          </c:tx>
          <c:spPr>
            <a:solidFill>
              <a:srgbClr val="595959"/>
            </a:solidFill>
            <a:ln>
              <a:noFill/>
            </a:ln>
            <a:effectLst/>
          </c:spPr>
          <c:invertIfNegative val="0"/>
          <c:dLbls>
            <c:dLbl>
              <c:idx val="0"/>
              <c:layout>
                <c:manualLayout>
                  <c:x val="4.106776180698153E-3"/>
                  <c:y val="0.2990336848032403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8B-41F2-B14B-F7400E6B9DB1}"/>
                </c:ext>
              </c:extLst>
            </c:dLbl>
            <c:dLbl>
              <c:idx val="1"/>
              <c:layout>
                <c:manualLayout>
                  <c:x val="-1.5058005377863495E-16"/>
                  <c:y val="0.1660313870800751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8B-41F2-B14B-F7400E6B9DB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среднегодовой размер назначенных пенсий</c:v>
                </c:pt>
                <c:pt idx="1">
                  <c:v>прожиточный минимум пенсионера</c:v>
                </c:pt>
              </c:strCache>
            </c:strRef>
          </c:cat>
          <c:val>
            <c:numRef>
              <c:f>Лист1!$C$2:$C$3</c:f>
              <c:numCache>
                <c:formatCode>General</c:formatCode>
                <c:ptCount val="2"/>
                <c:pt idx="0">
                  <c:v>1438.4</c:v>
                </c:pt>
                <c:pt idx="1">
                  <c:v>1344.4</c:v>
                </c:pt>
              </c:numCache>
            </c:numRef>
          </c:val>
          <c:extLst>
            <c:ext xmlns:c16="http://schemas.microsoft.com/office/drawing/2014/chart" uri="{C3380CC4-5D6E-409C-BE32-E72D297353CC}">
              <c16:uniqueId val="{00000005-CA8B-41F2-B14B-F7400E6B9DB1}"/>
            </c:ext>
          </c:extLst>
        </c:ser>
        <c:dLbls>
          <c:showLegendKey val="0"/>
          <c:showVal val="0"/>
          <c:showCatName val="0"/>
          <c:showSerName val="0"/>
          <c:showPercent val="0"/>
          <c:showBubbleSize val="0"/>
        </c:dLbls>
        <c:gapWidth val="84"/>
        <c:axId val="82728064"/>
        <c:axId val="82729600"/>
      </c:barChart>
      <c:catAx>
        <c:axId val="82728064"/>
        <c:scaling>
          <c:orientation val="minMax"/>
        </c:scaling>
        <c:delete val="0"/>
        <c:axPos val="b"/>
        <c:numFmt formatCode="General" sourceLinked="1"/>
        <c:majorTickMark val="none"/>
        <c:minorTickMark val="none"/>
        <c:tickLblPos val="low"/>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729600"/>
        <c:crosses val="autoZero"/>
        <c:auto val="1"/>
        <c:lblAlgn val="ctr"/>
        <c:lblOffset val="100"/>
        <c:noMultiLvlLbl val="0"/>
      </c:catAx>
      <c:valAx>
        <c:axId val="8272960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82728064"/>
        <c:crosses val="autoZero"/>
        <c:crossBetween val="between"/>
      </c:valAx>
      <c:spPr>
        <a:noFill/>
        <a:ln>
          <a:noFill/>
          <a:miter lim="800000"/>
        </a:ln>
        <a:effectLst/>
      </c:spPr>
    </c:plotArea>
    <c:legend>
      <c:legendPos val="b"/>
      <c:layout>
        <c:manualLayout>
          <c:xMode val="edge"/>
          <c:yMode val="edge"/>
          <c:x val="0.3758091480864687"/>
          <c:y val="0.89374074780444823"/>
          <c:w val="0.28739607754369517"/>
          <c:h val="9.03863444405089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2020 год</c:v>
                </c:pt>
              </c:strCache>
            </c:strRef>
          </c:tx>
          <c:spPr>
            <a:solidFill>
              <a:schemeClr val="bg1">
                <a:lumMod val="85000"/>
              </a:schemeClr>
            </a:solidFill>
            <a:ln>
              <a:no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черная металлургия</c:v>
                </c:pt>
                <c:pt idx="1">
                  <c:v>электроэнергетика</c:v>
                </c:pt>
                <c:pt idx="2">
                  <c:v>пищевая промышленность</c:v>
                </c:pt>
                <c:pt idx="3">
                  <c:v>легкая промышленность</c:v>
                </c:pt>
                <c:pt idx="4">
                  <c:v>прочие</c:v>
                </c:pt>
              </c:strCache>
            </c:strRef>
          </c:cat>
          <c:val>
            <c:numRef>
              <c:f>Лист1!$B$2:$B$6</c:f>
              <c:numCache>
                <c:formatCode>0.00%</c:formatCode>
                <c:ptCount val="5"/>
                <c:pt idx="0">
                  <c:v>-0.28799999999999998</c:v>
                </c:pt>
                <c:pt idx="1">
                  <c:v>-0.33</c:v>
                </c:pt>
                <c:pt idx="2">
                  <c:v>-0.13400000000000001</c:v>
                </c:pt>
                <c:pt idx="3">
                  <c:v>-0.11</c:v>
                </c:pt>
                <c:pt idx="4">
                  <c:v>-0.13700000000000001</c:v>
                </c:pt>
              </c:numCache>
            </c:numRef>
          </c:val>
          <c:extLst>
            <c:ext xmlns:c16="http://schemas.microsoft.com/office/drawing/2014/chart" uri="{C3380CC4-5D6E-409C-BE32-E72D297353CC}">
              <c16:uniqueId val="{00000000-54EC-4919-9A05-9BC4135A48F3}"/>
            </c:ext>
          </c:extLst>
        </c:ser>
        <c:ser>
          <c:idx val="2"/>
          <c:order val="1"/>
          <c:tx>
            <c:strRef>
              <c:f>Лист1!$D$1</c:f>
              <c:strCache>
                <c:ptCount val="1"/>
                <c:pt idx="0">
                  <c:v>2021 год</c:v>
                </c:pt>
              </c:strCache>
            </c:strRef>
          </c:tx>
          <c:spPr>
            <a:solidFill>
              <a:schemeClr val="tx1">
                <a:lumMod val="65000"/>
                <a:lumOff val="3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черная металлургия</c:v>
                </c:pt>
                <c:pt idx="1">
                  <c:v>электроэнергетика</c:v>
                </c:pt>
                <c:pt idx="2">
                  <c:v>пищевая промышленность</c:v>
                </c:pt>
                <c:pt idx="3">
                  <c:v>легкая промышленность</c:v>
                </c:pt>
                <c:pt idx="4">
                  <c:v>прочие</c:v>
                </c:pt>
              </c:strCache>
            </c:strRef>
          </c:cat>
          <c:val>
            <c:numRef>
              <c:f>Лист1!$D$2:$D$6</c:f>
              <c:numCache>
                <c:formatCode>0.00%</c:formatCode>
                <c:ptCount val="5"/>
                <c:pt idx="0">
                  <c:v>0.41299999999999998</c:v>
                </c:pt>
                <c:pt idx="1">
                  <c:v>0.26700000000000002</c:v>
                </c:pt>
                <c:pt idx="2">
                  <c:v>0.114</c:v>
                </c:pt>
                <c:pt idx="3">
                  <c:v>9.5000000000000001E-2</c:v>
                </c:pt>
                <c:pt idx="4">
                  <c:v>0.111</c:v>
                </c:pt>
              </c:numCache>
            </c:numRef>
          </c:val>
          <c:extLst>
            <c:ext xmlns:c16="http://schemas.microsoft.com/office/drawing/2014/chart" uri="{C3380CC4-5D6E-409C-BE32-E72D297353CC}">
              <c16:uniqueId val="{00000001-54EC-4919-9A05-9BC4135A48F3}"/>
            </c:ext>
          </c:extLst>
        </c:ser>
        <c:dLbls>
          <c:showLegendKey val="0"/>
          <c:showVal val="0"/>
          <c:showCatName val="0"/>
          <c:showSerName val="0"/>
          <c:showPercent val="0"/>
          <c:showBubbleSize val="0"/>
        </c:dLbls>
        <c:gapWidth val="150"/>
        <c:overlap val="100"/>
        <c:axId val="79608448"/>
        <c:axId val="79831424"/>
      </c:barChart>
      <c:catAx>
        <c:axId val="79608448"/>
        <c:scaling>
          <c:orientation val="maxMin"/>
        </c:scaling>
        <c:delete val="0"/>
        <c:axPos val="l"/>
        <c:numFmt formatCode="General" sourceLinked="1"/>
        <c:majorTickMark val="none"/>
        <c:minorTickMark val="none"/>
        <c:tickLblPos val="high"/>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831424"/>
        <c:crosses val="autoZero"/>
        <c:auto val="1"/>
        <c:lblAlgn val="ctr"/>
        <c:lblOffset val="100"/>
        <c:noMultiLvlLbl val="0"/>
      </c:catAx>
      <c:valAx>
        <c:axId val="79831424"/>
        <c:scaling>
          <c:orientation val="minMax"/>
          <c:max val="0.5"/>
          <c:min val="-0.4"/>
        </c:scaling>
        <c:delete val="0"/>
        <c:axPos val="t"/>
        <c:numFmt formatCode="#,##0.0%;#,##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608448"/>
        <c:crosses val="autoZero"/>
        <c:crossBetween val="between"/>
      </c:valAx>
      <c:spPr>
        <a:noFill/>
        <a:ln>
          <a:noFill/>
        </a:ln>
        <a:effectLst/>
      </c:spPr>
    </c:plotArea>
    <c:legend>
      <c:legendPos val="b"/>
      <c:layout>
        <c:manualLayout>
          <c:xMode val="edge"/>
          <c:yMode val="edge"/>
          <c:x val="0.11087869296745755"/>
          <c:y val="0.90433010575056105"/>
          <c:w val="0.48690976628649862"/>
          <c:h val="6.94174330812021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202051057373647E-2"/>
          <c:y val="0.12572861611476638"/>
          <c:w val="0.48689920793683333"/>
          <c:h val="0.73885224742946765"/>
        </c:manualLayout>
      </c:layout>
      <c:barChart>
        <c:barDir val="col"/>
        <c:grouping val="stacked"/>
        <c:varyColors val="0"/>
        <c:ser>
          <c:idx val="0"/>
          <c:order val="0"/>
          <c:tx>
            <c:strRef>
              <c:f>Лист1!$B$1</c:f>
              <c:strCache>
                <c:ptCount val="1"/>
                <c:pt idx="0">
                  <c:v>питание</c:v>
                </c:pt>
              </c:strCache>
            </c:strRef>
          </c:tx>
          <c:spPr>
            <a:solidFill>
              <a:sysClr val="window" lastClr="FFFFFF"/>
            </a:solidFill>
            <a:ln>
              <a:solidFill>
                <a:sysClr val="windowText" lastClr="000000"/>
              </a:solidFill>
            </a:ln>
            <a:effectLst/>
            <a:scene3d>
              <a:camera prst="orthographicFront"/>
              <a:lightRig rig="threePt" dir="t"/>
            </a:scene3d>
            <a:sp3d/>
          </c:spPr>
          <c:invertIfNegative val="0"/>
          <c:dLbls>
            <c:dLbl>
              <c:idx val="0"/>
              <c:tx>
                <c:rich>
                  <a:bodyPr/>
                  <a:lstStyle/>
                  <a:p>
                    <a:r>
                      <a:rPr lang="en-US" b="1"/>
                      <a:t>49,6%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DA-4F99-BFE7-75DF618DD7C2}"/>
                </c:ext>
              </c:extLst>
            </c:dLbl>
            <c:dLbl>
              <c:idx val="1"/>
              <c:tx>
                <c:rich>
                  <a:bodyPr/>
                  <a:lstStyle/>
                  <a:p>
                    <a:r>
                      <a:rPr lang="en-US" b="1"/>
                      <a:t>50,6%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DA-4F99-BFE7-75DF618DD7C2}"/>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 2021 год</c:v>
                </c:pt>
              </c:strCache>
            </c:strRef>
          </c:cat>
          <c:val>
            <c:numRef>
              <c:f>Лист1!$B$2:$B$3</c:f>
              <c:numCache>
                <c:formatCode>0.0</c:formatCode>
                <c:ptCount val="2"/>
                <c:pt idx="0">
                  <c:v>764</c:v>
                </c:pt>
                <c:pt idx="1">
                  <c:v>802.2</c:v>
                </c:pt>
              </c:numCache>
            </c:numRef>
          </c:val>
          <c:extLst>
            <c:ext xmlns:c16="http://schemas.microsoft.com/office/drawing/2014/chart" uri="{C3380CC4-5D6E-409C-BE32-E72D297353CC}">
              <c16:uniqueId val="{00000002-0DDA-4F99-BFE7-75DF618DD7C2}"/>
            </c:ext>
          </c:extLst>
        </c:ser>
        <c:ser>
          <c:idx val="1"/>
          <c:order val="1"/>
          <c:tx>
            <c:strRef>
              <c:f>Лист1!$C$1</c:f>
              <c:strCache>
                <c:ptCount val="1"/>
                <c:pt idx="0">
                  <c:v>непродовольственные товары</c:v>
                </c:pt>
              </c:strCache>
            </c:strRef>
          </c:tx>
          <c:spPr>
            <a:solidFill>
              <a:sysClr val="window" lastClr="FFFFFF">
                <a:lumMod val="65000"/>
              </a:sysClr>
            </a:solidFill>
            <a:ln>
              <a:solidFill>
                <a:sysClr val="windowText" lastClr="000000"/>
              </a:solidFill>
            </a:ln>
            <a:effectLst/>
            <a:scene3d>
              <a:camera prst="orthographicFront"/>
              <a:lightRig rig="threePt" dir="t"/>
            </a:scene3d>
            <a:sp3d/>
          </c:spPr>
          <c:invertIfNegative val="0"/>
          <c:dLbls>
            <c:dLbl>
              <c:idx val="0"/>
              <c:layout>
                <c:manualLayout>
                  <c:x val="-4.6296296296297014E-3"/>
                  <c:y val="2.2002200220022871E-2"/>
                </c:manualLayout>
              </c:layout>
              <c:tx>
                <c:rich>
                  <a:bodyPr/>
                  <a:lstStyle/>
                  <a:p>
                    <a:r>
                      <a:rPr lang="en-US" b="1"/>
                      <a:t>19,8%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DA-4F99-BFE7-75DF618DD7C2}"/>
                </c:ext>
              </c:extLst>
            </c:dLbl>
            <c:dLbl>
              <c:idx val="1"/>
              <c:layout>
                <c:manualLayout>
                  <c:x val="-2.3148148148148147E-3"/>
                  <c:y val="1.3201320132013583E-2"/>
                </c:manualLayout>
              </c:layout>
              <c:tx>
                <c:rich>
                  <a:bodyPr/>
                  <a:lstStyle/>
                  <a:p>
                    <a:r>
                      <a:rPr lang="en-US" b="1"/>
                      <a:t>19,4%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DA-4F99-BFE7-75DF618DD7C2}"/>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 2021 год</c:v>
                </c:pt>
              </c:strCache>
            </c:strRef>
          </c:cat>
          <c:val>
            <c:numRef>
              <c:f>Лист1!$C$2:$C$3</c:f>
              <c:numCache>
                <c:formatCode>0.0</c:formatCode>
                <c:ptCount val="2"/>
                <c:pt idx="0">
                  <c:v>304.10000000000002</c:v>
                </c:pt>
                <c:pt idx="1">
                  <c:v>307.89999999999992</c:v>
                </c:pt>
              </c:numCache>
            </c:numRef>
          </c:val>
          <c:extLst>
            <c:ext xmlns:c16="http://schemas.microsoft.com/office/drawing/2014/chart" uri="{C3380CC4-5D6E-409C-BE32-E72D297353CC}">
              <c16:uniqueId val="{00000005-0DDA-4F99-BFE7-75DF618DD7C2}"/>
            </c:ext>
          </c:extLst>
        </c:ser>
        <c:ser>
          <c:idx val="2"/>
          <c:order val="2"/>
          <c:tx>
            <c:strRef>
              <c:f>Лист1!$D$1</c:f>
              <c:strCache>
                <c:ptCount val="1"/>
                <c:pt idx="0">
                  <c:v>жилищно-коммунальные услуги</c:v>
                </c:pt>
              </c:strCache>
            </c:strRef>
          </c:tx>
          <c:spPr>
            <a:solidFill>
              <a:sysClr val="windowText" lastClr="000000">
                <a:lumMod val="65000"/>
                <a:lumOff val="35000"/>
              </a:sysClr>
            </a:solidFill>
            <a:ln>
              <a:solidFill>
                <a:sysClr val="windowText" lastClr="000000"/>
              </a:solidFill>
            </a:ln>
            <a:effectLst/>
            <a:scene3d>
              <a:camera prst="orthographicFront"/>
              <a:lightRig rig="threePt" dir="t"/>
            </a:scene3d>
            <a:sp3d/>
          </c:spPr>
          <c:invertIfNegative val="0"/>
          <c:dLbls>
            <c:dLbl>
              <c:idx val="0"/>
              <c:layout>
                <c:manualLayout>
                  <c:x val="4.6296296296297014E-3"/>
                  <c:y val="1.2229758408911761E-2"/>
                </c:manualLayout>
              </c:layout>
              <c:tx>
                <c:rich>
                  <a:bodyPr/>
                  <a:lstStyle/>
                  <a:p>
                    <a:r>
                      <a:rPr lang="en-US" b="1" baseline="0">
                        <a:solidFill>
                          <a:schemeClr val="bg1"/>
                        </a:solidFill>
                      </a:rPr>
                      <a:t>28,9%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DA-4F99-BFE7-75DF618DD7C2}"/>
                </c:ext>
              </c:extLst>
            </c:dLbl>
            <c:dLbl>
              <c:idx val="1"/>
              <c:layout>
                <c:manualLayout>
                  <c:x val="4.6296296296297014E-3"/>
                  <c:y val="2.0278405793335279E-2"/>
                </c:manualLayout>
              </c:layout>
              <c:tx>
                <c:rich>
                  <a:bodyPr/>
                  <a:lstStyle/>
                  <a:p>
                    <a:r>
                      <a:rPr lang="en-US" b="1" baseline="0">
                        <a:solidFill>
                          <a:schemeClr val="bg1"/>
                        </a:solidFill>
                      </a:rPr>
                      <a:t>28,3%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DA-4F99-BFE7-75DF618DD7C2}"/>
                </c:ext>
              </c:extLst>
            </c:dLbl>
            <c:spPr>
              <a:noFill/>
              <a:ln>
                <a:noFill/>
              </a:ln>
              <a:effectLst/>
            </c:spPr>
            <c:txPr>
              <a:bodyPr/>
              <a:lstStyle/>
              <a:p>
                <a:pPr>
                  <a:defRPr sz="1000" b="1" baseline="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 2021 год</c:v>
                </c:pt>
              </c:strCache>
            </c:strRef>
          </c:cat>
          <c:val>
            <c:numRef>
              <c:f>Лист1!$D$2:$D$3</c:f>
              <c:numCache>
                <c:formatCode>0.0</c:formatCode>
                <c:ptCount val="2"/>
                <c:pt idx="0">
                  <c:v>444.9</c:v>
                </c:pt>
                <c:pt idx="1">
                  <c:v>448</c:v>
                </c:pt>
              </c:numCache>
            </c:numRef>
          </c:val>
          <c:extLst>
            <c:ext xmlns:c16="http://schemas.microsoft.com/office/drawing/2014/chart" uri="{C3380CC4-5D6E-409C-BE32-E72D297353CC}">
              <c16:uniqueId val="{00000008-0DDA-4F99-BFE7-75DF618DD7C2}"/>
            </c:ext>
          </c:extLst>
        </c:ser>
        <c:ser>
          <c:idx val="3"/>
          <c:order val="3"/>
          <c:tx>
            <c:strRef>
              <c:f>Лист1!$E$1</c:f>
              <c:strCache>
                <c:ptCount val="1"/>
                <c:pt idx="0">
                  <c:v>обязательные платежи и сборы</c:v>
                </c:pt>
              </c:strCache>
            </c:strRef>
          </c:tx>
          <c:spPr>
            <a:solidFill>
              <a:sysClr val="windowText" lastClr="000000"/>
            </a:solidFill>
            <a:effectLst/>
            <a:scene3d>
              <a:camera prst="orthographicFront"/>
              <a:lightRig rig="threePt" dir="t"/>
            </a:scene3d>
          </c:spPr>
          <c:invertIfNegative val="0"/>
          <c:dLbls>
            <c:dLbl>
              <c:idx val="0"/>
              <c:layout>
                <c:manualLayout>
                  <c:x val="4.6294473607465716E-3"/>
                  <c:y val="-4.7238897118058294E-2"/>
                </c:manualLayout>
              </c:layout>
              <c:tx>
                <c:rich>
                  <a:bodyPr/>
                  <a:lstStyle/>
                  <a:p>
                    <a:r>
                      <a:rPr lang="en-US" b="1"/>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DA-4F99-BFE7-75DF618DD7C2}"/>
                </c:ext>
              </c:extLst>
            </c:dLbl>
            <c:dLbl>
              <c:idx val="1"/>
              <c:layout>
                <c:manualLayout>
                  <c:x val="2.3148148148148147E-3"/>
                  <c:y val="-3.8438017030049482E-2"/>
                </c:manualLayout>
              </c:layout>
              <c:tx>
                <c:rich>
                  <a:bodyPr/>
                  <a:lstStyle/>
                  <a:p>
                    <a:r>
                      <a:rPr lang="en-US" b="1"/>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DA-4F99-BFE7-75DF618DD7C2}"/>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 2021 год</c:v>
                </c:pt>
              </c:strCache>
            </c:strRef>
          </c:cat>
          <c:val>
            <c:numRef>
              <c:f>Лист1!$E$2:$E$3</c:f>
              <c:numCache>
                <c:formatCode>0.0</c:formatCode>
                <c:ptCount val="2"/>
                <c:pt idx="0">
                  <c:v>26.5</c:v>
                </c:pt>
                <c:pt idx="1">
                  <c:v>26.9</c:v>
                </c:pt>
              </c:numCache>
            </c:numRef>
          </c:val>
          <c:extLst>
            <c:ext xmlns:c16="http://schemas.microsoft.com/office/drawing/2014/chart" uri="{C3380CC4-5D6E-409C-BE32-E72D297353CC}">
              <c16:uniqueId val="{0000000B-0DDA-4F99-BFE7-75DF618DD7C2}"/>
            </c:ext>
          </c:extLst>
        </c:ser>
        <c:dLbls>
          <c:showLegendKey val="0"/>
          <c:showVal val="0"/>
          <c:showCatName val="0"/>
          <c:showSerName val="0"/>
          <c:showPercent val="0"/>
          <c:showBubbleSize val="0"/>
        </c:dLbls>
        <c:gapWidth val="150"/>
        <c:overlap val="100"/>
        <c:axId val="82921344"/>
        <c:axId val="82922880"/>
      </c:barChart>
      <c:catAx>
        <c:axId val="82921344"/>
        <c:scaling>
          <c:orientation val="minMax"/>
        </c:scaling>
        <c:delete val="0"/>
        <c:axPos val="b"/>
        <c:numFmt formatCode="General" sourceLinked="0"/>
        <c:majorTickMark val="none"/>
        <c:minorTickMark val="none"/>
        <c:tickLblPos val="nextTo"/>
        <c:txPr>
          <a:bodyPr/>
          <a:lstStyle/>
          <a:p>
            <a:pPr>
              <a:defRPr sz="900" b="1"/>
            </a:pPr>
            <a:endParaRPr lang="ru-RU"/>
          </a:p>
        </c:txPr>
        <c:crossAx val="82922880"/>
        <c:crosses val="autoZero"/>
        <c:auto val="1"/>
        <c:lblAlgn val="ctr"/>
        <c:lblOffset val="100"/>
        <c:noMultiLvlLbl val="0"/>
      </c:catAx>
      <c:valAx>
        <c:axId val="82922880"/>
        <c:scaling>
          <c:orientation val="minMax"/>
          <c:max val="1600"/>
        </c:scaling>
        <c:delete val="0"/>
        <c:axPos val="l"/>
        <c:numFmt formatCode="#,##0.0" sourceLinked="0"/>
        <c:majorTickMark val="cross"/>
        <c:minorTickMark val="none"/>
        <c:tickLblPos val="nextTo"/>
        <c:spPr>
          <a:ln w="12700">
            <a:solidFill>
              <a:sysClr val="window" lastClr="FFFFFF">
                <a:lumMod val="85000"/>
              </a:sysClr>
            </a:solidFill>
          </a:ln>
        </c:spPr>
        <c:txPr>
          <a:bodyPr/>
          <a:lstStyle/>
          <a:p>
            <a:pPr>
              <a:defRPr sz="900" b="0"/>
            </a:pPr>
            <a:endParaRPr lang="ru-RU"/>
          </a:p>
        </c:txPr>
        <c:crossAx val="82921344"/>
        <c:crosses val="autoZero"/>
        <c:crossBetween val="between"/>
        <c:majorUnit val="400"/>
      </c:valAx>
    </c:plotArea>
    <c:legend>
      <c:legendPos val="r"/>
      <c:layout>
        <c:manualLayout>
          <c:xMode val="edge"/>
          <c:yMode val="edge"/>
          <c:x val="0.6002736657859834"/>
          <c:y val="0.24600434846634994"/>
          <c:w val="0.33247186798279493"/>
          <c:h val="0.35480623745561246"/>
        </c:manualLayout>
      </c:layout>
      <c:overlay val="0"/>
      <c:txPr>
        <a:bodyPr/>
        <a:lstStyle/>
        <a:p>
          <a:pPr>
            <a:defRPr sz="1000" i="0"/>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на 1 января 2021 года</c:v>
                </c:pt>
              </c:strCache>
            </c:strRef>
          </c:tx>
          <c:spPr>
            <a:solidFill>
              <a:schemeClr val="bg1">
                <a:lumMod val="85000"/>
              </a:schemeClr>
            </a:solidFill>
            <a:ln w="3175">
              <a:noFill/>
            </a:ln>
            <a:effectLst/>
          </c:spPr>
          <c:invertIfNegative val="0"/>
          <c:dLbls>
            <c:dLbl>
              <c:idx val="1"/>
              <c:layout>
                <c:manualLayout>
                  <c:x val="-4.61688900457690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6F-411A-BA0A-3C0E908F9989}"/>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занятое население</c:v>
                </c:pt>
                <c:pt idx="1">
                  <c:v>лица, ищущие работу</c:v>
                </c:pt>
              </c:strCache>
            </c:strRef>
          </c:cat>
          <c:val>
            <c:numRef>
              <c:f>Лист1!$B$2:$B$3</c:f>
              <c:numCache>
                <c:formatCode>0.0%</c:formatCode>
                <c:ptCount val="2"/>
                <c:pt idx="0">
                  <c:v>-0.97499999999999998</c:v>
                </c:pt>
                <c:pt idx="1">
                  <c:v>-2.5000000000000001E-2</c:v>
                </c:pt>
              </c:numCache>
            </c:numRef>
          </c:val>
          <c:extLst>
            <c:ext xmlns:c16="http://schemas.microsoft.com/office/drawing/2014/chart" uri="{C3380CC4-5D6E-409C-BE32-E72D297353CC}">
              <c16:uniqueId val="{00000001-D46F-411A-BA0A-3C0E908F9989}"/>
            </c:ext>
          </c:extLst>
        </c:ser>
        <c:ser>
          <c:idx val="2"/>
          <c:order val="1"/>
          <c:tx>
            <c:strRef>
              <c:f>Лист1!$D$1</c:f>
              <c:strCache>
                <c:ptCount val="1"/>
                <c:pt idx="0">
                  <c:v>на 1 января 2022 года</c:v>
                </c:pt>
              </c:strCache>
            </c:strRef>
          </c:tx>
          <c:spPr>
            <a:solidFill>
              <a:schemeClr val="tx1">
                <a:lumMod val="65000"/>
                <a:lumOff val="35000"/>
              </a:schemeClr>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2-D46F-411A-BA0A-3C0E908F9989}"/>
                </c:ext>
              </c:extLst>
            </c:dLbl>
            <c:dLbl>
              <c:idx val="1"/>
              <c:layout>
                <c:manualLayout>
                  <c:x val="3.9932669573328125E-2"/>
                  <c:y val="-5.461899229809388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6F-411A-BA0A-3C0E908F998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занятое население</c:v>
                </c:pt>
                <c:pt idx="1">
                  <c:v>лица, ищущие работу</c:v>
                </c:pt>
              </c:strCache>
            </c:strRef>
          </c:cat>
          <c:val>
            <c:numRef>
              <c:f>Лист1!$D$2:$D$3</c:f>
              <c:numCache>
                <c:formatCode>0.0%</c:formatCode>
                <c:ptCount val="2"/>
                <c:pt idx="0">
                  <c:v>0.98499999999999999</c:v>
                </c:pt>
                <c:pt idx="1">
                  <c:v>1.4999999999999999E-2</c:v>
                </c:pt>
              </c:numCache>
            </c:numRef>
          </c:val>
          <c:extLst>
            <c:ext xmlns:c16="http://schemas.microsoft.com/office/drawing/2014/chart" uri="{C3380CC4-5D6E-409C-BE32-E72D297353CC}">
              <c16:uniqueId val="{00000004-D46F-411A-BA0A-3C0E908F9989}"/>
            </c:ext>
          </c:extLst>
        </c:ser>
        <c:dLbls>
          <c:showLegendKey val="0"/>
          <c:showVal val="0"/>
          <c:showCatName val="0"/>
          <c:showSerName val="0"/>
          <c:showPercent val="0"/>
          <c:showBubbleSize val="0"/>
        </c:dLbls>
        <c:gapWidth val="150"/>
        <c:overlap val="100"/>
        <c:axId val="136308992"/>
        <c:axId val="136318976"/>
      </c:barChart>
      <c:catAx>
        <c:axId val="136308992"/>
        <c:scaling>
          <c:orientation val="maxMin"/>
        </c:scaling>
        <c:delete val="0"/>
        <c:axPos val="l"/>
        <c:numFmt formatCode="General" sourceLinked="1"/>
        <c:majorTickMark val="none"/>
        <c:minorTickMark val="none"/>
        <c:tickLblPos val="high"/>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318976"/>
        <c:crosses val="autoZero"/>
        <c:auto val="1"/>
        <c:lblAlgn val="ctr"/>
        <c:lblOffset val="100"/>
        <c:noMultiLvlLbl val="0"/>
      </c:catAx>
      <c:valAx>
        <c:axId val="136318976"/>
        <c:scaling>
          <c:orientation val="minMax"/>
          <c:max val="1"/>
          <c:min val="-1"/>
        </c:scaling>
        <c:delete val="0"/>
        <c:axPos val="t"/>
        <c:numFmt formatCode="#,##0.0%;#,##0.0%"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308992"/>
        <c:crosses val="autoZero"/>
        <c:crossBetween val="between"/>
        <c:majorUnit val="0.5"/>
      </c:valAx>
      <c:spPr>
        <a:noFill/>
        <a:ln>
          <a:noFill/>
        </a:ln>
        <a:effectLst/>
      </c:spPr>
    </c:plotArea>
    <c:legend>
      <c:legendPos val="b"/>
      <c:layout>
        <c:manualLayout>
          <c:xMode val="edge"/>
          <c:yMode val="edge"/>
          <c:x val="0.11087869296745755"/>
          <c:y val="0.90433010575056161"/>
          <c:w val="0.4869097662864984"/>
          <c:h val="6.94174330812020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1.8995273907169942E-3"/>
          <c:y val="0.14652205907416654"/>
          <c:w val="0.99150128147396865"/>
          <c:h val="0.56807885645310374"/>
        </c:manualLayout>
      </c:layout>
      <c:barChart>
        <c:barDir val="col"/>
        <c:grouping val="clustered"/>
        <c:varyColors val="0"/>
        <c:ser>
          <c:idx val="0"/>
          <c:order val="0"/>
          <c:tx>
            <c:strRef>
              <c:f>Лист1!$B$1</c:f>
              <c:strCache>
                <c:ptCount val="1"/>
                <c:pt idx="0">
                  <c:v>2020 год</c:v>
                </c:pt>
              </c:strCache>
            </c:strRef>
          </c:tx>
          <c:spPr>
            <a:solidFill>
              <a:schemeClr val="bg1">
                <a:lumMod val="85000"/>
              </a:schemeClr>
            </a:solidFill>
            <a:ln w="9525">
              <a:noFill/>
            </a:ln>
            <a:effectLst/>
          </c:spPr>
          <c:invertIfNegative val="0"/>
          <c:dLbls>
            <c:delete val="1"/>
          </c:dLbls>
          <c:cat>
            <c:strRef>
              <c:f>Лист1!$A$2:$A$13</c:f>
              <c:strCache>
                <c:ptCount val="12"/>
                <c:pt idx="0">
                  <c:v>январь</c:v>
                </c:pt>
                <c:pt idx="1">
                  <c:v>февраль</c:v>
                </c:pt>
                <c:pt idx="2">
                  <c:v>март</c:v>
                </c:pt>
                <c:pt idx="3">
                  <c:v>апрель</c:v>
                </c:pt>
                <c:pt idx="4">
                  <c:v>май  </c:v>
                </c:pt>
                <c:pt idx="5">
                  <c:v>июнь </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537</c:v>
                </c:pt>
                <c:pt idx="1">
                  <c:v>441</c:v>
                </c:pt>
                <c:pt idx="2">
                  <c:v>361</c:v>
                </c:pt>
                <c:pt idx="3">
                  <c:v>725</c:v>
                </c:pt>
                <c:pt idx="4">
                  <c:v>700</c:v>
                </c:pt>
                <c:pt idx="5">
                  <c:v>584</c:v>
                </c:pt>
                <c:pt idx="6">
                  <c:v>755</c:v>
                </c:pt>
                <c:pt idx="7">
                  <c:v>615</c:v>
                </c:pt>
                <c:pt idx="8">
                  <c:v>487</c:v>
                </c:pt>
                <c:pt idx="9">
                  <c:v>457</c:v>
                </c:pt>
                <c:pt idx="10">
                  <c:v>477</c:v>
                </c:pt>
                <c:pt idx="11">
                  <c:v>425</c:v>
                </c:pt>
              </c:numCache>
            </c:numRef>
          </c:val>
          <c:extLst>
            <c:ext xmlns:c16="http://schemas.microsoft.com/office/drawing/2014/chart" uri="{C3380CC4-5D6E-409C-BE32-E72D297353CC}">
              <c16:uniqueId val="{00000000-EFDC-416C-88E6-A0F2FD46ACDB}"/>
            </c:ext>
          </c:extLst>
        </c:ser>
        <c:ser>
          <c:idx val="1"/>
          <c:order val="1"/>
          <c:tx>
            <c:strRef>
              <c:f>Лист1!$C$1</c:f>
              <c:strCache>
                <c:ptCount val="1"/>
                <c:pt idx="0">
                  <c:v>2021 год</c:v>
                </c:pt>
              </c:strCache>
            </c:strRef>
          </c:tx>
          <c:spPr>
            <a:solidFill>
              <a:srgbClr val="595959"/>
            </a:solidFill>
            <a:ln w="19050">
              <a:noFill/>
            </a:ln>
            <a:effectLst/>
          </c:spPr>
          <c:invertIfNegative val="0"/>
          <c:dPt>
            <c:idx val="0"/>
            <c:invertIfNegative val="0"/>
            <c:bubble3D val="0"/>
            <c:spPr>
              <a:solidFill>
                <a:srgbClr val="595959"/>
              </a:solidFill>
              <a:ln w="19050">
                <a:noFill/>
                <a:prstDash val="solid"/>
              </a:ln>
              <a:effectLst/>
            </c:spPr>
            <c:extLst>
              <c:ext xmlns:c16="http://schemas.microsoft.com/office/drawing/2014/chart" uri="{C3380CC4-5D6E-409C-BE32-E72D297353CC}">
                <c16:uniqueId val="{00000002-EFDC-416C-88E6-A0F2FD46ACDB}"/>
              </c:ext>
            </c:extLst>
          </c:dPt>
          <c:dLbls>
            <c:dLbl>
              <c:idx val="0"/>
              <c:layout>
                <c:manualLayout>
                  <c:x val="6.917013513342852E-4"/>
                  <c:y val="2.2886176661072446E-3"/>
                </c:manualLayout>
              </c:layout>
              <c:tx>
                <c:rich>
                  <a:bodyPr/>
                  <a:lstStyle/>
                  <a:p>
                    <a:r>
                      <a:rPr lang="en-US" sz="750" b="0">
                        <a:solidFill>
                          <a:sysClr val="windowText" lastClr="000000"/>
                        </a:solidFill>
                      </a:rPr>
                      <a:t>-14,0%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DC-416C-88E6-A0F2FD46ACDB}"/>
                </c:ext>
              </c:extLst>
            </c:dLbl>
            <c:dLbl>
              <c:idx val="1"/>
              <c:layout>
                <c:manualLayout>
                  <c:x val="-1.0158700766359309E-2"/>
                  <c:y val="1.394103811889824E-2"/>
                </c:manualLayout>
              </c:layout>
              <c:tx>
                <c:rich>
                  <a:bodyPr/>
                  <a:lstStyle/>
                  <a:p>
                    <a:r>
                      <a:rPr lang="en-US"/>
                      <a:t>+15,6%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DC-416C-88E6-A0F2FD46ACDB}"/>
                </c:ext>
              </c:extLst>
            </c:dLbl>
            <c:dLbl>
              <c:idx val="2"/>
              <c:layout>
                <c:manualLayout>
                  <c:x val="4.806558453309278E-3"/>
                  <c:y val="7.5274325649052412E-3"/>
                </c:manualLayout>
              </c:layout>
              <c:tx>
                <c:rich>
                  <a:bodyPr/>
                  <a:lstStyle/>
                  <a:p>
                    <a:r>
                      <a:rPr lang="en-US"/>
                      <a:t>+52,9%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DC-416C-88E6-A0F2FD46ACDB}"/>
                </c:ext>
              </c:extLst>
            </c:dLbl>
            <c:dLbl>
              <c:idx val="3"/>
              <c:layout>
                <c:manualLayout>
                  <c:x val="5.9792018247852245E-3"/>
                  <c:y val="-1.5964581967361498E-3"/>
                </c:manualLayout>
              </c:layout>
              <c:tx>
                <c:rich>
                  <a:bodyPr rot="0" spcFirstLastPara="1" vertOverflow="ellipsis" vert="horz" wrap="square" lIns="38100" tIns="19050" rIns="38100" bIns="19050" anchor="ctr" anchorCtr="1">
                    <a:noAutofit/>
                  </a:bodyPr>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baseline="0"/>
                      <a:t>-49,5%</a:t>
                    </a:r>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6.1690198933577987E-2"/>
                      <c:h val="6.319744791259381E-2"/>
                    </c:manualLayout>
                  </c15:layout>
                </c:ext>
                <c:ext xmlns:c16="http://schemas.microsoft.com/office/drawing/2014/chart" uri="{C3380CC4-5D6E-409C-BE32-E72D297353CC}">
                  <c16:uniqueId val="{00000005-EFDC-416C-88E6-A0F2FD46ACDB}"/>
                </c:ext>
              </c:extLst>
            </c:dLbl>
            <c:dLbl>
              <c:idx val="4"/>
              <c:layout>
                <c:manualLayout>
                  <c:x val="2.5589078222516964E-3"/>
                  <c:y val="1.1580637981749608E-2"/>
                </c:manualLayout>
              </c:layout>
              <c:tx>
                <c:rich>
                  <a:bodyPr/>
                  <a:lstStyle/>
                  <a:p>
                    <a:r>
                      <a:rPr lang="en-US"/>
                      <a:t>-58,3%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DC-416C-88E6-A0F2FD46ACDB}"/>
                </c:ext>
              </c:extLst>
            </c:dLbl>
            <c:dLbl>
              <c:idx val="5"/>
              <c:layout>
                <c:manualLayout>
                  <c:x val="3.5850970258861168E-3"/>
                  <c:y val="1.3922992246290069E-2"/>
                </c:manualLayout>
              </c:layout>
              <c:tx>
                <c:rich>
                  <a:bodyPr/>
                  <a:lstStyle/>
                  <a:p>
                    <a:r>
                      <a:rPr lang="en-US"/>
                      <a:t>-9,6%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DC-416C-88E6-A0F2FD46ACDB}"/>
                </c:ext>
              </c:extLst>
            </c:dLbl>
            <c:dLbl>
              <c:idx val="6"/>
              <c:layout>
                <c:manualLayout>
                  <c:x val="6.3015693321605776E-3"/>
                  <c:y val="1.890846531884054E-2"/>
                </c:manualLayout>
              </c:layout>
              <c:tx>
                <c:rich>
                  <a:bodyPr/>
                  <a:lstStyle/>
                  <a:p>
                    <a:r>
                      <a:rPr lang="en-US"/>
                      <a:t>-44,6%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DC-416C-88E6-A0F2FD46ACDB}"/>
                </c:ext>
              </c:extLst>
            </c:dLbl>
            <c:dLbl>
              <c:idx val="7"/>
              <c:layout>
                <c:manualLayout>
                  <c:x val="7.4910465160320239E-3"/>
                  <c:y val="1.1070541316025336E-2"/>
                </c:manualLayout>
              </c:layout>
              <c:tx>
                <c:rich>
                  <a:bodyPr/>
                  <a:lstStyle/>
                  <a:p>
                    <a:r>
                      <a:rPr lang="en-US"/>
                      <a:t>-47,2%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DC-416C-88E6-A0F2FD46ACDB}"/>
                </c:ext>
              </c:extLst>
            </c:dLbl>
            <c:dLbl>
              <c:idx val="8"/>
              <c:layout>
                <c:manualLayout>
                  <c:x val="2.7102437956879406E-3"/>
                  <c:y val="1.9521222948735685E-2"/>
                </c:manualLayout>
              </c:layout>
              <c:tx>
                <c:rich>
                  <a:bodyPr/>
                  <a:lstStyle/>
                  <a:p>
                    <a:r>
                      <a:rPr lang="en-US"/>
                      <a:t>-39,6%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DC-416C-88E6-A0F2FD46ACDB}"/>
                </c:ext>
              </c:extLst>
            </c:dLbl>
            <c:dLbl>
              <c:idx val="9"/>
              <c:layout>
                <c:manualLayout>
                  <c:x val="4.806558453309317E-3"/>
                  <c:y val="1.7777189616003882E-2"/>
                </c:manualLayout>
              </c:layout>
              <c:tx>
                <c:rich>
                  <a:bodyPr/>
                  <a:lstStyle/>
                  <a:p>
                    <a:r>
                      <a:rPr lang="en-US"/>
                      <a:t>-41,8%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DC-416C-88E6-A0F2FD46ACDB}"/>
                </c:ext>
              </c:extLst>
            </c:dLbl>
            <c:dLbl>
              <c:idx val="10"/>
              <c:layout>
                <c:manualLayout>
                  <c:x val="3.3923498739568299E-3"/>
                  <c:y val="1.6088095939879171E-2"/>
                </c:manualLayout>
              </c:layout>
              <c:tx>
                <c:rich>
                  <a:bodyPr/>
                  <a:lstStyle/>
                  <a:p>
                    <a:r>
                      <a:rPr lang="en-US"/>
                      <a:t>-37,1%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DC-416C-88E6-A0F2FD46ACDB}"/>
                </c:ext>
              </c:extLst>
            </c:dLbl>
            <c:dLbl>
              <c:idx val="11"/>
              <c:layout>
                <c:manualLayout>
                  <c:x val="1.1655731702698039E-3"/>
                  <c:y val="1.8358266713986954E-2"/>
                </c:manualLayout>
              </c:layout>
              <c:tx>
                <c:rich>
                  <a:bodyPr/>
                  <a:lstStyle/>
                  <a:p>
                    <a:r>
                      <a:rPr lang="en-US"/>
                      <a:t>-17,9%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FDC-416C-88E6-A0F2FD46ACDB}"/>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  </c:v>
                </c:pt>
                <c:pt idx="5">
                  <c:v>июнь </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462</c:v>
                </c:pt>
                <c:pt idx="1">
                  <c:v>510</c:v>
                </c:pt>
                <c:pt idx="2">
                  <c:v>552</c:v>
                </c:pt>
                <c:pt idx="3">
                  <c:v>366</c:v>
                </c:pt>
                <c:pt idx="4">
                  <c:v>292</c:v>
                </c:pt>
                <c:pt idx="5">
                  <c:v>528</c:v>
                </c:pt>
                <c:pt idx="6">
                  <c:v>418</c:v>
                </c:pt>
                <c:pt idx="7">
                  <c:v>325</c:v>
                </c:pt>
                <c:pt idx="8">
                  <c:v>294</c:v>
                </c:pt>
                <c:pt idx="9">
                  <c:v>266</c:v>
                </c:pt>
                <c:pt idx="10">
                  <c:v>300</c:v>
                </c:pt>
                <c:pt idx="11">
                  <c:v>349</c:v>
                </c:pt>
              </c:numCache>
            </c:numRef>
          </c:val>
          <c:extLst>
            <c:ext xmlns:c16="http://schemas.microsoft.com/office/drawing/2014/chart" uri="{C3380CC4-5D6E-409C-BE32-E72D297353CC}">
              <c16:uniqueId val="{0000000E-EFDC-416C-88E6-A0F2FD46ACDB}"/>
            </c:ext>
          </c:extLst>
        </c:ser>
        <c:dLbls>
          <c:showLegendKey val="0"/>
          <c:showVal val="1"/>
          <c:showCatName val="0"/>
          <c:showSerName val="0"/>
          <c:showPercent val="0"/>
          <c:showBubbleSize val="0"/>
        </c:dLbls>
        <c:gapWidth val="123"/>
        <c:overlap val="4"/>
        <c:axId val="188980224"/>
        <c:axId val="188986112"/>
      </c:barChart>
      <c:catAx>
        <c:axId val="18898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986112"/>
        <c:crosses val="autoZero"/>
        <c:auto val="1"/>
        <c:lblAlgn val="ctr"/>
        <c:lblOffset val="100"/>
        <c:noMultiLvlLbl val="0"/>
      </c:catAx>
      <c:valAx>
        <c:axId val="188986112"/>
        <c:scaling>
          <c:orientation val="minMax"/>
        </c:scaling>
        <c:delete val="1"/>
        <c:axPos val="l"/>
        <c:numFmt formatCode="General" sourceLinked="1"/>
        <c:majorTickMark val="none"/>
        <c:minorTickMark val="none"/>
        <c:tickLblPos val="nextTo"/>
        <c:crossAx val="18898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4490924470892"/>
          <c:y val="6.7003177531341608E-3"/>
          <c:w val="0.51600813329876261"/>
          <c:h val="0.95552260024455571"/>
        </c:manualLayout>
      </c:layout>
      <c:barChart>
        <c:barDir val="bar"/>
        <c:grouping val="clustered"/>
        <c:varyColors val="0"/>
        <c:ser>
          <c:idx val="0"/>
          <c:order val="0"/>
          <c:tx>
            <c:strRef>
              <c:f>Лист1!$B$1</c:f>
              <c:strCache>
                <c:ptCount val="1"/>
                <c:pt idx="0">
                  <c:v>2021 год</c:v>
                </c:pt>
              </c:strCache>
            </c:strRef>
          </c:tx>
          <c:spPr>
            <a:solidFill>
              <a:srgbClr val="595959"/>
            </a:solidFill>
            <a:ln>
              <a:noFill/>
            </a:ln>
            <a:effectLst/>
            <a:scene3d>
              <a:camera prst="orthographicFront"/>
              <a:lightRig rig="threePt" dir="t"/>
            </a:scene3d>
            <a:sp3d/>
          </c:spPr>
          <c:invertIfNegative val="0"/>
          <c:dLbls>
            <c:dLbl>
              <c:idx val="0"/>
              <c:layout>
                <c:manualLayout>
                  <c:x val="0"/>
                  <c:y val="1.4683902397662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E4-43CE-B43F-39E991A21500}"/>
                </c:ext>
              </c:extLst>
            </c:dLbl>
            <c:dLbl>
              <c:idx val="1"/>
              <c:layout>
                <c:manualLayout>
                  <c:x val="0"/>
                  <c:y val="1.4682754238055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E4-43CE-B43F-39E991A21500}"/>
                </c:ext>
              </c:extLst>
            </c:dLbl>
            <c:dLbl>
              <c:idx val="2"/>
              <c:layout>
                <c:manualLayout>
                  <c:x val="0"/>
                  <c:y val="1.468236886392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E4-43CE-B43F-39E991A21500}"/>
                </c:ext>
              </c:extLst>
            </c:dLbl>
            <c:dLbl>
              <c:idx val="3"/>
              <c:layout>
                <c:manualLayout>
                  <c:x val="0"/>
                  <c:y val="9.7895252080273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E4-43CE-B43F-39E991A21500}"/>
                </c:ext>
              </c:extLst>
            </c:dLbl>
            <c:dLbl>
              <c:idx val="4"/>
              <c:layout>
                <c:manualLayout>
                  <c:x val="0"/>
                  <c:y val="9.78850282537042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E4-43CE-B43F-39E991A21500}"/>
                </c:ext>
              </c:extLst>
            </c:dLbl>
            <c:dLbl>
              <c:idx val="5"/>
              <c:layout>
                <c:manualLayout>
                  <c:x val="-4.27578834847675E-3"/>
                  <c:y val="1.4682754238055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E4-43CE-B43F-39E991A21500}"/>
                </c:ext>
              </c:extLst>
            </c:dLbl>
            <c:dLbl>
              <c:idx val="6"/>
              <c:layout>
                <c:manualLayout>
                  <c:x val="-2.1378941742383794E-3"/>
                  <c:y val="1.4683131568906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E4-43CE-B43F-39E991A21500}"/>
                </c:ext>
              </c:extLst>
            </c:dLbl>
            <c:dLbl>
              <c:idx val="7"/>
              <c:layout>
                <c:manualLayout>
                  <c:x val="-3.9194273752108874E-17"/>
                  <c:y val="9.78913979364913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E4-43CE-B43F-39E991A21500}"/>
                </c:ext>
              </c:extLst>
            </c:dLbl>
            <c:spPr>
              <a:noFill/>
              <a:ln>
                <a:noFill/>
              </a:ln>
              <a:effectLst/>
            </c:spPr>
            <c:txPr>
              <a:bodyPr/>
              <a:lstStyle/>
              <a:p>
                <a:pPr>
                  <a:defRPr sz="9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Лист1!$B$2:$B$9</c:f>
              <c:numCache>
                <c:formatCode>General</c:formatCode>
                <c:ptCount val="8"/>
                <c:pt idx="0" formatCode="0.00">
                  <c:v>1.54</c:v>
                </c:pt>
                <c:pt idx="1">
                  <c:v>2.21</c:v>
                </c:pt>
                <c:pt idx="2" formatCode="0.00">
                  <c:v>3.47</c:v>
                </c:pt>
                <c:pt idx="3">
                  <c:v>4.04</c:v>
                </c:pt>
                <c:pt idx="4">
                  <c:v>0.34</c:v>
                </c:pt>
                <c:pt idx="5">
                  <c:v>3.03</c:v>
                </c:pt>
                <c:pt idx="6">
                  <c:v>0.6</c:v>
                </c:pt>
                <c:pt idx="7">
                  <c:v>0.54</c:v>
                </c:pt>
              </c:numCache>
            </c:numRef>
          </c:val>
          <c:extLst>
            <c:ext xmlns:c16="http://schemas.microsoft.com/office/drawing/2014/chart" uri="{C3380CC4-5D6E-409C-BE32-E72D297353CC}">
              <c16:uniqueId val="{00000008-A5E4-43CE-B43F-39E991A21500}"/>
            </c:ext>
          </c:extLst>
        </c:ser>
        <c:ser>
          <c:idx val="1"/>
          <c:order val="1"/>
          <c:tx>
            <c:strRef>
              <c:f>Лист1!$C$1</c:f>
              <c:strCache>
                <c:ptCount val="1"/>
                <c:pt idx="0">
                  <c:v>2020 год</c:v>
                </c:pt>
              </c:strCache>
            </c:strRef>
          </c:tx>
          <c:spPr>
            <a:solidFill>
              <a:srgbClr val="D9D9D9"/>
            </a:solidFill>
            <a:ln w="12700">
              <a:noFill/>
            </a:ln>
            <a:effectLst/>
            <a:scene3d>
              <a:camera prst="orthographicFront"/>
              <a:lightRig rig="threePt" dir="t"/>
            </a:scene3d>
            <a:sp3d/>
          </c:spPr>
          <c:invertIfNegative val="0"/>
          <c:dLbls>
            <c:dLbl>
              <c:idx val="0"/>
              <c:layout>
                <c:manualLayout>
                  <c:x val="0"/>
                  <c:y val="-4.8942514126852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E4-43CE-B43F-39E991A21500}"/>
                </c:ext>
              </c:extLst>
            </c:dLbl>
            <c:dLbl>
              <c:idx val="3"/>
              <c:layout>
                <c:manualLayout>
                  <c:x val="0"/>
                  <c:y val="-1.4682754238055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E4-43CE-B43F-39E991A21500}"/>
                </c:ext>
              </c:extLst>
            </c:dLbl>
            <c:dLbl>
              <c:idx val="4"/>
              <c:layout>
                <c:manualLayout>
                  <c:x val="0"/>
                  <c:y val="-1.4682754238055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E4-43CE-B43F-39E991A21500}"/>
                </c:ext>
              </c:extLst>
            </c:dLbl>
            <c:dLbl>
              <c:idx val="5"/>
              <c:layout>
                <c:manualLayout>
                  <c:x val="0"/>
                  <c:y val="-1.4682754238055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5E4-43CE-B43F-39E991A21500}"/>
                </c:ext>
              </c:extLst>
            </c:dLbl>
            <c:dLbl>
              <c:idx val="6"/>
              <c:layout>
                <c:manualLayout>
                  <c:x val="3.919427375211068E-17"/>
                  <c:y val="-1.4682754238055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E4-43CE-B43F-39E991A21500}"/>
                </c:ext>
              </c:extLst>
            </c:dLbl>
            <c:dLbl>
              <c:idx val="7"/>
              <c:layout>
                <c:manualLayout>
                  <c:x val="3.2068412613574845E-3"/>
                  <c:y val="-1.7369376383030037E-2"/>
                </c:manualLayout>
              </c:layout>
              <c:showLegendKey val="0"/>
              <c:showVal val="1"/>
              <c:showCatName val="0"/>
              <c:showSerName val="0"/>
              <c:showPercent val="0"/>
              <c:showBubbleSize val="0"/>
              <c:extLst>
                <c:ext xmlns:c15="http://schemas.microsoft.com/office/drawing/2012/chart" uri="{CE6537A1-D6FC-4f65-9D91-7224C49458BB}">
                  <c15:layout>
                    <c:manualLayout>
                      <c:w val="5.7188669160876539E-2"/>
                      <c:h val="6.6335515153566574E-2"/>
                    </c:manualLayout>
                  </c15:layout>
                </c:ext>
                <c:ext xmlns:c16="http://schemas.microsoft.com/office/drawing/2014/chart" uri="{C3380CC4-5D6E-409C-BE32-E72D297353CC}">
                  <c16:uniqueId val="{0000000E-A5E4-43CE-B43F-39E991A21500}"/>
                </c:ext>
              </c:extLst>
            </c:dLbl>
            <c:spPr>
              <a:noFill/>
              <a:ln>
                <a:solidFill>
                  <a:sysClr val="window" lastClr="FFFFFF"/>
                </a:solidFill>
              </a:ln>
              <a:effectLst/>
            </c:spPr>
            <c:txPr>
              <a:bodyPr/>
              <a:lstStyle/>
              <a:p>
                <a:pPr>
                  <a:defRPr sz="900" b="1" i="0" baseline="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Лист1!$C$2:$C$9</c:f>
              <c:numCache>
                <c:formatCode>0.00</c:formatCode>
                <c:ptCount val="8"/>
                <c:pt idx="0">
                  <c:v>2.52</c:v>
                </c:pt>
                <c:pt idx="1">
                  <c:v>3.18</c:v>
                </c:pt>
                <c:pt idx="2">
                  <c:v>4.74</c:v>
                </c:pt>
                <c:pt idx="3">
                  <c:v>6.56</c:v>
                </c:pt>
                <c:pt idx="4">
                  <c:v>0.84</c:v>
                </c:pt>
                <c:pt idx="5" formatCode="General">
                  <c:v>4.68</c:v>
                </c:pt>
                <c:pt idx="6">
                  <c:v>1.34</c:v>
                </c:pt>
                <c:pt idx="7" formatCode="General">
                  <c:v>1.1000000000000001</c:v>
                </c:pt>
              </c:numCache>
            </c:numRef>
          </c:val>
          <c:extLst>
            <c:ext xmlns:c16="http://schemas.microsoft.com/office/drawing/2014/chart" uri="{C3380CC4-5D6E-409C-BE32-E72D297353CC}">
              <c16:uniqueId val="{0000000F-A5E4-43CE-B43F-39E991A21500}"/>
            </c:ext>
          </c:extLst>
        </c:ser>
        <c:dLbls>
          <c:showLegendKey val="0"/>
          <c:showVal val="0"/>
          <c:showCatName val="0"/>
          <c:showSerName val="0"/>
          <c:showPercent val="0"/>
          <c:showBubbleSize val="0"/>
        </c:dLbls>
        <c:gapWidth val="85"/>
        <c:overlap val="-1"/>
        <c:axId val="136138752"/>
        <c:axId val="136140288"/>
      </c:barChart>
      <c:catAx>
        <c:axId val="136138752"/>
        <c:scaling>
          <c:orientation val="minMax"/>
        </c:scaling>
        <c:delete val="0"/>
        <c:axPos val="l"/>
        <c:numFmt formatCode="General" sourceLinked="1"/>
        <c:majorTickMark val="out"/>
        <c:minorTickMark val="none"/>
        <c:tickLblPos val="nextTo"/>
        <c:txPr>
          <a:bodyPr/>
          <a:lstStyle/>
          <a:p>
            <a:pPr>
              <a:defRPr sz="1000" b="0">
                <a:solidFill>
                  <a:sysClr val="windowText" lastClr="000000"/>
                </a:solidFill>
              </a:defRPr>
            </a:pPr>
            <a:endParaRPr lang="ru-RU"/>
          </a:p>
        </c:txPr>
        <c:crossAx val="136140288"/>
        <c:crosses val="autoZero"/>
        <c:auto val="1"/>
        <c:lblAlgn val="ctr"/>
        <c:lblOffset val="100"/>
        <c:noMultiLvlLbl val="0"/>
      </c:catAx>
      <c:valAx>
        <c:axId val="136140288"/>
        <c:scaling>
          <c:orientation val="minMax"/>
        </c:scaling>
        <c:delete val="1"/>
        <c:axPos val="b"/>
        <c:numFmt formatCode="0.00" sourceLinked="1"/>
        <c:majorTickMark val="out"/>
        <c:minorTickMark val="none"/>
        <c:tickLblPos val="nextTo"/>
        <c:crossAx val="136138752"/>
        <c:crosses val="autoZero"/>
        <c:crossBetween val="between"/>
      </c:valAx>
    </c:plotArea>
    <c:legend>
      <c:legendPos val="b"/>
      <c:layout>
        <c:manualLayout>
          <c:xMode val="edge"/>
          <c:yMode val="edge"/>
          <c:x val="0.59682733137780541"/>
          <c:y val="0.81561052181749727"/>
          <c:w val="0.34509450081433568"/>
          <c:h val="0.16135180239033994"/>
        </c:manualLayout>
      </c:layout>
      <c:overlay val="0"/>
      <c:txPr>
        <a:bodyPr/>
        <a:lstStyle/>
        <a:p>
          <a:pPr>
            <a:defRPr sz="900">
              <a:solidFill>
                <a:sysClr val="windowText" lastClr="000000"/>
              </a:solidFill>
            </a:defRPr>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3.7453067633408096E-2"/>
          <c:y val="0.15060685596118667"/>
          <c:w val="0.96182757214004189"/>
          <c:h val="0.45638957996699925"/>
        </c:manualLayout>
      </c:layout>
      <c:lineChart>
        <c:grouping val="standard"/>
        <c:varyColors val="0"/>
        <c:ser>
          <c:idx val="0"/>
          <c:order val="0"/>
          <c:tx>
            <c:strRef>
              <c:f>Лист1!$B$1</c:f>
              <c:strCache>
                <c:ptCount val="1"/>
                <c:pt idx="0">
                  <c:v>Число граждан, состоявших на учете в службе занятости, чел.</c:v>
                </c:pt>
              </c:strCache>
            </c:strRef>
          </c:tx>
          <c:spPr>
            <a:ln w="19050" cap="rnd" cmpd="sng" algn="ctr">
              <a:solidFill>
                <a:schemeClr val="dk1">
                  <a:tint val="88500"/>
                </a:schemeClr>
              </a:solidFill>
              <a:prstDash val="solid"/>
              <a:round/>
            </a:ln>
            <a:effectLst/>
          </c:spPr>
          <c:marker>
            <c:symbol val="diamond"/>
            <c:size val="8"/>
            <c:spPr>
              <a:solidFill>
                <a:srgbClr val="595959"/>
              </a:solidFill>
              <a:ln w="6350" cap="flat" cmpd="sng" algn="ctr">
                <a:solidFill>
                  <a:schemeClr val="dk1">
                    <a:tint val="88500"/>
                  </a:schemeClr>
                </a:solidFill>
                <a:prstDash val="solid"/>
                <a:round/>
              </a:ln>
              <a:effectLst/>
            </c:spPr>
          </c:marker>
          <c:dLbls>
            <c:dLbl>
              <c:idx val="7"/>
              <c:layout>
                <c:manualLayout>
                  <c:x val="-4.49438202247191E-2"/>
                  <c:y val="3.4310532030401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0F-4449-9804-E52D64D0C5E5}"/>
                </c:ext>
              </c:extLst>
            </c:dLbl>
            <c:spPr>
              <a:solidFill>
                <a:schemeClr val="lt1"/>
              </a:solidFill>
              <a:ln>
                <a:solidFill>
                  <a:schemeClr val="dk1">
                    <a:lumMod val="65000"/>
                    <a:lumOff val="3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Лист1!$A$2:$A$14</c:f>
              <c:numCache>
                <c:formatCode>m/d/yyyy</c:formatCode>
                <c:ptCount val="13"/>
                <c:pt idx="0">
                  <c:v>44197</c:v>
                </c:pt>
                <c:pt idx="1">
                  <c:v>44228</c:v>
                </c:pt>
                <c:pt idx="2">
                  <c:v>44257</c:v>
                </c:pt>
                <c:pt idx="3">
                  <c:v>44289</c:v>
                </c:pt>
                <c:pt idx="4">
                  <c:v>44317</c:v>
                </c:pt>
                <c:pt idx="5">
                  <c:v>44348</c:v>
                </c:pt>
                <c:pt idx="6">
                  <c:v>44378</c:v>
                </c:pt>
                <c:pt idx="7">
                  <c:v>44409</c:v>
                </c:pt>
                <c:pt idx="8">
                  <c:v>44440</c:v>
                </c:pt>
                <c:pt idx="9">
                  <c:v>44470</c:v>
                </c:pt>
                <c:pt idx="10">
                  <c:v>44501</c:v>
                </c:pt>
                <c:pt idx="11">
                  <c:v>44531</c:v>
                </c:pt>
                <c:pt idx="12">
                  <c:v>44562</c:v>
                </c:pt>
              </c:numCache>
            </c:numRef>
          </c:cat>
          <c:val>
            <c:numRef>
              <c:f>Лист1!$B$2:$B$14</c:f>
              <c:numCache>
                <c:formatCode>General</c:formatCode>
                <c:ptCount val="13"/>
                <c:pt idx="0">
                  <c:v>3339</c:v>
                </c:pt>
                <c:pt idx="1">
                  <c:v>3398</c:v>
                </c:pt>
                <c:pt idx="2">
                  <c:v>3413</c:v>
                </c:pt>
                <c:pt idx="3">
                  <c:v>3417</c:v>
                </c:pt>
                <c:pt idx="4">
                  <c:v>3217</c:v>
                </c:pt>
                <c:pt idx="5">
                  <c:v>2956</c:v>
                </c:pt>
                <c:pt idx="6">
                  <c:v>2861</c:v>
                </c:pt>
                <c:pt idx="7">
                  <c:v>2701</c:v>
                </c:pt>
                <c:pt idx="8">
                  <c:v>2384</c:v>
                </c:pt>
                <c:pt idx="9">
                  <c:v>2169</c:v>
                </c:pt>
                <c:pt idx="10">
                  <c:v>2082</c:v>
                </c:pt>
                <c:pt idx="11">
                  <c:v>1969</c:v>
                </c:pt>
                <c:pt idx="12">
                  <c:v>2003</c:v>
                </c:pt>
              </c:numCache>
            </c:numRef>
          </c:val>
          <c:smooth val="0"/>
          <c:extLst>
            <c:ext xmlns:c16="http://schemas.microsoft.com/office/drawing/2014/chart" uri="{C3380CC4-5D6E-409C-BE32-E72D297353CC}">
              <c16:uniqueId val="{00000001-F90F-4449-9804-E52D64D0C5E5}"/>
            </c:ext>
          </c:extLst>
        </c:ser>
        <c:ser>
          <c:idx val="1"/>
          <c:order val="1"/>
          <c:tx>
            <c:strRef>
              <c:f>Лист1!$C$1</c:f>
              <c:strCache>
                <c:ptCount val="1"/>
                <c:pt idx="0">
                  <c:v>Наличие вакансий в базе данных службы занятости, ед.</c:v>
                </c:pt>
              </c:strCache>
            </c:strRef>
          </c:tx>
          <c:spPr>
            <a:ln w="19050" cap="rnd" cmpd="sng" algn="ctr">
              <a:solidFill>
                <a:schemeClr val="dk1">
                  <a:tint val="55000"/>
                </a:schemeClr>
              </a:solidFill>
              <a:prstDash val="solid"/>
              <a:round/>
            </a:ln>
            <a:effectLst/>
          </c:spPr>
          <c:marker>
            <c:spPr>
              <a:solidFill>
                <a:srgbClr val="D9D9D9"/>
              </a:solidFill>
              <a:ln w="6350" cap="flat" cmpd="sng" algn="ctr">
                <a:solidFill>
                  <a:schemeClr val="dk1">
                    <a:tint val="55000"/>
                  </a:schemeClr>
                </a:solidFill>
                <a:prstDash val="solid"/>
                <a:round/>
              </a:ln>
              <a:effectLst/>
            </c:spPr>
          </c:marker>
          <c:dLbls>
            <c:dLbl>
              <c:idx val="7"/>
              <c:layout>
                <c:manualLayout>
                  <c:x val="-3.3119658119658196E-2"/>
                  <c:y val="-7.777777777777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0F-4449-9804-E52D64D0C5E5}"/>
                </c:ext>
              </c:extLst>
            </c:dLbl>
            <c:dLbl>
              <c:idx val="8"/>
              <c:layout>
                <c:manualLayout>
                  <c:x val="-3.9529914529914612E-2"/>
                  <c:y val="-6.7676767676767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0F-4449-9804-E52D64D0C5E5}"/>
                </c:ext>
              </c:extLst>
            </c:dLbl>
            <c:dLbl>
              <c:idx val="9"/>
              <c:layout>
                <c:manualLayout>
                  <c:x val="-3.9529914529914528E-2"/>
                  <c:y val="-6.7676767676767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0F-4449-9804-E52D64D0C5E5}"/>
                </c:ext>
              </c:extLst>
            </c:dLbl>
            <c:dLbl>
              <c:idx val="10"/>
              <c:layout>
                <c:manualLayout>
                  <c:x val="-3.9529914529914688E-2"/>
                  <c:y val="-6.7676767676767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0F-4449-9804-E52D64D0C5E5}"/>
                </c:ext>
              </c:extLst>
            </c:dLbl>
            <c:dLbl>
              <c:idx val="11"/>
              <c:layout>
                <c:manualLayout>
                  <c:x val="-3.9529914529914688E-2"/>
                  <c:y val="-6.2626262626262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0F-4449-9804-E52D64D0C5E5}"/>
                </c:ext>
              </c:extLst>
            </c:dLbl>
            <c:dLbl>
              <c:idx val="12"/>
              <c:layout>
                <c:manualLayout>
                  <c:x val="-1.2491082845413554E-2"/>
                  <c:y val="-7.27272727272727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0F-4449-9804-E52D64D0C5E5}"/>
                </c:ext>
              </c:extLst>
            </c:dLbl>
            <c:spPr>
              <a:solidFill>
                <a:schemeClr val="lt1"/>
              </a:solidFill>
              <a:ln>
                <a:solidFill>
                  <a:schemeClr val="dk1">
                    <a:lumMod val="65000"/>
                    <a:lumOff val="3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Лист1!$A$2:$A$14</c:f>
              <c:numCache>
                <c:formatCode>m/d/yyyy</c:formatCode>
                <c:ptCount val="13"/>
                <c:pt idx="0">
                  <c:v>44197</c:v>
                </c:pt>
                <c:pt idx="1">
                  <c:v>44228</c:v>
                </c:pt>
                <c:pt idx="2">
                  <c:v>44257</c:v>
                </c:pt>
                <c:pt idx="3">
                  <c:v>44289</c:v>
                </c:pt>
                <c:pt idx="4">
                  <c:v>44317</c:v>
                </c:pt>
                <c:pt idx="5">
                  <c:v>44348</c:v>
                </c:pt>
                <c:pt idx="6">
                  <c:v>44378</c:v>
                </c:pt>
                <c:pt idx="7">
                  <c:v>44409</c:v>
                </c:pt>
                <c:pt idx="8">
                  <c:v>44440</c:v>
                </c:pt>
                <c:pt idx="9">
                  <c:v>44470</c:v>
                </c:pt>
                <c:pt idx="10">
                  <c:v>44501</c:v>
                </c:pt>
                <c:pt idx="11">
                  <c:v>44531</c:v>
                </c:pt>
                <c:pt idx="12">
                  <c:v>44562</c:v>
                </c:pt>
              </c:numCache>
            </c:numRef>
          </c:cat>
          <c:val>
            <c:numRef>
              <c:f>Лист1!$C$2:$C$14</c:f>
              <c:numCache>
                <c:formatCode>General</c:formatCode>
                <c:ptCount val="13"/>
                <c:pt idx="0">
                  <c:v>2143</c:v>
                </c:pt>
                <c:pt idx="1">
                  <c:v>2013</c:v>
                </c:pt>
                <c:pt idx="2">
                  <c:v>2025</c:v>
                </c:pt>
                <c:pt idx="3">
                  <c:v>2195</c:v>
                </c:pt>
                <c:pt idx="4">
                  <c:v>2217</c:v>
                </c:pt>
                <c:pt idx="5">
                  <c:v>2366</c:v>
                </c:pt>
                <c:pt idx="6">
                  <c:v>2735</c:v>
                </c:pt>
                <c:pt idx="7">
                  <c:v>2865</c:v>
                </c:pt>
                <c:pt idx="8">
                  <c:v>3240</c:v>
                </c:pt>
                <c:pt idx="9">
                  <c:v>3345</c:v>
                </c:pt>
                <c:pt idx="10">
                  <c:v>3268</c:v>
                </c:pt>
                <c:pt idx="11">
                  <c:v>3405</c:v>
                </c:pt>
                <c:pt idx="12">
                  <c:v>3180</c:v>
                </c:pt>
              </c:numCache>
            </c:numRef>
          </c:val>
          <c:smooth val="0"/>
          <c:extLst>
            <c:ext xmlns:c16="http://schemas.microsoft.com/office/drawing/2014/chart" uri="{C3380CC4-5D6E-409C-BE32-E72D297353CC}">
              <c16:uniqueId val="{00000008-F90F-4449-9804-E52D64D0C5E5}"/>
            </c:ext>
          </c:extLst>
        </c:ser>
        <c:dLbls>
          <c:showLegendKey val="0"/>
          <c:showVal val="0"/>
          <c:showCatName val="0"/>
          <c:showSerName val="0"/>
          <c:showPercent val="0"/>
          <c:showBubbleSize val="0"/>
        </c:dLbls>
        <c:marker val="1"/>
        <c:smooth val="0"/>
        <c:axId val="145171968"/>
        <c:axId val="145173504"/>
      </c:lineChart>
      <c:dateAx>
        <c:axId val="145171968"/>
        <c:scaling>
          <c:orientation val="minMax"/>
        </c:scaling>
        <c:delete val="0"/>
        <c:axPos val="b"/>
        <c:numFmt formatCode="m/d/yyyy" sourceLinked="1"/>
        <c:majorTickMark val="cross"/>
        <c:minorTickMark val="none"/>
        <c:tickLblPos val="nextTo"/>
        <c:spPr>
          <a:noFill/>
          <a:ln w="6350" cap="flat" cmpd="sng" algn="ctr">
            <a:solidFill>
              <a:schemeClr val="tx1">
                <a:tint val="75000"/>
              </a:schemeClr>
            </a:solidFill>
            <a:prstDash val="solid"/>
            <a:round/>
          </a:ln>
          <a:effectLst>
            <a:softEdge rad="0"/>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5173504"/>
        <c:crosses val="autoZero"/>
        <c:auto val="1"/>
        <c:lblOffset val="100"/>
        <c:baseTimeUnit val="months"/>
      </c:dateAx>
      <c:valAx>
        <c:axId val="145173504"/>
        <c:scaling>
          <c:orientation val="minMax"/>
          <c:max val="4000"/>
          <c:min val="1500"/>
        </c:scaling>
        <c:delete val="0"/>
        <c:axPos val="l"/>
        <c:numFmt formatCode="General" sourceLinked="1"/>
        <c:majorTickMark val="cross"/>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5171968"/>
        <c:crosses val="autoZero"/>
        <c:crossBetween val="between"/>
      </c:valAx>
      <c:spPr>
        <a:solidFill>
          <a:schemeClr val="bg1"/>
        </a:solidFill>
        <a:ln>
          <a:noFill/>
        </a:ln>
        <a:effectLst/>
      </c:spPr>
    </c:plotArea>
    <c:legend>
      <c:legendPos val="b"/>
      <c:layout>
        <c:manualLayout>
          <c:xMode val="edge"/>
          <c:yMode val="edge"/>
          <c:x val="3.9932403472894042E-2"/>
          <c:y val="0.85471120031564685"/>
          <c:w val="0.92424066783320002"/>
          <c:h val="0.129936012900348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2020 год</c:v>
                </c:pt>
              </c:strCache>
            </c:strRef>
          </c:tx>
          <c:spPr>
            <a:solidFill>
              <a:schemeClr val="bg1">
                <a:lumMod val="85000"/>
              </a:schemeClr>
            </a:solidFill>
            <a:ln w="3175">
              <a:noFill/>
            </a:ln>
            <a:effectLst/>
          </c:spPr>
          <c:invertIfNegative val="0"/>
          <c:dLbls>
            <c:dLbl>
              <c:idx val="2"/>
              <c:layout>
                <c:manualLayout>
                  <c:x val="-4.482757208153063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8C-48BB-B744-452F621428E1}"/>
                </c:ext>
              </c:extLst>
            </c:dLbl>
            <c:dLbl>
              <c:idx val="3"/>
              <c:layout>
                <c:manualLayout>
                  <c:x val="-3.3430690063960516E-2"/>
                  <c:y val="-4.37541019470575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8C-48BB-B744-452F621428E1}"/>
                </c:ext>
              </c:extLst>
            </c:dLbl>
            <c:dLbl>
              <c:idx val="4"/>
              <c:layout>
                <c:manualLayout>
                  <c:x val="-4.412807830922081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8C-48BB-B744-452F621428E1}"/>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налоговые доходы</c:v>
                </c:pt>
                <c:pt idx="1">
                  <c:v>доходы целевых бюджетных фондов</c:v>
                </c:pt>
                <c:pt idx="2">
                  <c:v>доходы от предпринимательской 
и иной приносящей доход 
деятельности</c:v>
                </c:pt>
                <c:pt idx="3">
                  <c:v>неналоговые доходы</c:v>
                </c:pt>
                <c:pt idx="4">
                  <c:v>безвозмездные перечисления</c:v>
                </c:pt>
              </c:strCache>
            </c:strRef>
          </c:cat>
          <c:val>
            <c:numRef>
              <c:f>Лист1!$B$2:$B$6</c:f>
              <c:numCache>
                <c:formatCode>0.00%</c:formatCode>
                <c:ptCount val="5"/>
                <c:pt idx="0">
                  <c:v>-0.63700000000000012</c:v>
                </c:pt>
                <c:pt idx="1">
                  <c:v>-0.23300000000000001</c:v>
                </c:pt>
                <c:pt idx="2">
                  <c:v>-7.0999999999999994E-2</c:v>
                </c:pt>
                <c:pt idx="3">
                  <c:v>-3.5999999999999997E-2</c:v>
                </c:pt>
                <c:pt idx="4">
                  <c:v>-1.4999999999999998E-2</c:v>
                </c:pt>
              </c:numCache>
            </c:numRef>
          </c:val>
          <c:extLst>
            <c:ext xmlns:c16="http://schemas.microsoft.com/office/drawing/2014/chart" uri="{C3380CC4-5D6E-409C-BE32-E72D297353CC}">
              <c16:uniqueId val="{00000003-D78C-48BB-B744-452F621428E1}"/>
            </c:ext>
          </c:extLst>
        </c:ser>
        <c:ser>
          <c:idx val="2"/>
          <c:order val="1"/>
          <c:tx>
            <c:strRef>
              <c:f>Лист1!$D$1</c:f>
              <c:strCache>
                <c:ptCount val="1"/>
                <c:pt idx="0">
                  <c:v>2021 год</c:v>
                </c:pt>
              </c:strCache>
            </c:strRef>
          </c:tx>
          <c:spPr>
            <a:solidFill>
              <a:schemeClr val="tx1">
                <a:lumMod val="65000"/>
                <a:lumOff val="35000"/>
              </a:schemeClr>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4-D78C-48BB-B744-452F621428E1}"/>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D78C-48BB-B744-452F621428E1}"/>
                </c:ext>
              </c:extLst>
            </c:dLbl>
            <c:dLbl>
              <c:idx val="2"/>
              <c:layout>
                <c:manualLayout>
                  <c:x val="4.3029927158595355E-2"/>
                  <c:y val="4.71995035542690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8C-48BB-B744-452F621428E1}"/>
                </c:ext>
              </c:extLst>
            </c:dLbl>
            <c:dLbl>
              <c:idx val="3"/>
              <c:layout>
                <c:manualLayout>
                  <c:x val="4.5847564757245877E-2"/>
                  <c:y val="4.010746345996250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8C-48BB-B744-452F621428E1}"/>
                </c:ext>
              </c:extLst>
            </c:dLbl>
            <c:dLbl>
              <c:idx val="4"/>
              <c:layout>
                <c:manualLayout>
                  <c:x val="3.468646899836719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8C-48BB-B744-452F621428E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налоговые доходы</c:v>
                </c:pt>
                <c:pt idx="1">
                  <c:v>доходы целевых бюджетных фондов</c:v>
                </c:pt>
                <c:pt idx="2">
                  <c:v>доходы от предпринимательской 
и иной приносящей доход 
деятельности</c:v>
                </c:pt>
                <c:pt idx="3">
                  <c:v>неналоговые доходы</c:v>
                </c:pt>
                <c:pt idx="4">
                  <c:v>безвозмездные перечисления</c:v>
                </c:pt>
              </c:strCache>
            </c:strRef>
          </c:cat>
          <c:val>
            <c:numRef>
              <c:f>Лист1!$D$2:$D$6</c:f>
              <c:numCache>
                <c:formatCode>0.00%</c:formatCode>
                <c:ptCount val="5"/>
                <c:pt idx="0">
                  <c:v>0.65000000000000013</c:v>
                </c:pt>
                <c:pt idx="1">
                  <c:v>0.22900000000000001</c:v>
                </c:pt>
                <c:pt idx="2">
                  <c:v>6.3E-2</c:v>
                </c:pt>
                <c:pt idx="3">
                  <c:v>3.7999999999999999E-2</c:v>
                </c:pt>
                <c:pt idx="4">
                  <c:v>1.9000000000000003E-2</c:v>
                </c:pt>
              </c:numCache>
            </c:numRef>
          </c:val>
          <c:extLst>
            <c:ext xmlns:c16="http://schemas.microsoft.com/office/drawing/2014/chart" uri="{C3380CC4-5D6E-409C-BE32-E72D297353CC}">
              <c16:uniqueId val="{00000009-D78C-48BB-B744-452F621428E1}"/>
            </c:ext>
          </c:extLst>
        </c:ser>
        <c:dLbls>
          <c:showLegendKey val="0"/>
          <c:showVal val="0"/>
          <c:showCatName val="0"/>
          <c:showSerName val="0"/>
          <c:showPercent val="0"/>
          <c:showBubbleSize val="0"/>
        </c:dLbls>
        <c:gapWidth val="150"/>
        <c:overlap val="100"/>
        <c:axId val="69853568"/>
        <c:axId val="69855488"/>
      </c:barChart>
      <c:catAx>
        <c:axId val="69853568"/>
        <c:scaling>
          <c:orientation val="maxMin"/>
        </c:scaling>
        <c:delete val="0"/>
        <c:axPos val="l"/>
        <c:numFmt formatCode="General" sourceLinked="1"/>
        <c:majorTickMark val="none"/>
        <c:minorTickMark val="none"/>
        <c:tickLblPos val="high"/>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855488"/>
        <c:crosses val="autoZero"/>
        <c:auto val="1"/>
        <c:lblAlgn val="ctr"/>
        <c:lblOffset val="100"/>
        <c:noMultiLvlLbl val="0"/>
      </c:catAx>
      <c:valAx>
        <c:axId val="69855488"/>
        <c:scaling>
          <c:orientation val="minMax"/>
          <c:max val="0.70000000000000051"/>
          <c:min val="-0.70000000000000051"/>
        </c:scaling>
        <c:delete val="0"/>
        <c:axPos val="t"/>
        <c:numFmt formatCode="#,##0.0%;#,##0.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853568"/>
        <c:crosses val="autoZero"/>
        <c:crossBetween val="between"/>
      </c:valAx>
      <c:spPr>
        <a:noFill/>
        <a:ln>
          <a:noFill/>
        </a:ln>
        <a:effectLst/>
      </c:spPr>
    </c:plotArea>
    <c:legend>
      <c:legendPos val="b"/>
      <c:layout>
        <c:manualLayout>
          <c:xMode val="edge"/>
          <c:yMode val="edge"/>
          <c:x val="0.11087869296745755"/>
          <c:y val="0.90433010575056139"/>
          <c:w val="0.48690976628649846"/>
          <c:h val="6.94174330812020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304430151305752"/>
          <c:y val="3.4054682279106255E-2"/>
          <c:w val="0.63614347075759803"/>
          <c:h val="0.79860838282888191"/>
        </c:manualLayout>
      </c:layout>
      <c:barChart>
        <c:barDir val="bar"/>
        <c:grouping val="clustered"/>
        <c:varyColors val="0"/>
        <c:ser>
          <c:idx val="0"/>
          <c:order val="0"/>
          <c:tx>
            <c:strRef>
              <c:f>Sheet1!$A$3</c:f>
              <c:strCache>
                <c:ptCount val="1"/>
                <c:pt idx="0">
                  <c:v>2021 год</c:v>
                </c:pt>
              </c:strCache>
            </c:strRef>
          </c:tx>
          <c:spPr>
            <a:solidFill>
              <a:srgbClr val="595959"/>
            </a:solidFill>
            <a:ln w="3175">
              <a:noFill/>
            </a:ln>
            <a:effectLst/>
            <a:scene3d>
              <a:camera prst="orthographicFront"/>
              <a:lightRig rig="threePt" dir="t"/>
            </a:scene3d>
            <a:sp3d/>
          </c:spPr>
          <c:invertIfNegative val="0"/>
          <c:dLbls>
            <c:delete val="1"/>
          </c:dLbls>
          <c:cat>
            <c:strRef>
              <c:f>Sheet1!$B$1:$G$1</c:f>
              <c:strCache>
                <c:ptCount val="6"/>
                <c:pt idx="0">
                  <c:v>прочие налоги, пошлины и сборы</c:v>
                </c:pt>
                <c:pt idx="1">
                  <c:v>платежи за пользование природными ресурсами</c:v>
                </c:pt>
                <c:pt idx="2">
                  <c:v>налоги на товары и услуги, лицензионные и регистрационные сборы</c:v>
                </c:pt>
                <c:pt idx="3">
                  <c:v>налоги на внешнюю торговлю и внешнеэкономические операции</c:v>
                </c:pt>
                <c:pt idx="4">
                  <c:v>подоходный налог с физических лиц</c:v>
                </c:pt>
                <c:pt idx="5">
                  <c:v>налог на доходы организаций</c:v>
                </c:pt>
              </c:strCache>
            </c:strRef>
          </c:cat>
          <c:val>
            <c:numRef>
              <c:f>Sheet1!$B$3:$G$3</c:f>
              <c:numCache>
                <c:formatCode>_-* #,##0.0\ _₽_-;\-* #,##0.0\ _₽_-;_-* "-"??\ _₽_-;_-@_-</c:formatCode>
                <c:ptCount val="6"/>
                <c:pt idx="0">
                  <c:v>90.5</c:v>
                </c:pt>
                <c:pt idx="1">
                  <c:v>139.4</c:v>
                </c:pt>
                <c:pt idx="2">
                  <c:v>49.4</c:v>
                </c:pt>
                <c:pt idx="3">
                  <c:v>399.1</c:v>
                </c:pt>
                <c:pt idx="4">
                  <c:v>539.79999999999995</c:v>
                </c:pt>
                <c:pt idx="5">
                  <c:v>892.6</c:v>
                </c:pt>
              </c:numCache>
            </c:numRef>
          </c:val>
          <c:extLst>
            <c:ext xmlns:c16="http://schemas.microsoft.com/office/drawing/2014/chart" uri="{C3380CC4-5D6E-409C-BE32-E72D297353CC}">
              <c16:uniqueId val="{00000000-7C35-4022-AFBD-8546A3B8B64B}"/>
            </c:ext>
          </c:extLst>
        </c:ser>
        <c:ser>
          <c:idx val="1"/>
          <c:order val="1"/>
          <c:tx>
            <c:strRef>
              <c:f>Sheet1!$A$2</c:f>
              <c:strCache>
                <c:ptCount val="1"/>
                <c:pt idx="0">
                  <c:v>2020 год</c:v>
                </c:pt>
              </c:strCache>
            </c:strRef>
          </c:tx>
          <c:spPr>
            <a:solidFill>
              <a:srgbClr val="D9D9D9"/>
            </a:solidFill>
            <a:ln w="9525">
              <a:solidFill>
                <a:sysClr val="window" lastClr="FFFFFF"/>
              </a:solidFill>
            </a:ln>
            <a:effectLst/>
            <a:scene3d>
              <a:camera prst="orthographicFront"/>
              <a:lightRig rig="threePt" dir="t"/>
            </a:scene3d>
            <a:sp3d/>
          </c:spPr>
          <c:invertIfNegative val="0"/>
          <c:dPt>
            <c:idx val="0"/>
            <c:invertIfNegative val="0"/>
            <c:bubble3D val="0"/>
            <c:spPr>
              <a:solidFill>
                <a:srgbClr val="D9D9D9"/>
              </a:solidFill>
              <a:ln w="3175">
                <a:solidFill>
                  <a:sysClr val="window" lastClr="FFFFFF"/>
                </a:solidFill>
              </a:ln>
              <a:effectLst/>
              <a:scene3d>
                <a:camera prst="orthographicFront"/>
                <a:lightRig rig="threePt" dir="t"/>
              </a:scene3d>
              <a:sp3d/>
            </c:spPr>
            <c:extLst>
              <c:ext xmlns:c16="http://schemas.microsoft.com/office/drawing/2014/chart" uri="{C3380CC4-5D6E-409C-BE32-E72D297353CC}">
                <c16:uniqueId val="{00000002-7C35-4022-AFBD-8546A3B8B64B}"/>
              </c:ext>
            </c:extLst>
          </c:dPt>
          <c:dPt>
            <c:idx val="1"/>
            <c:invertIfNegative val="0"/>
            <c:bubble3D val="0"/>
            <c:spPr>
              <a:solidFill>
                <a:srgbClr val="D9D9D9"/>
              </a:solidFill>
              <a:ln w="3175">
                <a:solidFill>
                  <a:sysClr val="window" lastClr="FFFFFF"/>
                </a:solidFill>
              </a:ln>
              <a:effectLst/>
              <a:scene3d>
                <a:camera prst="orthographicFront"/>
                <a:lightRig rig="threePt" dir="t"/>
              </a:scene3d>
              <a:sp3d/>
            </c:spPr>
            <c:extLst>
              <c:ext xmlns:c16="http://schemas.microsoft.com/office/drawing/2014/chart" uri="{C3380CC4-5D6E-409C-BE32-E72D297353CC}">
                <c16:uniqueId val="{00000004-7C35-4022-AFBD-8546A3B8B64B}"/>
              </c:ext>
            </c:extLst>
          </c:dPt>
          <c:dPt>
            <c:idx val="2"/>
            <c:invertIfNegative val="0"/>
            <c:bubble3D val="0"/>
            <c:spPr>
              <a:solidFill>
                <a:srgbClr val="D9D9D9"/>
              </a:solidFill>
              <a:ln w="3175">
                <a:solidFill>
                  <a:sysClr val="window" lastClr="FFFFFF"/>
                </a:solidFill>
              </a:ln>
              <a:effectLst/>
              <a:scene3d>
                <a:camera prst="orthographicFront"/>
                <a:lightRig rig="threePt" dir="t"/>
              </a:scene3d>
              <a:sp3d/>
            </c:spPr>
            <c:extLst>
              <c:ext xmlns:c16="http://schemas.microsoft.com/office/drawing/2014/chart" uri="{C3380CC4-5D6E-409C-BE32-E72D297353CC}">
                <c16:uniqueId val="{00000006-7C35-4022-AFBD-8546A3B8B64B}"/>
              </c:ext>
            </c:extLst>
          </c:dPt>
          <c:dPt>
            <c:idx val="3"/>
            <c:invertIfNegative val="0"/>
            <c:bubble3D val="0"/>
            <c:spPr>
              <a:solidFill>
                <a:srgbClr val="D9D9D9"/>
              </a:solidFill>
              <a:ln w="3175">
                <a:solidFill>
                  <a:sysClr val="window" lastClr="FFFFFF"/>
                </a:solidFill>
              </a:ln>
              <a:effectLst/>
              <a:scene3d>
                <a:camera prst="orthographicFront"/>
                <a:lightRig rig="threePt" dir="t"/>
              </a:scene3d>
              <a:sp3d/>
            </c:spPr>
            <c:extLst>
              <c:ext xmlns:c16="http://schemas.microsoft.com/office/drawing/2014/chart" uri="{C3380CC4-5D6E-409C-BE32-E72D297353CC}">
                <c16:uniqueId val="{00000008-7C35-4022-AFBD-8546A3B8B64B}"/>
              </c:ext>
            </c:extLst>
          </c:dPt>
          <c:dPt>
            <c:idx val="4"/>
            <c:invertIfNegative val="0"/>
            <c:bubble3D val="0"/>
            <c:spPr>
              <a:solidFill>
                <a:srgbClr val="D9D9D9"/>
              </a:solidFill>
              <a:ln w="3175">
                <a:solidFill>
                  <a:sysClr val="window" lastClr="FFFFFF"/>
                </a:solidFill>
              </a:ln>
              <a:effectLst/>
              <a:scene3d>
                <a:camera prst="orthographicFront"/>
                <a:lightRig rig="threePt" dir="t"/>
              </a:scene3d>
              <a:sp3d/>
            </c:spPr>
            <c:extLst>
              <c:ext xmlns:c16="http://schemas.microsoft.com/office/drawing/2014/chart" uri="{C3380CC4-5D6E-409C-BE32-E72D297353CC}">
                <c16:uniqueId val="{0000000A-7C35-4022-AFBD-8546A3B8B64B}"/>
              </c:ext>
            </c:extLst>
          </c:dPt>
          <c:dPt>
            <c:idx val="5"/>
            <c:invertIfNegative val="0"/>
            <c:bubble3D val="0"/>
            <c:spPr>
              <a:solidFill>
                <a:srgbClr val="D9D9D9"/>
              </a:solidFill>
              <a:ln w="3175">
                <a:solidFill>
                  <a:sysClr val="window" lastClr="FFFFFF"/>
                </a:solidFill>
              </a:ln>
              <a:effectLst/>
              <a:scene3d>
                <a:camera prst="orthographicFront"/>
                <a:lightRig rig="threePt" dir="t"/>
              </a:scene3d>
              <a:sp3d/>
            </c:spPr>
            <c:extLst>
              <c:ext xmlns:c16="http://schemas.microsoft.com/office/drawing/2014/chart" uri="{C3380CC4-5D6E-409C-BE32-E72D297353CC}">
                <c16:uniqueId val="{0000000C-7C35-4022-AFBD-8546A3B8B64B}"/>
              </c:ext>
            </c:extLst>
          </c:dPt>
          <c:dLbls>
            <c:dLbl>
              <c:idx val="0"/>
              <c:layout>
                <c:manualLayout>
                  <c:x val="2.0883366398663475E-3"/>
                  <c:y val="2.1034917963819951E-2"/>
                </c:manualLayout>
              </c:layout>
              <c:tx>
                <c:rich>
                  <a:bodyPr/>
                  <a:lstStyle/>
                  <a:p>
                    <a:r>
                      <a:rPr lang="en-US"/>
                      <a:t>+9,2%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35-4022-AFBD-8546A3B8B64B}"/>
                </c:ext>
              </c:extLst>
            </c:dLbl>
            <c:dLbl>
              <c:idx val="1"/>
              <c:layout>
                <c:manualLayout>
                  <c:x val="2.9236712958128852E-2"/>
                  <c:y val="2.1034917963819951E-2"/>
                </c:manualLayout>
              </c:layout>
              <c:tx>
                <c:rich>
                  <a:bodyPr/>
                  <a:lstStyle/>
                  <a:p>
                    <a:r>
                      <a:rPr lang="en-US"/>
                      <a:t>+46,2%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35-4022-AFBD-8546A3B8B64B}"/>
                </c:ext>
              </c:extLst>
            </c:dLbl>
            <c:dLbl>
              <c:idx val="2"/>
              <c:layout>
                <c:manualLayout>
                  <c:x val="0"/>
                  <c:y val="2.1034917963819951E-2"/>
                </c:manualLayout>
              </c:layout>
              <c:tx>
                <c:rich>
                  <a:bodyPr/>
                  <a:lstStyle/>
                  <a:p>
                    <a:r>
                      <a:rPr lang="en-US"/>
                      <a:t>+18,0%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35-4022-AFBD-8546A3B8B64B}"/>
                </c:ext>
              </c:extLst>
            </c:dLbl>
            <c:dLbl>
              <c:idx val="3"/>
              <c:layout>
                <c:manualLayout>
                  <c:x val="2.9236712958128779E-2"/>
                  <c:y val="2.5241901556583939E-2"/>
                </c:manualLayout>
              </c:layout>
              <c:tx>
                <c:rich>
                  <a:bodyPr/>
                  <a:lstStyle/>
                  <a:p>
                    <a:r>
                      <a:rPr lang="en-US"/>
                      <a:t>+15,6%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35-4022-AFBD-8546A3B8B64B}"/>
                </c:ext>
              </c:extLst>
            </c:dLbl>
            <c:dLbl>
              <c:idx val="4"/>
              <c:layout>
                <c:manualLayout>
                  <c:x val="4.3855069437193285E-2"/>
                  <c:y val="1.6827934371055956E-2"/>
                </c:manualLayout>
              </c:layout>
              <c:tx>
                <c:rich>
                  <a:bodyPr/>
                  <a:lstStyle/>
                  <a:p>
                    <a:r>
                      <a:rPr lang="en-US"/>
                      <a:t>+15,3%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35-4022-AFBD-8546A3B8B64B}"/>
                </c:ext>
              </c:extLst>
            </c:dLbl>
            <c:dLbl>
              <c:idx val="5"/>
              <c:layout>
                <c:manualLayout>
                  <c:x val="2.2971703038529818E-2"/>
                  <c:y val="-8.4139671855279763E-3"/>
                </c:manualLayout>
              </c:layout>
              <c:tx>
                <c:rich>
                  <a:bodyPr/>
                  <a:lstStyle/>
                  <a:p>
                    <a:r>
                      <a:rPr lang="en-US"/>
                      <a:t>+8,6%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C35-4022-AFBD-8546A3B8B64B}"/>
                </c:ext>
              </c:extLst>
            </c:dLbl>
            <c:spPr>
              <a:noFill/>
              <a:ln w="24386">
                <a:noFill/>
              </a:ln>
            </c:spPr>
            <c:txPr>
              <a:bodyPr rot="0" vert="horz"/>
              <a:lstStyle/>
              <a:p>
                <a:pPr>
                  <a:defRPr sz="800" b="0">
                    <a:solidFill>
                      <a:sysClr val="windowText" lastClr="000000"/>
                    </a:solidFill>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прочие налоги, пошлины и сборы</c:v>
                </c:pt>
                <c:pt idx="1">
                  <c:v>платежи за пользование природными ресурсами</c:v>
                </c:pt>
                <c:pt idx="2">
                  <c:v>налоги на товары и услуги, лицензионные и регистрационные сборы</c:v>
                </c:pt>
                <c:pt idx="3">
                  <c:v>налоги на внешнюю торговлю и внешнеэкономические операции</c:v>
                </c:pt>
                <c:pt idx="4">
                  <c:v>подоходный налог с физических лиц</c:v>
                </c:pt>
                <c:pt idx="5">
                  <c:v>налог на доходы организаций</c:v>
                </c:pt>
              </c:strCache>
            </c:strRef>
          </c:cat>
          <c:val>
            <c:numRef>
              <c:f>Sheet1!$B$2:$G$2</c:f>
              <c:numCache>
                <c:formatCode>_-* #,##0.0\ _₽_-;\-* #,##0.0\ _₽_-;_-* "-"??\ _₽_-;_-@_-</c:formatCode>
                <c:ptCount val="6"/>
                <c:pt idx="0">
                  <c:v>82.9</c:v>
                </c:pt>
                <c:pt idx="1">
                  <c:v>95.3</c:v>
                </c:pt>
                <c:pt idx="2">
                  <c:v>41.9</c:v>
                </c:pt>
                <c:pt idx="3">
                  <c:v>345.2</c:v>
                </c:pt>
                <c:pt idx="4">
                  <c:v>468.1</c:v>
                </c:pt>
                <c:pt idx="5">
                  <c:v>822.2</c:v>
                </c:pt>
              </c:numCache>
            </c:numRef>
          </c:val>
          <c:extLst>
            <c:ext xmlns:c16="http://schemas.microsoft.com/office/drawing/2014/chart" uri="{C3380CC4-5D6E-409C-BE32-E72D297353CC}">
              <c16:uniqueId val="{0000000D-7C35-4022-AFBD-8546A3B8B64B}"/>
            </c:ext>
          </c:extLst>
        </c:ser>
        <c:dLbls>
          <c:showLegendKey val="0"/>
          <c:showVal val="1"/>
          <c:showCatName val="0"/>
          <c:showSerName val="0"/>
          <c:showPercent val="0"/>
          <c:showBubbleSize val="0"/>
        </c:dLbls>
        <c:gapWidth val="148"/>
        <c:overlap val="-10"/>
        <c:axId val="79606144"/>
        <c:axId val="79608448"/>
      </c:barChart>
      <c:catAx>
        <c:axId val="79606144"/>
        <c:scaling>
          <c:orientation val="minMax"/>
        </c:scaling>
        <c:delete val="0"/>
        <c:axPos val="l"/>
        <c:numFmt formatCode="General" sourceLinked="1"/>
        <c:majorTickMark val="none"/>
        <c:minorTickMark val="none"/>
        <c:tickLblPos val="low"/>
        <c:spPr>
          <a:ln>
            <a:solidFill>
              <a:srgbClr val="D9D9D9"/>
            </a:solidFill>
          </a:ln>
        </c:spPr>
        <c:txPr>
          <a:bodyPr rot="0" vert="horz" anchor="ctr" anchorCtr="1"/>
          <a:lstStyle/>
          <a:p>
            <a:pPr>
              <a:defRPr sz="900" b="0" i="0">
                <a:latin typeface="Times New Roman" pitchFamily="18" charset="0"/>
                <a:cs typeface="Times New Roman" pitchFamily="18" charset="0"/>
              </a:defRPr>
            </a:pPr>
            <a:endParaRPr lang="ru-RU"/>
          </a:p>
        </c:txPr>
        <c:crossAx val="79608448"/>
        <c:crosses val="autoZero"/>
        <c:auto val="0"/>
        <c:lblAlgn val="ctr"/>
        <c:lblOffset val="160"/>
        <c:noMultiLvlLbl val="0"/>
      </c:catAx>
      <c:valAx>
        <c:axId val="79608448"/>
        <c:scaling>
          <c:orientation val="minMax"/>
          <c:max val="900"/>
        </c:scaling>
        <c:delete val="0"/>
        <c:axPos val="b"/>
        <c:minorGridlines>
          <c:spPr>
            <a:ln>
              <a:noFill/>
            </a:ln>
          </c:spPr>
        </c:minorGridlines>
        <c:numFmt formatCode="#,##0.0" sourceLinked="0"/>
        <c:majorTickMark val="none"/>
        <c:minorTickMark val="none"/>
        <c:tickLblPos val="nextTo"/>
        <c:spPr>
          <a:ln>
            <a:solidFill>
              <a:srgbClr val="D9D9D9"/>
            </a:solidFill>
          </a:ln>
        </c:spPr>
        <c:txPr>
          <a:bodyPr rot="0" vert="horz"/>
          <a:lstStyle/>
          <a:p>
            <a:pPr>
              <a:defRPr sz="864" b="0">
                <a:solidFill>
                  <a:sysClr val="windowText" lastClr="000000"/>
                </a:solidFill>
                <a:latin typeface="Times New Roman" pitchFamily="18" charset="0"/>
                <a:cs typeface="Times New Roman" pitchFamily="18" charset="0"/>
              </a:defRPr>
            </a:pPr>
            <a:endParaRPr lang="ru-RU"/>
          </a:p>
        </c:txPr>
        <c:crossAx val="79606144"/>
        <c:crosses val="autoZero"/>
        <c:crossBetween val="between"/>
        <c:majorUnit val="150"/>
      </c:valAx>
      <c:spPr>
        <a:solidFill>
          <a:sysClr val="window" lastClr="FFFFFF"/>
        </a:solidFill>
        <a:ln>
          <a:noFill/>
        </a:ln>
      </c:spPr>
    </c:plotArea>
    <c:legend>
      <c:legendPos val="r"/>
      <c:legendEntry>
        <c:idx val="0"/>
        <c:txPr>
          <a:bodyPr/>
          <a:lstStyle/>
          <a:p>
            <a:pPr>
              <a:defRPr sz="900" b="0" i="0">
                <a:latin typeface="Times New Roman" pitchFamily="18" charset="0"/>
                <a:cs typeface="Times New Roman" pitchFamily="18" charset="0"/>
              </a:defRPr>
            </a:pPr>
            <a:endParaRPr lang="ru-RU"/>
          </a:p>
        </c:txPr>
      </c:legendEntry>
      <c:layout>
        <c:manualLayout>
          <c:xMode val="edge"/>
          <c:yMode val="edge"/>
          <c:x val="0.23099485828720881"/>
          <c:y val="0.90784951103087363"/>
          <c:w val="0.76039465844941934"/>
          <c:h val="5.7862374272727134E-2"/>
        </c:manualLayout>
      </c:layout>
      <c:overlay val="0"/>
      <c:txPr>
        <a:bodyPr/>
        <a:lstStyle/>
        <a:p>
          <a:pPr>
            <a:defRPr sz="900" b="0" i="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364553041238649E-2"/>
          <c:y val="0.10575347172512528"/>
          <c:w val="0.56695169116687794"/>
          <c:h val="0.80277814364113587"/>
        </c:manualLayout>
      </c:layout>
      <c:barChart>
        <c:barDir val="bar"/>
        <c:grouping val="stacked"/>
        <c:varyColors val="0"/>
        <c:ser>
          <c:idx val="0"/>
          <c:order val="0"/>
          <c:tx>
            <c:strRef>
              <c:f>Лист1!$B$1</c:f>
              <c:strCache>
                <c:ptCount val="1"/>
                <c:pt idx="0">
                  <c:v>2020 год</c:v>
                </c:pt>
              </c:strCache>
            </c:strRef>
          </c:tx>
          <c:spPr>
            <a:solidFill>
              <a:schemeClr val="bg1">
                <a:lumMod val="85000"/>
              </a:schemeClr>
            </a:solidFill>
            <a:ln w="3175">
              <a:noFill/>
            </a:ln>
            <a:effectLst/>
          </c:spPr>
          <c:invertIfNegative val="0"/>
          <c:dLbls>
            <c:dLbl>
              <c:idx val="1"/>
              <c:layout>
                <c:manualLayout>
                  <c:x val="-4.1877643434602742E-2"/>
                  <c:y val="-4.444393102436074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FF-4858-8806-3FD7D79304F6}"/>
                </c:ext>
              </c:extLst>
            </c:dLbl>
            <c:dLbl>
              <c:idx val="2"/>
              <c:layout>
                <c:manualLayout>
                  <c:x val="2.174760223384651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FF-4858-8806-3FD7D79304F6}"/>
                </c:ext>
              </c:extLst>
            </c:dLbl>
            <c:dLbl>
              <c:idx val="3"/>
              <c:layout>
                <c:manualLayout>
                  <c:x val="7.7553373706422824E-4"/>
                  <c:y val="4.7301360057256698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FF-4858-8806-3FD7D79304F6}"/>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доходы от имущества, находящегося 
в государственной или 
муниципальной собственности</c:v>
                </c:pt>
                <c:pt idx="1">
                  <c:v>     штрафные санкции и 
возмещение ущерба</c:v>
                </c:pt>
                <c:pt idx="2">
                  <c:v>доходы от продажи имущества, 
находящегося в государственной или 
муниципальной собственности</c:v>
                </c:pt>
                <c:pt idx="3">
                  <c:v>административные платежи и сборы</c:v>
                </c:pt>
              </c:strCache>
            </c:strRef>
          </c:cat>
          <c:val>
            <c:numRef>
              <c:f>Лист1!$B$2:$B$5</c:f>
              <c:numCache>
                <c:formatCode>0.00%</c:formatCode>
                <c:ptCount val="4"/>
                <c:pt idx="0">
                  <c:v>-0.3650000000000001</c:v>
                </c:pt>
                <c:pt idx="1">
                  <c:v>-0.31000000000000005</c:v>
                </c:pt>
                <c:pt idx="2">
                  <c:v>-0.16600000000000001</c:v>
                </c:pt>
                <c:pt idx="3">
                  <c:v>-6.2000000000000006E-2</c:v>
                </c:pt>
              </c:numCache>
            </c:numRef>
          </c:val>
          <c:extLst>
            <c:ext xmlns:c16="http://schemas.microsoft.com/office/drawing/2014/chart" uri="{C3380CC4-5D6E-409C-BE32-E72D297353CC}">
              <c16:uniqueId val="{00000003-6CFF-4858-8806-3FD7D79304F6}"/>
            </c:ext>
          </c:extLst>
        </c:ser>
        <c:ser>
          <c:idx val="2"/>
          <c:order val="1"/>
          <c:tx>
            <c:strRef>
              <c:f>Лист1!$D$1</c:f>
              <c:strCache>
                <c:ptCount val="1"/>
                <c:pt idx="0">
                  <c:v>2021 год</c:v>
                </c:pt>
              </c:strCache>
            </c:strRef>
          </c:tx>
          <c:spPr>
            <a:solidFill>
              <a:schemeClr val="tx1">
                <a:lumMod val="65000"/>
                <a:lumOff val="35000"/>
              </a:schemeClr>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4-6CFF-4858-8806-3FD7D79304F6}"/>
                </c:ext>
              </c:extLst>
            </c:dLbl>
            <c:dLbl>
              <c:idx val="1"/>
              <c:layout>
                <c:manualLayout>
                  <c:x val="4.2639373445502636E-2"/>
                  <c:y val="4.8496301598663369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FF-4858-8806-3FD7D79304F6}"/>
                </c:ext>
              </c:extLst>
            </c:dLbl>
            <c:dLbl>
              <c:idx val="2"/>
              <c:layout>
                <c:manualLayout>
                  <c:x val="1.7189847527744263E-2"/>
                  <c:y val="3.8177046051061813E-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FF-4858-8806-3FD7D79304F6}"/>
                </c:ext>
              </c:extLst>
            </c:dLbl>
            <c:dLbl>
              <c:idx val="3"/>
              <c:layout>
                <c:manualLayout>
                  <c:x val="5.2275721013226792E-3"/>
                  <c:y val="1.1453113815318545E-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FF-4858-8806-3FD7D79304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доходы от имущества, находящегося 
в государственной или 
муниципальной собственности</c:v>
                </c:pt>
                <c:pt idx="1">
                  <c:v>     штрафные санкции и 
возмещение ущерба</c:v>
                </c:pt>
                <c:pt idx="2">
                  <c:v>доходы от продажи имущества, 
находящегося в государственной или 
муниципальной собственности</c:v>
                </c:pt>
                <c:pt idx="3">
                  <c:v>административные платежи и сборы</c:v>
                </c:pt>
              </c:strCache>
            </c:strRef>
          </c:cat>
          <c:val>
            <c:numRef>
              <c:f>Лист1!$D$2:$D$5</c:f>
              <c:numCache>
                <c:formatCode>0.00%</c:formatCode>
                <c:ptCount val="4"/>
                <c:pt idx="0">
                  <c:v>0.35200000000000004</c:v>
                </c:pt>
                <c:pt idx="1">
                  <c:v>0.28600000000000003</c:v>
                </c:pt>
                <c:pt idx="2">
                  <c:v>0.20400000000000001</c:v>
                </c:pt>
                <c:pt idx="3">
                  <c:v>0.12300000000000001</c:v>
                </c:pt>
              </c:numCache>
            </c:numRef>
          </c:val>
          <c:extLst>
            <c:ext xmlns:c16="http://schemas.microsoft.com/office/drawing/2014/chart" uri="{C3380CC4-5D6E-409C-BE32-E72D297353CC}">
              <c16:uniqueId val="{00000008-6CFF-4858-8806-3FD7D79304F6}"/>
            </c:ext>
          </c:extLst>
        </c:ser>
        <c:dLbls>
          <c:showLegendKey val="0"/>
          <c:showVal val="0"/>
          <c:showCatName val="0"/>
          <c:showSerName val="0"/>
          <c:showPercent val="0"/>
          <c:showBubbleSize val="0"/>
        </c:dLbls>
        <c:gapWidth val="150"/>
        <c:overlap val="100"/>
        <c:axId val="83676160"/>
        <c:axId val="91801088"/>
      </c:barChart>
      <c:catAx>
        <c:axId val="83676160"/>
        <c:scaling>
          <c:orientation val="maxMin"/>
        </c:scaling>
        <c:delete val="0"/>
        <c:axPos val="l"/>
        <c:numFmt formatCode="General" sourceLinked="1"/>
        <c:majorTickMark val="none"/>
        <c:minorTickMark val="none"/>
        <c:tickLblPos val="high"/>
        <c:spPr>
          <a:noFill/>
          <a:ln w="9525" cap="flat" cmpd="sng" algn="ctr">
            <a:solidFill>
              <a:srgbClr val="D9D9D9"/>
            </a:solidFill>
            <a:round/>
          </a:ln>
          <a:effectLst/>
        </c:spPr>
        <c:txPr>
          <a:bodyPr rot="-60000000" spcFirstLastPara="1" vertOverflow="ellipsis" vert="horz" wrap="square" anchor="ctr" anchorCtr="0"/>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1801088"/>
        <c:crosses val="autoZero"/>
        <c:auto val="1"/>
        <c:lblAlgn val="ctr"/>
        <c:lblOffset val="1000"/>
        <c:noMultiLvlLbl val="0"/>
      </c:catAx>
      <c:valAx>
        <c:axId val="91801088"/>
        <c:scaling>
          <c:orientation val="minMax"/>
          <c:max val="0.4"/>
          <c:min val="-0.4"/>
        </c:scaling>
        <c:delete val="0"/>
        <c:axPos val="t"/>
        <c:numFmt formatCode="#,##0.0%;#,##0.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676160"/>
        <c:crosses val="autoZero"/>
        <c:crossBetween val="between"/>
      </c:valAx>
      <c:spPr>
        <a:noFill/>
        <a:ln>
          <a:noFill/>
        </a:ln>
        <a:effectLst/>
      </c:spPr>
    </c:plotArea>
    <c:legend>
      <c:legendPos val="b"/>
      <c:layout>
        <c:manualLayout>
          <c:xMode val="edge"/>
          <c:yMode val="edge"/>
          <c:x val="0.11087869296745755"/>
          <c:y val="0.90433010575056139"/>
          <c:w val="0.48690976628649846"/>
          <c:h val="6.94174330812020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364553041238649E-2"/>
          <c:y val="0.10575347172512528"/>
          <c:w val="0.63989664039189142"/>
          <c:h val="0.80277814364113587"/>
        </c:manualLayout>
      </c:layout>
      <c:barChart>
        <c:barDir val="bar"/>
        <c:grouping val="stacked"/>
        <c:varyColors val="0"/>
        <c:ser>
          <c:idx val="0"/>
          <c:order val="0"/>
          <c:tx>
            <c:strRef>
              <c:f>Лист1!$B$1</c:f>
              <c:strCache>
                <c:ptCount val="1"/>
                <c:pt idx="0">
                  <c:v>2020 год</c:v>
                </c:pt>
              </c:strCache>
            </c:strRef>
          </c:tx>
          <c:spPr>
            <a:solidFill>
              <a:schemeClr val="bg1">
                <a:lumMod val="85000"/>
              </a:schemeClr>
            </a:solidFill>
            <a:ln w="3175">
              <a:noFill/>
            </a:ln>
            <a:effectLst/>
          </c:spPr>
          <c:invertIfNegative val="0"/>
          <c:dLbls>
            <c:dLbl>
              <c:idx val="1"/>
              <c:layout>
                <c:manualLayout>
                  <c:x val="-4.6153431783079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06-46F7-AC66-23E39F31EB98}"/>
                </c:ext>
              </c:extLst>
            </c:dLbl>
            <c:dLbl>
              <c:idx val="2"/>
              <c:layout>
                <c:manualLayout>
                  <c:x val="-6.376816473568850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06-46F7-AC66-23E39F31EB98}"/>
                </c:ext>
              </c:extLst>
            </c:dLbl>
            <c:dLbl>
              <c:idx val="3"/>
              <c:layout>
                <c:manualLayout>
                  <c:x val="-2.2741302179557905E-2"/>
                  <c:y val="-4.375471247912193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06-46F7-AC66-23E39F31EB98}"/>
                </c:ext>
              </c:extLst>
            </c:dLbl>
            <c:dLbl>
              <c:idx val="5"/>
              <c:layout>
                <c:manualLayout>
                  <c:x val="-7.2464512219243592E-3"/>
                  <c:y val="8.888786204872149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06-46F7-AC66-23E39F31EB98}"/>
                </c:ext>
              </c:extLst>
            </c:dLbl>
            <c:dLbl>
              <c:idx val="6"/>
              <c:layout>
                <c:manualLayout>
                  <c:x val="-1.225333204274143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06-46F7-AC66-23E39F31EB98}"/>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образование</c:v>
                </c:pt>
                <c:pt idx="1">
                  <c:v>здравооохранение</c:v>
                </c:pt>
                <c:pt idx="2">
                  <c:v>целевые бюджетные фонды</c:v>
                </c:pt>
                <c:pt idx="3">
                  <c:v>правоохранительная деятельность</c:v>
                </c:pt>
                <c:pt idx="4">
                  <c:v>социальная политика</c:v>
                </c:pt>
                <c:pt idx="5">
                  <c:v>государственное управление </c:v>
                </c:pt>
                <c:pt idx="6">
                  <c:v>государственная оборона</c:v>
                </c:pt>
              </c:strCache>
            </c:strRef>
          </c:cat>
          <c:val>
            <c:numRef>
              <c:f>Лист1!$B$2:$B$8</c:f>
              <c:numCache>
                <c:formatCode>0.00%</c:formatCode>
                <c:ptCount val="7"/>
                <c:pt idx="0">
                  <c:v>-0.19900000000000001</c:v>
                </c:pt>
                <c:pt idx="1">
                  <c:v>-0.15600000000000003</c:v>
                </c:pt>
                <c:pt idx="2">
                  <c:v>-7.6999999999999999E-2</c:v>
                </c:pt>
                <c:pt idx="3">
                  <c:v>-0.10900000000000001</c:v>
                </c:pt>
                <c:pt idx="4">
                  <c:v>-9.9000000000000019E-2</c:v>
                </c:pt>
                <c:pt idx="5">
                  <c:v>-5.6000000000000001E-2</c:v>
                </c:pt>
                <c:pt idx="6">
                  <c:v>-4.1000000000000002E-2</c:v>
                </c:pt>
              </c:numCache>
            </c:numRef>
          </c:val>
          <c:extLst>
            <c:ext xmlns:c16="http://schemas.microsoft.com/office/drawing/2014/chart" uri="{C3380CC4-5D6E-409C-BE32-E72D297353CC}">
              <c16:uniqueId val="{00000005-6506-46F7-AC66-23E39F31EB98}"/>
            </c:ext>
          </c:extLst>
        </c:ser>
        <c:ser>
          <c:idx val="2"/>
          <c:order val="1"/>
          <c:tx>
            <c:strRef>
              <c:f>Лист1!$D$1</c:f>
              <c:strCache>
                <c:ptCount val="1"/>
                <c:pt idx="0">
                  <c:v>2021 год</c:v>
                </c:pt>
              </c:strCache>
            </c:strRef>
          </c:tx>
          <c:spPr>
            <a:solidFill>
              <a:schemeClr val="tx1">
                <a:lumMod val="65000"/>
                <a:lumOff val="35000"/>
              </a:schemeClr>
            </a:solidFill>
            <a:ln>
              <a:noFill/>
            </a:ln>
            <a:effectLst/>
          </c:spPr>
          <c:invertIfNegative val="0"/>
          <c:dLbls>
            <c:dLbl>
              <c:idx val="1"/>
              <c:layout>
                <c:manualLayout>
                  <c:x val="5.7604632665171268E-2"/>
                  <c:y val="3.435934144595563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06-46F7-AC66-23E39F31EB98}"/>
                </c:ext>
              </c:extLst>
            </c:dLbl>
            <c:dLbl>
              <c:idx val="2"/>
              <c:layout>
                <c:manualLayout>
                  <c:x val="3.6430895095889614E-2"/>
                  <c:y val="1.1453113815762985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06-46F7-AC66-23E39F31EB98}"/>
                </c:ext>
              </c:extLst>
            </c:dLbl>
            <c:dLbl>
              <c:idx val="3"/>
              <c:layout>
                <c:manualLayout>
                  <c:x val="2.2330725495229728E-2"/>
                  <c:y val="1.908852302553091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06-46F7-AC66-23E39F31EB98}"/>
                </c:ext>
              </c:extLst>
            </c:dLbl>
            <c:dLbl>
              <c:idx val="5"/>
              <c:layout>
                <c:manualLayout>
                  <c:x val="7.7787363698725281E-3"/>
                  <c:y val="3.817704605106181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06-46F7-AC66-23E39F31EB98}"/>
                </c:ext>
              </c:extLst>
            </c:dLbl>
            <c:dLbl>
              <c:idx val="6"/>
              <c:layout>
                <c:manualLayout>
                  <c:x val="2.5604228653673781E-3"/>
                  <c:y val="4.850393700787402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06-46F7-AC66-23E39F31EB9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образование</c:v>
                </c:pt>
                <c:pt idx="1">
                  <c:v>здравооохранение</c:v>
                </c:pt>
                <c:pt idx="2">
                  <c:v>целевые бюджетные фонды</c:v>
                </c:pt>
                <c:pt idx="3">
                  <c:v>правоохранительная деятельность</c:v>
                </c:pt>
                <c:pt idx="4">
                  <c:v>социальная политика</c:v>
                </c:pt>
                <c:pt idx="5">
                  <c:v>государственное управление </c:v>
                </c:pt>
                <c:pt idx="6">
                  <c:v>государственная оборона</c:v>
                </c:pt>
              </c:strCache>
            </c:strRef>
          </c:cat>
          <c:val>
            <c:numRef>
              <c:f>Лист1!$D$2:$D$8</c:f>
              <c:numCache>
                <c:formatCode>0.00%</c:formatCode>
                <c:ptCount val="7"/>
                <c:pt idx="0">
                  <c:v>0.19700000000000001</c:v>
                </c:pt>
                <c:pt idx="1">
                  <c:v>0.17200000000000001</c:v>
                </c:pt>
                <c:pt idx="2">
                  <c:v>0.13200000000000001</c:v>
                </c:pt>
                <c:pt idx="3">
                  <c:v>0.113</c:v>
                </c:pt>
                <c:pt idx="4">
                  <c:v>9.2000000000000026E-2</c:v>
                </c:pt>
                <c:pt idx="5">
                  <c:v>5.1999999999999998E-2</c:v>
                </c:pt>
                <c:pt idx="6">
                  <c:v>3.9000000000000007E-2</c:v>
                </c:pt>
              </c:numCache>
            </c:numRef>
          </c:val>
          <c:extLst>
            <c:ext xmlns:c16="http://schemas.microsoft.com/office/drawing/2014/chart" uri="{C3380CC4-5D6E-409C-BE32-E72D297353CC}">
              <c16:uniqueId val="{0000000B-6506-46F7-AC66-23E39F31EB98}"/>
            </c:ext>
          </c:extLst>
        </c:ser>
        <c:dLbls>
          <c:showLegendKey val="0"/>
          <c:showVal val="0"/>
          <c:showCatName val="0"/>
          <c:showSerName val="0"/>
          <c:showPercent val="0"/>
          <c:showBubbleSize val="0"/>
        </c:dLbls>
        <c:gapWidth val="150"/>
        <c:overlap val="100"/>
        <c:axId val="104941824"/>
        <c:axId val="104968192"/>
      </c:barChart>
      <c:catAx>
        <c:axId val="104941824"/>
        <c:scaling>
          <c:orientation val="maxMin"/>
        </c:scaling>
        <c:delete val="0"/>
        <c:axPos val="l"/>
        <c:numFmt formatCode="General" sourceLinked="1"/>
        <c:majorTickMark val="none"/>
        <c:minorTickMark val="none"/>
        <c:tickLblPos val="high"/>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68192"/>
        <c:crosses val="autoZero"/>
        <c:auto val="1"/>
        <c:lblAlgn val="ctr"/>
        <c:lblOffset val="100"/>
        <c:noMultiLvlLbl val="0"/>
      </c:catAx>
      <c:valAx>
        <c:axId val="104968192"/>
        <c:scaling>
          <c:orientation val="minMax"/>
          <c:max val="0.3000000000000001"/>
          <c:min val="-0.3000000000000001"/>
        </c:scaling>
        <c:delete val="0"/>
        <c:axPos val="t"/>
        <c:numFmt formatCode="#,##0.0%;#,##0.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941824"/>
        <c:crosses val="autoZero"/>
        <c:crossBetween val="between"/>
      </c:valAx>
      <c:spPr>
        <a:noFill/>
        <a:ln>
          <a:noFill/>
        </a:ln>
        <a:effectLst/>
      </c:spPr>
    </c:plotArea>
    <c:legend>
      <c:legendPos val="b"/>
      <c:layout>
        <c:manualLayout>
          <c:xMode val="edge"/>
          <c:yMode val="edge"/>
          <c:x val="0.11087869296745755"/>
          <c:y val="0.90433010575056139"/>
          <c:w val="0.48690976628649846"/>
          <c:h val="6.94174330812020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2020 год</c:v>
                </c:pt>
              </c:strCache>
            </c:strRef>
          </c:tx>
          <c:spPr>
            <a:solidFill>
              <a:schemeClr val="bg1">
                <a:lumMod val="85000"/>
              </a:schemeClr>
            </a:solidFill>
            <a:ln w="3175">
              <a:noFill/>
            </a:ln>
            <a:effectLst/>
          </c:spPr>
          <c:invertIfNegative val="0"/>
          <c:dLbls>
            <c:dLbl>
              <c:idx val="1"/>
              <c:layout>
                <c:manualLayout>
                  <c:x val="-3.5149606299212599E-2"/>
                  <c:y val="1.0928961748633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E0-48B3-A45D-27F04D37F17F}"/>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от передвижных источников</c:v>
                </c:pt>
                <c:pt idx="1">
                  <c:v>от стационарных источников</c:v>
                </c:pt>
              </c:strCache>
            </c:strRef>
          </c:cat>
          <c:val>
            <c:numRef>
              <c:f>Лист1!$B$2:$B$3</c:f>
              <c:numCache>
                <c:formatCode>0.0%</c:formatCode>
                <c:ptCount val="2"/>
                <c:pt idx="0">
                  <c:v>-0.66800000000000004</c:v>
                </c:pt>
                <c:pt idx="1">
                  <c:v>-0.33200000000000002</c:v>
                </c:pt>
              </c:numCache>
            </c:numRef>
          </c:val>
          <c:extLst>
            <c:ext xmlns:c16="http://schemas.microsoft.com/office/drawing/2014/chart" uri="{C3380CC4-5D6E-409C-BE32-E72D297353CC}">
              <c16:uniqueId val="{00000001-8DE0-48B3-A45D-27F04D37F17F}"/>
            </c:ext>
          </c:extLst>
        </c:ser>
        <c:ser>
          <c:idx val="2"/>
          <c:order val="1"/>
          <c:tx>
            <c:strRef>
              <c:f>Лист1!$D$1</c:f>
              <c:strCache>
                <c:ptCount val="1"/>
                <c:pt idx="0">
                  <c:v>2021 год</c:v>
                </c:pt>
              </c:strCache>
            </c:strRef>
          </c:tx>
          <c:spPr>
            <a:solidFill>
              <a:schemeClr val="tx1">
                <a:lumMod val="65000"/>
                <a:lumOff val="35000"/>
              </a:schemeClr>
            </a:solidFill>
            <a:ln>
              <a:noFill/>
            </a:ln>
            <a:effectLst/>
          </c:spPr>
          <c:invertIfNegative val="0"/>
          <c:dLbls>
            <c:dLbl>
              <c:idx val="1"/>
              <c:layout>
                <c:manualLayout>
                  <c:x val="3.9932669573328125E-2"/>
                  <c:y val="-5.45974785938642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E0-48B3-A45D-27F04D37F17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от передвижных источников</c:v>
                </c:pt>
                <c:pt idx="1">
                  <c:v>от стационарных источников</c:v>
                </c:pt>
              </c:strCache>
            </c:strRef>
          </c:cat>
          <c:val>
            <c:numRef>
              <c:f>Лист1!$D$2:$D$3</c:f>
              <c:numCache>
                <c:formatCode>0.0%</c:formatCode>
                <c:ptCount val="2"/>
                <c:pt idx="0">
                  <c:v>0.64600000000000002</c:v>
                </c:pt>
                <c:pt idx="1">
                  <c:v>0.35399999999999998</c:v>
                </c:pt>
              </c:numCache>
            </c:numRef>
          </c:val>
          <c:extLst>
            <c:ext xmlns:c16="http://schemas.microsoft.com/office/drawing/2014/chart" uri="{C3380CC4-5D6E-409C-BE32-E72D297353CC}">
              <c16:uniqueId val="{00000003-8DE0-48B3-A45D-27F04D37F17F}"/>
            </c:ext>
          </c:extLst>
        </c:ser>
        <c:dLbls>
          <c:showLegendKey val="0"/>
          <c:showVal val="0"/>
          <c:showCatName val="0"/>
          <c:showSerName val="0"/>
          <c:showPercent val="0"/>
          <c:showBubbleSize val="0"/>
        </c:dLbls>
        <c:gapWidth val="150"/>
        <c:overlap val="100"/>
        <c:axId val="136308992"/>
        <c:axId val="136318976"/>
      </c:barChart>
      <c:catAx>
        <c:axId val="136308992"/>
        <c:scaling>
          <c:orientation val="maxMin"/>
        </c:scaling>
        <c:delete val="0"/>
        <c:axPos val="l"/>
        <c:numFmt formatCode="General" sourceLinked="1"/>
        <c:majorTickMark val="none"/>
        <c:minorTickMark val="none"/>
        <c:tickLblPos val="high"/>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318976"/>
        <c:crosses val="autoZero"/>
        <c:auto val="1"/>
        <c:lblAlgn val="ctr"/>
        <c:lblOffset val="100"/>
        <c:noMultiLvlLbl val="0"/>
      </c:catAx>
      <c:valAx>
        <c:axId val="136318976"/>
        <c:scaling>
          <c:orientation val="minMax"/>
          <c:max val="0.70000000000000007"/>
          <c:min val="-0.70000000000000007"/>
        </c:scaling>
        <c:delete val="0"/>
        <c:axPos val="t"/>
        <c:numFmt formatCode="#,##0.0%;#,##0.0%"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308992"/>
        <c:crosses val="autoZero"/>
        <c:crossBetween val="between"/>
      </c:valAx>
      <c:spPr>
        <a:noFill/>
        <a:ln>
          <a:noFill/>
        </a:ln>
        <a:effectLst/>
      </c:spPr>
    </c:plotArea>
    <c:legend>
      <c:legendPos val="b"/>
      <c:layout>
        <c:manualLayout>
          <c:xMode val="edge"/>
          <c:yMode val="edge"/>
          <c:x val="0.11087869296745755"/>
          <c:y val="0.90433010575056161"/>
          <c:w val="0.4869097662864984"/>
          <c:h val="6.94174330812020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550524934383236E-2"/>
          <c:y val="2.4378352023403264E-2"/>
          <c:w val="0.92498651210265359"/>
          <c:h val="0.76081419856647725"/>
        </c:manualLayout>
      </c:layout>
      <c:barChart>
        <c:barDir val="col"/>
        <c:grouping val="clustered"/>
        <c:varyColors val="0"/>
        <c:ser>
          <c:idx val="0"/>
          <c:order val="0"/>
          <c:tx>
            <c:strRef>
              <c:f>Лист1!$A$2</c:f>
              <c:strCache>
                <c:ptCount val="1"/>
                <c:pt idx="0">
                  <c:v>2021 год</c:v>
                </c:pt>
              </c:strCache>
            </c:strRef>
          </c:tx>
          <c:spPr>
            <a:solidFill>
              <a:srgbClr val="595959"/>
            </a:solidFill>
            <a:ln>
              <a:noFill/>
            </a:ln>
            <a:effectLst/>
            <a:scene3d>
              <a:camera prst="orthographicFront"/>
              <a:lightRig rig="threePt" dir="t"/>
            </a:scene3d>
            <a:sp3d/>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Лист1!$B$2:$M$2</c:f>
              <c:numCache>
                <c:formatCode>General</c:formatCode>
                <c:ptCount val="12"/>
                <c:pt idx="0" formatCode="#,##0.00">
                  <c:v>388.4</c:v>
                </c:pt>
                <c:pt idx="1">
                  <c:v>470.5</c:v>
                </c:pt>
                <c:pt idx="2">
                  <c:v>599</c:v>
                </c:pt>
                <c:pt idx="3">
                  <c:v>566.1</c:v>
                </c:pt>
                <c:pt idx="4">
                  <c:v>652.5</c:v>
                </c:pt>
                <c:pt idx="5">
                  <c:v>694.1</c:v>
                </c:pt>
                <c:pt idx="6">
                  <c:v>672.2</c:v>
                </c:pt>
                <c:pt idx="7">
                  <c:v>673.3</c:v>
                </c:pt>
                <c:pt idx="8">
                  <c:v>638.6</c:v>
                </c:pt>
                <c:pt idx="9">
                  <c:v>503.3</c:v>
                </c:pt>
                <c:pt idx="10">
                  <c:v>494.4</c:v>
                </c:pt>
                <c:pt idx="11">
                  <c:v>527.5</c:v>
                </c:pt>
              </c:numCache>
            </c:numRef>
          </c:val>
          <c:extLst>
            <c:ext xmlns:c16="http://schemas.microsoft.com/office/drawing/2014/chart" uri="{C3380CC4-5D6E-409C-BE32-E72D297353CC}">
              <c16:uniqueId val="{00000000-4813-4580-9E4B-3F9F80B65039}"/>
            </c:ext>
          </c:extLst>
        </c:ser>
        <c:dLbls>
          <c:showLegendKey val="0"/>
          <c:showVal val="0"/>
          <c:showCatName val="0"/>
          <c:showSerName val="0"/>
          <c:showPercent val="0"/>
          <c:showBubbleSize val="0"/>
        </c:dLbls>
        <c:gapWidth val="100"/>
        <c:axId val="81181312"/>
        <c:axId val="83663488"/>
      </c:barChart>
      <c:lineChart>
        <c:grouping val="standard"/>
        <c:varyColors val="0"/>
        <c:ser>
          <c:idx val="2"/>
          <c:order val="2"/>
          <c:tx>
            <c:strRef>
              <c:f>Лист1!$A$4</c:f>
              <c:strCache>
                <c:ptCount val="1"/>
                <c:pt idx="0">
                  <c:v>средний уровень 2020 года</c:v>
                </c:pt>
              </c:strCache>
            </c:strRef>
          </c:tx>
          <c:spPr>
            <a:ln w="19050">
              <a:solidFill>
                <a:sysClr val="windowText" lastClr="000000"/>
              </a:solidFill>
            </a:ln>
          </c:spPr>
          <c:marker>
            <c:symbol val="none"/>
          </c:marker>
          <c:dLbls>
            <c:dLbl>
              <c:idx val="6"/>
              <c:layout>
                <c:manualLayout>
                  <c:x val="0.26199192842830121"/>
                  <c:y val="-9.9452112212209207E-3"/>
                </c:manualLayout>
              </c:layout>
              <c:showLegendKey val="0"/>
              <c:showVal val="1"/>
              <c:showCatName val="0"/>
              <c:showSerName val="0"/>
              <c:showPercent val="0"/>
              <c:showBubbleSize val="0"/>
              <c:extLst>
                <c:ext xmlns:c15="http://schemas.microsoft.com/office/drawing/2012/chart" uri="{CE6537A1-D6FC-4f65-9D91-7224C49458BB}">
                  <c15:layout>
                    <c:manualLayout>
                      <c:w val="7.407407407407407E-2"/>
                      <c:h val="5.9483178937103844E-2"/>
                    </c:manualLayout>
                  </c15:layout>
                </c:ext>
                <c:ext xmlns:c16="http://schemas.microsoft.com/office/drawing/2014/chart" uri="{C3380CC4-5D6E-409C-BE32-E72D297353CC}">
                  <c16:uniqueId val="{00000001-4813-4580-9E4B-3F9F80B65039}"/>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General</c:formatCode>
                <c:ptCount val="12"/>
                <c:pt idx="0">
                  <c:v>292.7</c:v>
                </c:pt>
                <c:pt idx="1">
                  <c:v>292.7</c:v>
                </c:pt>
                <c:pt idx="2">
                  <c:v>292.7</c:v>
                </c:pt>
                <c:pt idx="3">
                  <c:v>292.7</c:v>
                </c:pt>
                <c:pt idx="4">
                  <c:v>292.7</c:v>
                </c:pt>
                <c:pt idx="5">
                  <c:v>292.7</c:v>
                </c:pt>
                <c:pt idx="6">
                  <c:v>292.7</c:v>
                </c:pt>
                <c:pt idx="7">
                  <c:v>292.7</c:v>
                </c:pt>
                <c:pt idx="8">
                  <c:v>292.7</c:v>
                </c:pt>
                <c:pt idx="9">
                  <c:v>292.7</c:v>
                </c:pt>
                <c:pt idx="10">
                  <c:v>292.7</c:v>
                </c:pt>
                <c:pt idx="11">
                  <c:v>292.7</c:v>
                </c:pt>
              </c:numCache>
            </c:numRef>
          </c:val>
          <c:smooth val="0"/>
          <c:extLst>
            <c:ext xmlns:c16="http://schemas.microsoft.com/office/drawing/2014/chart" uri="{C3380CC4-5D6E-409C-BE32-E72D297353CC}">
              <c16:uniqueId val="{00000002-4813-4580-9E4B-3F9F80B65039}"/>
            </c:ext>
          </c:extLst>
        </c:ser>
        <c:dLbls>
          <c:showLegendKey val="0"/>
          <c:showVal val="0"/>
          <c:showCatName val="0"/>
          <c:showSerName val="0"/>
          <c:showPercent val="0"/>
          <c:showBubbleSize val="0"/>
        </c:dLbls>
        <c:marker val="1"/>
        <c:smooth val="0"/>
        <c:axId val="81181312"/>
        <c:axId val="83663488"/>
      </c:lineChart>
      <c:lineChart>
        <c:grouping val="standard"/>
        <c:varyColors val="0"/>
        <c:ser>
          <c:idx val="1"/>
          <c:order val="1"/>
          <c:tx>
            <c:strRef>
              <c:f>Лист1!$A$3</c:f>
              <c:strCache>
                <c:ptCount val="1"/>
                <c:pt idx="0">
                  <c:v>для темпов</c:v>
                </c:pt>
              </c:strCache>
            </c:strRef>
          </c:tx>
          <c:spPr>
            <a:ln>
              <a:tailEnd type="triangle"/>
            </a:ln>
            <a:effectLst>
              <a:outerShdw blurRad="40000" dist="23000" dir="5400000" rotWithShape="0">
                <a:srgbClr val="000000">
                  <a:alpha val="35000"/>
                </a:srgbClr>
              </a:outerShdw>
            </a:effectLst>
          </c:spPr>
          <c:marker>
            <c:symbol val="none"/>
          </c:marker>
          <c:dPt>
            <c:idx val="0"/>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4-4813-4580-9E4B-3F9F80B65039}"/>
              </c:ext>
            </c:extLst>
          </c:dPt>
          <c:dPt>
            <c:idx val="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6-4813-4580-9E4B-3F9F80B65039}"/>
              </c:ext>
            </c:extLst>
          </c:dPt>
          <c:dPt>
            <c:idx val="2"/>
            <c:bubble3D val="0"/>
            <c:spPr>
              <a:ln>
                <a:solidFill>
                  <a:sysClr val="window" lastClr="FFFFFF">
                    <a:lumMod val="65000"/>
                  </a:sys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8-4813-4580-9E4B-3F9F80B65039}"/>
              </c:ext>
            </c:extLst>
          </c:dPt>
          <c:dPt>
            <c:idx val="3"/>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A-4813-4580-9E4B-3F9F80B65039}"/>
              </c:ext>
            </c:extLst>
          </c:dPt>
          <c:dPt>
            <c:idx val="4"/>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C-4813-4580-9E4B-3F9F80B65039}"/>
              </c:ext>
            </c:extLst>
          </c:dPt>
          <c:dPt>
            <c:idx val="5"/>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E-4813-4580-9E4B-3F9F80B65039}"/>
              </c:ext>
            </c:extLst>
          </c:dPt>
          <c:dPt>
            <c:idx val="6"/>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0-4813-4580-9E4B-3F9F80B65039}"/>
              </c:ext>
            </c:extLst>
          </c:dPt>
          <c:dPt>
            <c:idx val="7"/>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2-4813-4580-9E4B-3F9F80B65039}"/>
              </c:ext>
            </c:extLst>
          </c:dPt>
          <c:dPt>
            <c:idx val="8"/>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4-4813-4580-9E4B-3F9F80B65039}"/>
              </c:ext>
            </c:extLst>
          </c:dPt>
          <c:dPt>
            <c:idx val="9"/>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6-4813-4580-9E4B-3F9F80B65039}"/>
              </c:ext>
            </c:extLst>
          </c:dPt>
          <c:dPt>
            <c:idx val="10"/>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8-4813-4580-9E4B-3F9F80B65039}"/>
              </c:ext>
            </c:extLst>
          </c:dPt>
          <c:dPt>
            <c:idx val="1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A-4813-4580-9E4B-3F9F80B65039}"/>
              </c:ext>
            </c:extLst>
          </c:dPt>
          <c:dLbls>
            <c:dLbl>
              <c:idx val="0"/>
              <c:delete val="1"/>
              <c:extLst>
                <c:ext xmlns:c15="http://schemas.microsoft.com/office/drawing/2012/chart" uri="{CE6537A1-D6FC-4f65-9D91-7224C49458BB}"/>
                <c:ext xmlns:c16="http://schemas.microsoft.com/office/drawing/2014/chart" uri="{C3380CC4-5D6E-409C-BE32-E72D297353CC}">
                  <c16:uniqueId val="{00000004-4813-4580-9E4B-3F9F80B65039}"/>
                </c:ext>
              </c:extLst>
            </c:dLbl>
            <c:dLbl>
              <c:idx val="1"/>
              <c:layout>
                <c:manualLayout>
                  <c:x val="-0.10082657346244515"/>
                  <c:y val="3.6969904453642899E-2"/>
                </c:manualLayout>
              </c:layout>
              <c:tx>
                <c:rich>
                  <a:bodyPr/>
                  <a:lstStyle/>
                  <a:p>
                    <a:r>
                      <a:rPr lang="en-US"/>
                      <a:t>+21,1%</a:t>
                    </a:r>
                  </a:p>
                </c:rich>
              </c:tx>
              <c:dLblPos val="r"/>
              <c:showLegendKey val="0"/>
              <c:showVal val="1"/>
              <c:showCatName val="0"/>
              <c:showSerName val="0"/>
              <c:showPercent val="0"/>
              <c:showBubbleSize val="0"/>
              <c:extLst>
                <c:ext xmlns:c15="http://schemas.microsoft.com/office/drawing/2012/chart" uri="{CE6537A1-D6FC-4f65-9D91-7224C49458BB}">
                  <c15:layout>
                    <c:manualLayout>
                      <c:w val="7.1352526003837902E-2"/>
                      <c:h val="5.4801489734731777E-2"/>
                    </c:manualLayout>
                  </c15:layout>
                </c:ext>
                <c:ext xmlns:c16="http://schemas.microsoft.com/office/drawing/2014/chart" uri="{C3380CC4-5D6E-409C-BE32-E72D297353CC}">
                  <c16:uniqueId val="{00000006-4813-4580-9E4B-3F9F80B65039}"/>
                </c:ext>
              </c:extLst>
            </c:dLbl>
            <c:dLbl>
              <c:idx val="2"/>
              <c:layout>
                <c:manualLayout>
                  <c:x val="-0.10059542823655779"/>
                  <c:y val="5.452595105453717E-2"/>
                </c:manualLayout>
              </c:layout>
              <c:tx>
                <c:rich>
                  <a:bodyPr/>
                  <a:lstStyle/>
                  <a:p>
                    <a:r>
                      <a:rPr lang="en-US"/>
                      <a:t>+27,3%</a:t>
                    </a:r>
                  </a:p>
                </c:rich>
              </c:tx>
              <c:dLblPos val="r"/>
              <c:showLegendKey val="0"/>
              <c:showVal val="1"/>
              <c:showCatName val="0"/>
              <c:showSerName val="0"/>
              <c:showPercent val="0"/>
              <c:showBubbleSize val="0"/>
              <c:extLst>
                <c:ext xmlns:c15="http://schemas.microsoft.com/office/drawing/2012/chart" uri="{CE6537A1-D6FC-4f65-9D91-7224C49458BB}">
                  <c15:layout>
                    <c:manualLayout>
                      <c:w val="6.854769449347406E-2"/>
                      <c:h val="4.9330968016349737E-2"/>
                    </c:manualLayout>
                  </c15:layout>
                </c:ext>
                <c:ext xmlns:c16="http://schemas.microsoft.com/office/drawing/2014/chart" uri="{C3380CC4-5D6E-409C-BE32-E72D297353CC}">
                  <c16:uniqueId val="{00000008-4813-4580-9E4B-3F9F80B65039}"/>
                </c:ext>
              </c:extLst>
            </c:dLbl>
            <c:dLbl>
              <c:idx val="3"/>
              <c:layout>
                <c:manualLayout>
                  <c:x val="-9.5394116600097806E-2"/>
                  <c:y val="-1.6956832965049354E-2"/>
                </c:manualLayout>
              </c:layout>
              <c:tx>
                <c:rich>
                  <a:bodyPr/>
                  <a:lstStyle/>
                  <a:p>
                    <a:r>
                      <a:rPr lang="en-US"/>
                      <a:t>-5,5%</a:t>
                    </a:r>
                  </a:p>
                </c:rich>
              </c:tx>
              <c:dLblPos val="r"/>
              <c:showLegendKey val="0"/>
              <c:showVal val="1"/>
              <c:showCatName val="0"/>
              <c:showSerName val="0"/>
              <c:showPercent val="0"/>
              <c:showBubbleSize val="0"/>
              <c:extLst>
                <c:ext xmlns:c15="http://schemas.microsoft.com/office/drawing/2012/chart" uri="{CE6537A1-D6FC-4f65-9D91-7224C49458BB}">
                  <c15:layout>
                    <c:manualLayout>
                      <c:w val="6.1794585419197488E-2"/>
                      <c:h val="4.4461734773271921E-2"/>
                    </c:manualLayout>
                  </c15:layout>
                </c:ext>
                <c:ext xmlns:c16="http://schemas.microsoft.com/office/drawing/2014/chart" uri="{C3380CC4-5D6E-409C-BE32-E72D297353CC}">
                  <c16:uniqueId val="{0000000A-4813-4580-9E4B-3F9F80B65039}"/>
                </c:ext>
              </c:extLst>
            </c:dLbl>
            <c:dLbl>
              <c:idx val="4"/>
              <c:layout>
                <c:manualLayout>
                  <c:x val="-0.10355663640949239"/>
                  <c:y val="4.1845362215098568E-2"/>
                </c:manualLayout>
              </c:layout>
              <c:tx>
                <c:rich>
                  <a:bodyPr/>
                  <a:lstStyle/>
                  <a:p>
                    <a:r>
                      <a:rPr lang="en-US"/>
                      <a:t>+15,3%</a:t>
                    </a:r>
                  </a:p>
                </c:rich>
              </c:tx>
              <c:dLblPos val="r"/>
              <c:showLegendKey val="0"/>
              <c:showVal val="1"/>
              <c:showCatName val="0"/>
              <c:showSerName val="0"/>
              <c:showPercent val="0"/>
              <c:showBubbleSize val="0"/>
              <c:extLst>
                <c:ext xmlns:c15="http://schemas.microsoft.com/office/drawing/2012/chart" uri="{CE6537A1-D6FC-4f65-9D91-7224C49458BB}">
                  <c15:layout>
                    <c:manualLayout>
                      <c:w val="7.4470110839343184E-2"/>
                      <c:h val="4.4261305281503842E-2"/>
                    </c:manualLayout>
                  </c15:layout>
                </c:ext>
                <c:ext xmlns:c16="http://schemas.microsoft.com/office/drawing/2014/chart" uri="{C3380CC4-5D6E-409C-BE32-E72D297353CC}">
                  <c16:uniqueId val="{0000000C-4813-4580-9E4B-3F9F80B65039}"/>
                </c:ext>
              </c:extLst>
            </c:dLbl>
            <c:dLbl>
              <c:idx val="5"/>
              <c:layout>
                <c:manualLayout>
                  <c:x val="-0.10529978540955999"/>
                  <c:y val="1.79618851991327E-2"/>
                </c:manualLayout>
              </c:layout>
              <c:tx>
                <c:rich>
                  <a:bodyPr/>
                  <a:lstStyle/>
                  <a:p>
                    <a:r>
                      <a:rPr lang="en-US"/>
                      <a:t>+6,4%</a:t>
                    </a:r>
                  </a:p>
                </c:rich>
              </c:tx>
              <c:dLblPos val="r"/>
              <c:showLegendKey val="0"/>
              <c:showVal val="1"/>
              <c:showCatName val="0"/>
              <c:showSerName val="0"/>
              <c:showPercent val="0"/>
              <c:showBubbleSize val="0"/>
              <c:extLst>
                <c:ext xmlns:c15="http://schemas.microsoft.com/office/drawing/2012/chart" uri="{CE6537A1-D6FC-4f65-9D91-7224C49458BB}">
                  <c15:layout>
                    <c:manualLayout>
                      <c:w val="6.7717001765066606E-2"/>
                      <c:h val="4.4461734773271921E-2"/>
                    </c:manualLayout>
                  </c15:layout>
                </c:ext>
                <c:ext xmlns:c16="http://schemas.microsoft.com/office/drawing/2014/chart" uri="{C3380CC4-5D6E-409C-BE32-E72D297353CC}">
                  <c16:uniqueId val="{0000000E-4813-4580-9E4B-3F9F80B65039}"/>
                </c:ext>
              </c:extLst>
            </c:dLbl>
            <c:dLbl>
              <c:idx val="6"/>
              <c:layout>
                <c:manualLayout>
                  <c:x val="-8.8028091839423256E-2"/>
                  <c:y val="-1.268888819727575E-2"/>
                </c:manualLayout>
              </c:layout>
              <c:tx>
                <c:rich>
                  <a:bodyPr/>
                  <a:lstStyle/>
                  <a:p>
                    <a:r>
                      <a:rPr lang="en-US"/>
                      <a:t>-3,2%</a:t>
                    </a:r>
                  </a:p>
                </c:rich>
              </c:tx>
              <c:dLblPos val="r"/>
              <c:showLegendKey val="0"/>
              <c:showVal val="1"/>
              <c:showCatName val="0"/>
              <c:showSerName val="0"/>
              <c:showPercent val="0"/>
              <c:showBubbleSize val="0"/>
              <c:extLst>
                <c:ext xmlns:c15="http://schemas.microsoft.com/office/drawing/2012/chart" uri="{CE6537A1-D6FC-4f65-9D91-7224C49458BB}">
                  <c15:layout>
                    <c:manualLayout>
                      <c:w val="5.7846307855284745E-2"/>
                      <c:h val="4.4461734773271921E-2"/>
                    </c:manualLayout>
                  </c15:layout>
                </c:ext>
                <c:ext xmlns:c16="http://schemas.microsoft.com/office/drawing/2014/chart" uri="{C3380CC4-5D6E-409C-BE32-E72D297353CC}">
                  <c16:uniqueId val="{00000010-4813-4580-9E4B-3F9F80B65039}"/>
                </c:ext>
              </c:extLst>
            </c:dLbl>
            <c:dLbl>
              <c:idx val="7"/>
              <c:layout>
                <c:manualLayout>
                  <c:x val="-9.238938410756109E-2"/>
                  <c:y val="-2.6354610811988428E-3"/>
                </c:manualLayout>
              </c:layout>
              <c:tx>
                <c:rich>
                  <a:bodyPr/>
                  <a:lstStyle/>
                  <a:p>
                    <a:r>
                      <a:rPr lang="en-US"/>
                      <a:t>+0,2%</a:t>
                    </a:r>
                  </a:p>
                </c:rich>
              </c:tx>
              <c:dLblPos val="r"/>
              <c:showLegendKey val="0"/>
              <c:showVal val="1"/>
              <c:showCatName val="0"/>
              <c:showSerName val="0"/>
              <c:showPercent val="0"/>
              <c:showBubbleSize val="0"/>
              <c:extLst>
                <c:ext xmlns:c15="http://schemas.microsoft.com/office/drawing/2012/chart" uri="{CE6537A1-D6FC-4f65-9D91-7224C49458BB}">
                  <c15:layout>
                    <c:manualLayout>
                      <c:w val="6.2293560654636856E-2"/>
                      <c:h val="4.3672880810847262E-2"/>
                    </c:manualLayout>
                  </c15:layout>
                </c:ext>
                <c:ext xmlns:c16="http://schemas.microsoft.com/office/drawing/2014/chart" uri="{C3380CC4-5D6E-409C-BE32-E72D297353CC}">
                  <c16:uniqueId val="{00000012-4813-4580-9E4B-3F9F80B65039}"/>
                </c:ext>
              </c:extLst>
            </c:dLbl>
            <c:dLbl>
              <c:idx val="8"/>
              <c:layout>
                <c:manualLayout>
                  <c:x val="-8.575985301215501E-2"/>
                  <c:y val="-1.2373720083408545E-2"/>
                </c:manualLayout>
              </c:layout>
              <c:tx>
                <c:rich>
                  <a:bodyPr/>
                  <a:lstStyle/>
                  <a:p>
                    <a:r>
                      <a:rPr lang="en-US"/>
                      <a:t>-5,1%</a:t>
                    </a:r>
                  </a:p>
                </c:rich>
              </c:tx>
              <c:dLblPos val="r"/>
              <c:showLegendKey val="0"/>
              <c:showVal val="1"/>
              <c:showCatName val="0"/>
              <c:showSerName val="0"/>
              <c:showPercent val="0"/>
              <c:showBubbleSize val="0"/>
              <c:extLst>
                <c:ext xmlns:c15="http://schemas.microsoft.com/office/drawing/2012/chart" uri="{CE6537A1-D6FC-4f65-9D91-7224C49458BB}">
                  <c15:layout>
                    <c:manualLayout>
                      <c:w val="5.8699073631490468E-2"/>
                      <c:h val="4.0970609899059054E-2"/>
                    </c:manualLayout>
                  </c15:layout>
                </c:ext>
                <c:ext xmlns:c16="http://schemas.microsoft.com/office/drawing/2014/chart" uri="{C3380CC4-5D6E-409C-BE32-E72D297353CC}">
                  <c16:uniqueId val="{00000014-4813-4580-9E4B-3F9F80B65039}"/>
                </c:ext>
              </c:extLst>
            </c:dLbl>
            <c:dLbl>
              <c:idx val="9"/>
              <c:layout>
                <c:manualLayout>
                  <c:x val="-8.5663633177034543E-2"/>
                  <c:y val="-7.6045563474526165E-2"/>
                </c:manualLayout>
              </c:layout>
              <c:tx>
                <c:rich>
                  <a:bodyPr/>
                  <a:lstStyle/>
                  <a:p>
                    <a:r>
                      <a:rPr lang="en-US"/>
                      <a:t>-21,2%</a:t>
                    </a:r>
                  </a:p>
                </c:rich>
              </c:tx>
              <c:dLblPos val="r"/>
              <c:showLegendKey val="0"/>
              <c:showVal val="1"/>
              <c:showCatName val="0"/>
              <c:showSerName val="0"/>
              <c:showPercent val="0"/>
              <c:showBubbleSize val="0"/>
              <c:extLst>
                <c:ext xmlns:c15="http://schemas.microsoft.com/office/drawing/2012/chart" uri="{CE6537A1-D6FC-4f65-9D91-7224C49458BB}">
                  <c15:layout>
                    <c:manualLayout>
                      <c:w val="6.7068644846992584E-2"/>
                      <c:h val="5.131036486051891E-2"/>
                    </c:manualLayout>
                  </c15:layout>
                </c:ext>
                <c:ext xmlns:c16="http://schemas.microsoft.com/office/drawing/2014/chart" uri="{C3380CC4-5D6E-409C-BE32-E72D297353CC}">
                  <c16:uniqueId val="{00000016-4813-4580-9E4B-3F9F80B65039}"/>
                </c:ext>
              </c:extLst>
            </c:dLbl>
            <c:dLbl>
              <c:idx val="10"/>
              <c:layout>
                <c:manualLayout>
                  <c:x val="-8.8661603855632973E-2"/>
                  <c:y val="-2.5348313674229952E-3"/>
                </c:manualLayout>
              </c:layout>
              <c:tx>
                <c:rich>
                  <a:bodyPr/>
                  <a:lstStyle/>
                  <a:p>
                    <a:r>
                      <a:rPr lang="en-US"/>
                      <a:t>-1,8%</a:t>
                    </a:r>
                  </a:p>
                </c:rich>
              </c:tx>
              <c:dLblPos val="r"/>
              <c:showLegendKey val="0"/>
              <c:showVal val="1"/>
              <c:showCatName val="0"/>
              <c:showSerName val="0"/>
              <c:showPercent val="0"/>
              <c:showBubbleSize val="0"/>
              <c:extLst>
                <c:ext xmlns:c15="http://schemas.microsoft.com/office/drawing/2012/chart" uri="{CE6537A1-D6FC-4f65-9D91-7224C49458BB}">
                  <c15:layout>
                    <c:manualLayout>
                      <c:w val="5.9211261606809062E-2"/>
                      <c:h val="4.6240702125673022E-2"/>
                    </c:manualLayout>
                  </c15:layout>
                </c:ext>
                <c:ext xmlns:c16="http://schemas.microsoft.com/office/drawing/2014/chart" uri="{C3380CC4-5D6E-409C-BE32-E72D297353CC}">
                  <c16:uniqueId val="{00000018-4813-4580-9E4B-3F9F80B65039}"/>
                </c:ext>
              </c:extLst>
            </c:dLbl>
            <c:dLbl>
              <c:idx val="11"/>
              <c:layout>
                <c:manualLayout>
                  <c:x val="-7.9952620669233088E-2"/>
                  <c:y val="1.054018445322793E-2"/>
                </c:manualLayout>
              </c:layout>
              <c:tx>
                <c:rich>
                  <a:bodyPr/>
                  <a:lstStyle/>
                  <a:p>
                    <a:r>
                      <a:rPr lang="en-US"/>
                      <a:t>+6,7%</a:t>
                    </a:r>
                  </a:p>
                </c:rich>
              </c:tx>
              <c:dLblPos val="r"/>
              <c:showLegendKey val="0"/>
              <c:showVal val="1"/>
              <c:showCatName val="0"/>
              <c:showSerName val="0"/>
              <c:showPercent val="0"/>
              <c:showBubbleSize val="0"/>
              <c:extLst>
                <c:ext xmlns:c15="http://schemas.microsoft.com/office/drawing/2012/chart" uri="{CE6537A1-D6FC-4f65-9D91-7224C49458BB}">
                  <c15:layout>
                    <c:manualLayout>
                      <c:w val="5.9569560023534224E-2"/>
                      <c:h val="4.321475625823451E-2"/>
                    </c:manualLayout>
                  </c15:layout>
                </c:ext>
                <c:ext xmlns:c16="http://schemas.microsoft.com/office/drawing/2014/chart" uri="{C3380CC4-5D6E-409C-BE32-E72D297353CC}">
                  <c16:uniqueId val="{0000001A-4813-4580-9E4B-3F9F80B65039}"/>
                </c:ext>
              </c:extLst>
            </c:dLbl>
            <c:numFmt formatCode="\+#,##0.0%_ ;\-#,##0.0%" sourceLinked="0"/>
            <c:spPr>
              <a:solidFill>
                <a:sysClr val="window" lastClr="FFFFFF"/>
              </a:solidFill>
              <a:ln>
                <a:solidFill>
                  <a:sysClr val="windowText" lastClr="000000">
                    <a:lumMod val="65000"/>
                    <a:lumOff val="35000"/>
                  </a:sysClr>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Лист1!$B$3:$M$3</c:f>
              <c:numCache>
                <c:formatCode>#,##0.00</c:formatCode>
                <c:ptCount val="12"/>
                <c:pt idx="0">
                  <c:v>488.4</c:v>
                </c:pt>
                <c:pt idx="1">
                  <c:v>570.5</c:v>
                </c:pt>
                <c:pt idx="2">
                  <c:v>699</c:v>
                </c:pt>
                <c:pt idx="3">
                  <c:v>666.1</c:v>
                </c:pt>
                <c:pt idx="4">
                  <c:v>752.5</c:v>
                </c:pt>
                <c:pt idx="5">
                  <c:v>794.1</c:v>
                </c:pt>
                <c:pt idx="6">
                  <c:v>772.2</c:v>
                </c:pt>
                <c:pt idx="7">
                  <c:v>773.3</c:v>
                </c:pt>
                <c:pt idx="8">
                  <c:v>738.6</c:v>
                </c:pt>
                <c:pt idx="9">
                  <c:v>603.29999999999995</c:v>
                </c:pt>
                <c:pt idx="10">
                  <c:v>594.4</c:v>
                </c:pt>
                <c:pt idx="11">
                  <c:v>627.5</c:v>
                </c:pt>
              </c:numCache>
            </c:numRef>
          </c:val>
          <c:smooth val="1"/>
          <c:extLst>
            <c:ext xmlns:c16="http://schemas.microsoft.com/office/drawing/2014/chart" uri="{C3380CC4-5D6E-409C-BE32-E72D297353CC}">
              <c16:uniqueId val="{0000001B-4813-4580-9E4B-3F9F80B65039}"/>
            </c:ext>
          </c:extLst>
        </c:ser>
        <c:dLbls>
          <c:showLegendKey val="0"/>
          <c:showVal val="0"/>
          <c:showCatName val="0"/>
          <c:showSerName val="0"/>
          <c:showPercent val="0"/>
          <c:showBubbleSize val="0"/>
        </c:dLbls>
        <c:marker val="1"/>
        <c:smooth val="0"/>
        <c:axId val="91802240"/>
        <c:axId val="91799936"/>
      </c:lineChart>
      <c:catAx>
        <c:axId val="81181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663488"/>
        <c:crosses val="autoZero"/>
        <c:auto val="1"/>
        <c:lblAlgn val="ctr"/>
        <c:lblOffset val="100"/>
        <c:noMultiLvlLbl val="0"/>
      </c:catAx>
      <c:valAx>
        <c:axId val="83663488"/>
        <c:scaling>
          <c:orientation val="minMax"/>
        </c:scaling>
        <c:delete val="1"/>
        <c:axPos val="l"/>
        <c:majorGridlines>
          <c:spPr>
            <a:ln w="9525" cap="flat" cmpd="sng" algn="ctr">
              <a:noFill/>
              <a:round/>
            </a:ln>
            <a:effectLst/>
          </c:spPr>
        </c:majorGridlines>
        <c:numFmt formatCode="#,##0" sourceLinked="0"/>
        <c:majorTickMark val="none"/>
        <c:minorTickMark val="none"/>
        <c:tickLblPos val="nextTo"/>
        <c:crossAx val="81181312"/>
        <c:crosses val="autoZero"/>
        <c:crossBetween val="between"/>
      </c:valAx>
      <c:valAx>
        <c:axId val="91799936"/>
        <c:scaling>
          <c:orientation val="minMax"/>
          <c:min val="-0.30000000000000016"/>
        </c:scaling>
        <c:delete val="1"/>
        <c:axPos val="r"/>
        <c:numFmt formatCode="#,##0.00" sourceLinked="1"/>
        <c:majorTickMark val="out"/>
        <c:minorTickMark val="none"/>
        <c:tickLblPos val="nextTo"/>
        <c:crossAx val="91802240"/>
        <c:crosses val="max"/>
        <c:crossBetween val="between"/>
        <c:majorUnit val="0.1"/>
      </c:valAx>
      <c:catAx>
        <c:axId val="91802240"/>
        <c:scaling>
          <c:orientation val="minMax"/>
        </c:scaling>
        <c:delete val="1"/>
        <c:axPos val="b"/>
        <c:numFmt formatCode="General" sourceLinked="1"/>
        <c:majorTickMark val="out"/>
        <c:minorTickMark val="none"/>
        <c:tickLblPos val="nextTo"/>
        <c:crossAx val="91799936"/>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550524934383236E-2"/>
          <c:y val="2.4378352023403264E-2"/>
          <c:w val="0.92498651210265359"/>
          <c:h val="0.76081419856647725"/>
        </c:manualLayout>
      </c:layout>
      <c:barChart>
        <c:barDir val="col"/>
        <c:grouping val="clustered"/>
        <c:varyColors val="0"/>
        <c:ser>
          <c:idx val="0"/>
          <c:order val="0"/>
          <c:tx>
            <c:strRef>
              <c:f>Лист1!$A$2</c:f>
              <c:strCache>
                <c:ptCount val="1"/>
                <c:pt idx="0">
                  <c:v>2021 год</c:v>
                </c:pt>
              </c:strCache>
            </c:strRef>
          </c:tx>
          <c:spPr>
            <a:solidFill>
              <a:srgbClr val="595959"/>
            </a:solidFill>
            <a:ln>
              <a:noFill/>
            </a:ln>
            <a:effectLst/>
            <a:scene3d>
              <a:camera prst="orthographicFront"/>
              <a:lightRig rig="threePt" dir="t"/>
            </a:scene3d>
            <a:sp3d/>
          </c:spPr>
          <c:invertIfNegative val="0"/>
          <c:dLbls>
            <c:dLbl>
              <c:idx val="0"/>
              <c:layout>
                <c:manualLayout>
                  <c:x val="0"/>
                  <c:y val="7.8985860555826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98-4F5F-ADB6-C35BC63F121B}"/>
                </c:ext>
              </c:extLst>
            </c:dLbl>
            <c:dLbl>
              <c:idx val="3"/>
              <c:layout>
                <c:manualLayout>
                  <c:x val="0"/>
                  <c:y val="0.127742564602632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98-4F5F-ADB6-C35BC63F121B}"/>
                </c:ext>
              </c:extLst>
            </c:dLbl>
            <c:dLbl>
              <c:idx val="6"/>
              <c:layout>
                <c:manualLayout>
                  <c:x val="0"/>
                  <c:y val="0.156996587030716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98-4F5F-ADB6-C35BC63F121B}"/>
                </c:ext>
              </c:extLst>
            </c:dLbl>
            <c:dLbl>
              <c:idx val="7"/>
              <c:layout>
                <c:manualLayout>
                  <c:x val="0"/>
                  <c:y val="0.1569965870307167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98-4F5F-ADB6-C35BC63F121B}"/>
                </c:ext>
              </c:extLst>
            </c:dLbl>
            <c:dLbl>
              <c:idx val="8"/>
              <c:layout>
                <c:manualLayout>
                  <c:x val="0"/>
                  <c:y val="8.04232804232803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98-4F5F-ADB6-C35BC63F121B}"/>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Лист1!$B$2:$M$2</c:f>
              <c:numCache>
                <c:formatCode>General</c:formatCode>
                <c:ptCount val="12"/>
                <c:pt idx="0" formatCode="#,##0.00">
                  <c:v>375.31200000000001</c:v>
                </c:pt>
                <c:pt idx="1">
                  <c:v>348.51</c:v>
                </c:pt>
                <c:pt idx="2">
                  <c:v>351.14900000000006</c:v>
                </c:pt>
                <c:pt idx="3">
                  <c:v>362.06299999999999</c:v>
                </c:pt>
                <c:pt idx="4">
                  <c:v>321.95</c:v>
                </c:pt>
                <c:pt idx="5">
                  <c:v>336.23200000000003</c:v>
                </c:pt>
                <c:pt idx="6">
                  <c:v>367.14699999999999</c:v>
                </c:pt>
                <c:pt idx="7">
                  <c:v>367.2</c:v>
                </c:pt>
                <c:pt idx="8">
                  <c:v>375.3</c:v>
                </c:pt>
                <c:pt idx="9">
                  <c:v>413</c:v>
                </c:pt>
                <c:pt idx="10">
                  <c:v>397.3</c:v>
                </c:pt>
                <c:pt idx="11">
                  <c:v>438.2</c:v>
                </c:pt>
              </c:numCache>
            </c:numRef>
          </c:val>
          <c:extLst>
            <c:ext xmlns:c16="http://schemas.microsoft.com/office/drawing/2014/chart" uri="{C3380CC4-5D6E-409C-BE32-E72D297353CC}">
              <c16:uniqueId val="{00000005-EE98-4F5F-ADB6-C35BC63F121B}"/>
            </c:ext>
          </c:extLst>
        </c:ser>
        <c:dLbls>
          <c:showLegendKey val="0"/>
          <c:showVal val="0"/>
          <c:showCatName val="0"/>
          <c:showSerName val="0"/>
          <c:showPercent val="0"/>
          <c:showBubbleSize val="0"/>
        </c:dLbls>
        <c:gapWidth val="100"/>
        <c:axId val="104971648"/>
        <c:axId val="105228160"/>
      </c:barChart>
      <c:lineChart>
        <c:grouping val="standard"/>
        <c:varyColors val="0"/>
        <c:ser>
          <c:idx val="2"/>
          <c:order val="2"/>
          <c:tx>
            <c:strRef>
              <c:f>Лист1!$A$4</c:f>
              <c:strCache>
                <c:ptCount val="1"/>
                <c:pt idx="0">
                  <c:v>средний уровень 2020 года</c:v>
                </c:pt>
              </c:strCache>
            </c:strRef>
          </c:tx>
          <c:spPr>
            <a:ln w="19050">
              <a:solidFill>
                <a:sysClr val="windowText" lastClr="000000"/>
              </a:solidFill>
            </a:ln>
          </c:spPr>
          <c:marker>
            <c:symbol val="none"/>
          </c:marker>
          <c:dLbls>
            <c:dLbl>
              <c:idx val="6"/>
              <c:layout>
                <c:manualLayout>
                  <c:x val="0.31643170982764579"/>
                  <c:y val="3.3924877037429094E-2"/>
                </c:manualLayout>
              </c:layout>
              <c:numFmt formatCode="#,##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7.407407407407407E-2"/>
                      <c:h val="5.9483178937103844E-2"/>
                    </c:manualLayout>
                  </c15:layout>
                </c:ext>
                <c:ext xmlns:c16="http://schemas.microsoft.com/office/drawing/2014/chart" uri="{C3380CC4-5D6E-409C-BE32-E72D297353CC}">
                  <c16:uniqueId val="{00000006-EE98-4F5F-ADB6-C35BC63F121B}"/>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General</c:formatCode>
                <c:ptCount val="12"/>
                <c:pt idx="0">
                  <c:v>335.13599999999997</c:v>
                </c:pt>
                <c:pt idx="1">
                  <c:v>335.13599999999997</c:v>
                </c:pt>
                <c:pt idx="2">
                  <c:v>335.13599999999997</c:v>
                </c:pt>
                <c:pt idx="3">
                  <c:v>335.13599999999997</c:v>
                </c:pt>
                <c:pt idx="4">
                  <c:v>335.13599999999997</c:v>
                </c:pt>
                <c:pt idx="5">
                  <c:v>335.13599999999997</c:v>
                </c:pt>
                <c:pt idx="6">
                  <c:v>335.13599999999997</c:v>
                </c:pt>
                <c:pt idx="7">
                  <c:v>335.13599999999997</c:v>
                </c:pt>
                <c:pt idx="8">
                  <c:v>335.13599999999997</c:v>
                </c:pt>
                <c:pt idx="9">
                  <c:v>335.13599999999997</c:v>
                </c:pt>
                <c:pt idx="10">
                  <c:v>335.13599999999997</c:v>
                </c:pt>
                <c:pt idx="11">
                  <c:v>335.13599999999997</c:v>
                </c:pt>
              </c:numCache>
            </c:numRef>
          </c:val>
          <c:smooth val="0"/>
          <c:extLst>
            <c:ext xmlns:c16="http://schemas.microsoft.com/office/drawing/2014/chart" uri="{C3380CC4-5D6E-409C-BE32-E72D297353CC}">
              <c16:uniqueId val="{00000007-EE98-4F5F-ADB6-C35BC63F121B}"/>
            </c:ext>
          </c:extLst>
        </c:ser>
        <c:dLbls>
          <c:showLegendKey val="0"/>
          <c:showVal val="0"/>
          <c:showCatName val="0"/>
          <c:showSerName val="0"/>
          <c:showPercent val="0"/>
          <c:showBubbleSize val="0"/>
        </c:dLbls>
        <c:marker val="1"/>
        <c:smooth val="0"/>
        <c:axId val="104971648"/>
        <c:axId val="105228160"/>
      </c:lineChart>
      <c:lineChart>
        <c:grouping val="standard"/>
        <c:varyColors val="0"/>
        <c:ser>
          <c:idx val="1"/>
          <c:order val="1"/>
          <c:tx>
            <c:strRef>
              <c:f>Лист1!$A$3</c:f>
              <c:strCache>
                <c:ptCount val="1"/>
                <c:pt idx="0">
                  <c:v>для темпов</c:v>
                </c:pt>
              </c:strCache>
            </c:strRef>
          </c:tx>
          <c:spPr>
            <a:ln>
              <a:solidFill>
                <a:srgbClr val="00B050"/>
              </a:solidFill>
              <a:tailEnd type="triangle"/>
            </a:ln>
            <a:effectLst>
              <a:outerShdw blurRad="40000" dist="23000" dir="5400000" rotWithShape="0">
                <a:srgbClr val="000000">
                  <a:alpha val="35000"/>
                </a:srgbClr>
              </a:outerShdw>
            </a:effectLst>
          </c:spPr>
          <c:marker>
            <c:symbol val="none"/>
          </c:marker>
          <c:dPt>
            <c:idx val="0"/>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9-EE98-4F5F-ADB6-C35BC63F121B}"/>
              </c:ext>
            </c:extLst>
          </c:dPt>
          <c:dPt>
            <c:idx val="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B-EE98-4F5F-ADB6-C35BC63F121B}"/>
              </c:ext>
            </c:extLst>
          </c:dPt>
          <c:dPt>
            <c:idx val="2"/>
            <c:bubble3D val="0"/>
            <c:spPr>
              <a:ln>
                <a:solidFill>
                  <a:sysClr val="window" lastClr="FFFFFF">
                    <a:lumMod val="65000"/>
                  </a:sys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D-EE98-4F5F-ADB6-C35BC63F121B}"/>
              </c:ext>
            </c:extLst>
          </c:dPt>
          <c:dPt>
            <c:idx val="3"/>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F-EE98-4F5F-ADB6-C35BC63F121B}"/>
              </c:ext>
            </c:extLst>
          </c:dPt>
          <c:dPt>
            <c:idx val="4"/>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1-EE98-4F5F-ADB6-C35BC63F121B}"/>
              </c:ext>
            </c:extLst>
          </c:dPt>
          <c:dPt>
            <c:idx val="5"/>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3-EE98-4F5F-ADB6-C35BC63F121B}"/>
              </c:ext>
            </c:extLst>
          </c:dPt>
          <c:dPt>
            <c:idx val="6"/>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5-EE98-4F5F-ADB6-C35BC63F121B}"/>
              </c:ext>
            </c:extLst>
          </c:dPt>
          <c:dPt>
            <c:idx val="7"/>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7-EE98-4F5F-ADB6-C35BC63F121B}"/>
              </c:ext>
            </c:extLst>
          </c:dPt>
          <c:dPt>
            <c:idx val="8"/>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9-EE98-4F5F-ADB6-C35BC63F121B}"/>
              </c:ext>
            </c:extLst>
          </c:dPt>
          <c:dPt>
            <c:idx val="9"/>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B-EE98-4F5F-ADB6-C35BC63F121B}"/>
              </c:ext>
            </c:extLst>
          </c:dPt>
          <c:dPt>
            <c:idx val="10"/>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D-EE98-4F5F-ADB6-C35BC63F121B}"/>
              </c:ext>
            </c:extLst>
          </c:dPt>
          <c:dPt>
            <c:idx val="1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F-EE98-4F5F-ADB6-C35BC63F121B}"/>
              </c:ext>
            </c:extLst>
          </c:dPt>
          <c:dLbls>
            <c:dLbl>
              <c:idx val="0"/>
              <c:delete val="1"/>
              <c:extLst>
                <c:ext xmlns:c15="http://schemas.microsoft.com/office/drawing/2012/chart" uri="{CE6537A1-D6FC-4f65-9D91-7224C49458BB}"/>
                <c:ext xmlns:c16="http://schemas.microsoft.com/office/drawing/2014/chart" uri="{C3380CC4-5D6E-409C-BE32-E72D297353CC}">
                  <c16:uniqueId val="{00000009-EE98-4F5F-ADB6-C35BC63F121B}"/>
                </c:ext>
              </c:extLst>
            </c:dLbl>
            <c:dLbl>
              <c:idx val="1"/>
              <c:layout>
                <c:manualLayout>
                  <c:x val="-8.8661558111831851E-2"/>
                  <c:y val="-2.3638731205111008E-2"/>
                </c:manualLayout>
              </c:layout>
              <c:tx>
                <c:rich>
                  <a:bodyPr/>
                  <a:lstStyle/>
                  <a:p>
                    <a:r>
                      <a:rPr lang="en-US"/>
                      <a:t>-7,1%</a:t>
                    </a:r>
                  </a:p>
                </c:rich>
              </c:tx>
              <c:dLblPos val="r"/>
              <c:showLegendKey val="0"/>
              <c:showVal val="1"/>
              <c:showCatName val="0"/>
              <c:showSerName val="0"/>
              <c:showPercent val="0"/>
              <c:showBubbleSize val="0"/>
              <c:extLst>
                <c:ext xmlns:c15="http://schemas.microsoft.com/office/drawing/2012/chart" uri="{CE6537A1-D6FC-4f65-9D91-7224C49458BB}">
                  <c15:layout>
                    <c:manualLayout>
                      <c:w val="5.7733344075012377E-2"/>
                      <c:h val="3.9396121996378361E-2"/>
                    </c:manualLayout>
                  </c15:layout>
                </c:ext>
                <c:ext xmlns:c16="http://schemas.microsoft.com/office/drawing/2014/chart" uri="{C3380CC4-5D6E-409C-BE32-E72D297353CC}">
                  <c16:uniqueId val="{0000000B-EE98-4F5F-ADB6-C35BC63F121B}"/>
                </c:ext>
              </c:extLst>
            </c:dLbl>
            <c:dLbl>
              <c:idx val="2"/>
              <c:layout>
                <c:manualLayout>
                  <c:x val="-9.0491893291326106E-2"/>
                  <c:y val="2.8889702740646037E-3"/>
                </c:manualLayout>
              </c:layout>
              <c:tx>
                <c:rich>
                  <a:bodyPr/>
                  <a:lstStyle/>
                  <a:p>
                    <a:r>
                      <a:rPr lang="en-US"/>
                      <a:t>+0,8%</a:t>
                    </a:r>
                  </a:p>
                </c:rich>
              </c:tx>
              <c:dLblPos val="r"/>
              <c:showLegendKey val="0"/>
              <c:showVal val="1"/>
              <c:showCatName val="0"/>
              <c:showSerName val="0"/>
              <c:showPercent val="0"/>
              <c:showBubbleSize val="0"/>
              <c:extLst>
                <c:ext xmlns:c15="http://schemas.microsoft.com/office/drawing/2012/chart" uri="{CE6537A1-D6FC-4f65-9D91-7224C49458BB}">
                  <c15:layout>
                    <c:manualLayout>
                      <c:w val="6.1706722439967172E-2"/>
                      <c:h val="4.4564080652709101E-2"/>
                    </c:manualLayout>
                  </c15:layout>
                </c:ext>
                <c:ext xmlns:c16="http://schemas.microsoft.com/office/drawing/2014/chart" uri="{C3380CC4-5D6E-409C-BE32-E72D297353CC}">
                  <c16:uniqueId val="{0000000D-EE98-4F5F-ADB6-C35BC63F121B}"/>
                </c:ext>
              </c:extLst>
            </c:dLbl>
            <c:dLbl>
              <c:idx val="3"/>
              <c:layout>
                <c:manualLayout>
                  <c:x val="-9.5130577884082176E-2"/>
                  <c:y val="-5.1551404911595591E-3"/>
                </c:manualLayout>
              </c:layout>
              <c:tx>
                <c:rich>
                  <a:bodyPr/>
                  <a:lstStyle/>
                  <a:p>
                    <a:r>
                      <a:rPr lang="en-US"/>
                      <a:t>+3,1%</a:t>
                    </a:r>
                  </a:p>
                </c:rich>
              </c:tx>
              <c:dLblPos val="r"/>
              <c:showLegendKey val="0"/>
              <c:showVal val="1"/>
              <c:showCatName val="0"/>
              <c:showSerName val="0"/>
              <c:showPercent val="0"/>
              <c:showBubbleSize val="0"/>
              <c:extLst>
                <c:ext xmlns:c15="http://schemas.microsoft.com/office/drawing/2012/chart" uri="{CE6537A1-D6FC-4f65-9D91-7224C49458BB}">
                  <c15:layout>
                    <c:manualLayout>
                      <c:w val="6.3693411622444573E-2"/>
                      <c:h val="4.9732039309039855E-2"/>
                    </c:manualLayout>
                  </c15:layout>
                </c:ext>
                <c:ext xmlns:c16="http://schemas.microsoft.com/office/drawing/2014/chart" uri="{C3380CC4-5D6E-409C-BE32-E72D297353CC}">
                  <c16:uniqueId val="{0000000F-EE98-4F5F-ADB6-C35BC63F121B}"/>
                </c:ext>
              </c:extLst>
            </c:dLbl>
            <c:dLbl>
              <c:idx val="4"/>
              <c:layout>
                <c:manualLayout>
                  <c:x val="-9.006890057089946E-2"/>
                  <c:y val="-2.9787584691448446E-2"/>
                </c:manualLayout>
              </c:layout>
              <c:tx>
                <c:rich>
                  <a:bodyPr/>
                  <a:lstStyle/>
                  <a:p>
                    <a:pPr>
                      <a:defRPr sz="700"/>
                    </a:pPr>
                    <a:r>
                      <a:rPr lang="en-US" sz="700"/>
                      <a:t>-11,1%</a:t>
                    </a:r>
                  </a:p>
                </c:rich>
              </c:tx>
              <c:numFmt formatCode="\+#,##0.0%_ ;\-#,##0.0%" sourceLinked="0"/>
              <c:spPr>
                <a:solidFill>
                  <a:sysClr val="window" lastClr="FFFFFF"/>
                </a:solidFill>
                <a:ln w="6350">
                  <a:solidFill>
                    <a:sysClr val="windowText" lastClr="000000"/>
                  </a:solidFill>
                </a:ln>
                <a:effectLst/>
              </c:sp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6.3693411622444573E-2"/>
                      <c:h val="4.4564080652709101E-2"/>
                    </c:manualLayout>
                  </c15:layout>
                </c:ext>
                <c:ext xmlns:c16="http://schemas.microsoft.com/office/drawing/2014/chart" uri="{C3380CC4-5D6E-409C-BE32-E72D297353CC}">
                  <c16:uniqueId val="{00000011-EE98-4F5F-ADB6-C35BC63F121B}"/>
                </c:ext>
              </c:extLst>
            </c:dLbl>
            <c:dLbl>
              <c:idx val="5"/>
              <c:layout>
                <c:manualLayout>
                  <c:x val="-9.1328883879581685E-2"/>
                  <c:y val="1.5778550936946837E-3"/>
                </c:manualLayout>
              </c:layout>
              <c:tx>
                <c:rich>
                  <a:bodyPr/>
                  <a:lstStyle/>
                  <a:p>
                    <a:r>
                      <a:rPr lang="en-US"/>
                      <a:t>+4,4%</a:t>
                    </a:r>
                  </a:p>
                </c:rich>
              </c:tx>
              <c:dLblPos val="r"/>
              <c:showLegendKey val="0"/>
              <c:showVal val="1"/>
              <c:showCatName val="0"/>
              <c:showSerName val="0"/>
              <c:showPercent val="0"/>
              <c:showBubbleSize val="0"/>
              <c:extLst>
                <c:ext xmlns:c15="http://schemas.microsoft.com/office/drawing/2012/chart" uri="{CE6537A1-D6FC-4f65-9D91-7224C49458BB}">
                  <c15:layout>
                    <c:manualLayout>
                      <c:w val="5.9720033257489778E-2"/>
                      <c:h val="4.4564080652709101E-2"/>
                    </c:manualLayout>
                  </c15:layout>
                </c:ext>
                <c:ext xmlns:c16="http://schemas.microsoft.com/office/drawing/2014/chart" uri="{C3380CC4-5D6E-409C-BE32-E72D297353CC}">
                  <c16:uniqueId val="{00000013-EE98-4F5F-ADB6-C35BC63F121B}"/>
                </c:ext>
              </c:extLst>
            </c:dLbl>
            <c:dLbl>
              <c:idx val="6"/>
              <c:layout>
                <c:manualLayout>
                  <c:x val="-9.1328883879581602E-2"/>
                  <c:y val="1.7365968788785123E-2"/>
                </c:manualLayout>
              </c:layout>
              <c:tx>
                <c:rich>
                  <a:bodyPr/>
                  <a:lstStyle/>
                  <a:p>
                    <a:r>
                      <a:rPr lang="en-US"/>
                      <a:t>+9,2%</a:t>
                    </a:r>
                  </a:p>
                </c:rich>
              </c:tx>
              <c:dLblPos val="r"/>
              <c:showLegendKey val="0"/>
              <c:showVal val="1"/>
              <c:showCatName val="0"/>
              <c:showSerName val="0"/>
              <c:showPercent val="0"/>
              <c:showBubbleSize val="0"/>
              <c:extLst>
                <c:ext xmlns:c15="http://schemas.microsoft.com/office/drawing/2012/chart" uri="{CE6537A1-D6FC-4f65-9D91-7224C49458BB}">
                  <c15:layout>
                    <c:manualLayout>
                      <c:w val="5.9720033257489778E-2"/>
                      <c:h val="4.5432460477324056E-2"/>
                    </c:manualLayout>
                  </c15:layout>
                </c:ext>
                <c:ext xmlns:c16="http://schemas.microsoft.com/office/drawing/2014/chart" uri="{C3380CC4-5D6E-409C-BE32-E72D297353CC}">
                  <c16:uniqueId val="{00000015-EE98-4F5F-ADB6-C35BC63F121B}"/>
                </c:ext>
              </c:extLst>
            </c:dLbl>
            <c:dLbl>
              <c:idx val="7"/>
              <c:layout>
                <c:manualLayout>
                  <c:x val="-9.5140511329994529E-2"/>
                  <c:y val="-7.0257787543999105E-3"/>
                </c:manualLayout>
              </c:layout>
              <c:tx>
                <c:rich>
                  <a:bodyPr/>
                  <a:lstStyle/>
                  <a:p>
                    <a:pPr>
                      <a:defRPr sz="700"/>
                    </a:pPr>
                    <a:r>
                      <a:rPr lang="en-US" sz="700"/>
                      <a:t>+0,02%</a:t>
                    </a:r>
                  </a:p>
                </c:rich>
              </c:tx>
              <c:numFmt formatCode="\+#,##0.0%_ ;\-#,##0.0%" sourceLinked="0"/>
              <c:spPr>
                <a:solidFill>
                  <a:sysClr val="window" lastClr="FFFFFF"/>
                </a:solidFill>
                <a:ln w="6350">
                  <a:solidFill>
                    <a:sysClr val="windowText" lastClr="000000"/>
                  </a:solidFill>
                </a:ln>
                <a:effectLst/>
              </c:sp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6.4373891775497863E-2"/>
                      <c:h val="5.0307839427048355E-2"/>
                    </c:manualLayout>
                  </c15:layout>
                </c:ext>
                <c:ext xmlns:c16="http://schemas.microsoft.com/office/drawing/2014/chart" uri="{C3380CC4-5D6E-409C-BE32-E72D297353CC}">
                  <c16:uniqueId val="{00000017-EE98-4F5F-ADB6-C35BC63F121B}"/>
                </c:ext>
              </c:extLst>
            </c:dLbl>
            <c:dLbl>
              <c:idx val="8"/>
              <c:layout>
                <c:manualLayout>
                  <c:x val="-9.3884517042899213E-2"/>
                  <c:y val="2.6454251358115125E-3"/>
                </c:manualLayout>
              </c:layout>
              <c:tx>
                <c:rich>
                  <a:bodyPr/>
                  <a:lstStyle/>
                  <a:p>
                    <a:r>
                      <a:rPr lang="en-US"/>
                      <a:t>+2,2%</a:t>
                    </a:r>
                  </a:p>
                </c:rich>
              </c:tx>
              <c:dLblPos val="r"/>
              <c:showLegendKey val="0"/>
              <c:showVal val="1"/>
              <c:showCatName val="0"/>
              <c:showSerName val="0"/>
              <c:showPercent val="0"/>
              <c:showBubbleSize val="0"/>
              <c:extLst>
                <c:ext xmlns:c15="http://schemas.microsoft.com/office/drawing/2012/chart" uri="{CE6537A1-D6FC-4f65-9D91-7224C49458BB}">
                  <c15:layout>
                    <c:manualLayout>
                      <c:w val="6.5241151998147839E-2"/>
                      <c:h val="4.8923477588557245E-2"/>
                    </c:manualLayout>
                  </c15:layout>
                </c:ext>
                <c:ext xmlns:c16="http://schemas.microsoft.com/office/drawing/2014/chart" uri="{C3380CC4-5D6E-409C-BE32-E72D297353CC}">
                  <c16:uniqueId val="{00000019-EE98-4F5F-ADB6-C35BC63F121B}"/>
                </c:ext>
              </c:extLst>
            </c:dLbl>
            <c:dLbl>
              <c:idx val="9"/>
              <c:layout>
                <c:manualLayout>
                  <c:x val="-9.7175303419842984E-2"/>
                  <c:y val="1.5091456591181893E-2"/>
                </c:manualLayout>
              </c:layout>
              <c:tx>
                <c:rich>
                  <a:bodyPr/>
                  <a:lstStyle/>
                  <a:p>
                    <a:pPr>
                      <a:defRPr sz="700"/>
                    </a:pPr>
                    <a:r>
                      <a:rPr lang="en-US" sz="700"/>
                      <a:t>+10,0%</a:t>
                    </a:r>
                  </a:p>
                </c:rich>
              </c:tx>
              <c:numFmt formatCode="\+#,##0.0%_ ;\-#,##0.0%" sourceLinked="0"/>
              <c:spPr>
                <a:solidFill>
                  <a:sysClr val="window" lastClr="FFFFFF"/>
                </a:solidFill>
                <a:ln w="6350">
                  <a:solidFill>
                    <a:sysClr val="windowText" lastClr="000000"/>
                  </a:solidFill>
                </a:ln>
                <a:effectLst/>
              </c:sp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6.6239658852616595E-2"/>
                      <c:h val="5.1975014751063087E-2"/>
                    </c:manualLayout>
                  </c15:layout>
                </c:ext>
                <c:ext xmlns:c16="http://schemas.microsoft.com/office/drawing/2014/chart" uri="{C3380CC4-5D6E-409C-BE32-E72D297353CC}">
                  <c16:uniqueId val="{0000001B-EE98-4F5F-ADB6-C35BC63F121B}"/>
                </c:ext>
              </c:extLst>
            </c:dLbl>
            <c:dLbl>
              <c:idx val="10"/>
              <c:layout>
                <c:manualLayout>
                  <c:x val="-8.692735053097024E-2"/>
                  <c:y val="-8.1863313597428482E-3"/>
                </c:manualLayout>
              </c:layout>
              <c:tx>
                <c:rich>
                  <a:bodyPr/>
                  <a:lstStyle/>
                  <a:p>
                    <a:r>
                      <a:rPr lang="en-US"/>
                      <a:t>-3,8%</a:t>
                    </a:r>
                  </a:p>
                </c:rich>
              </c:tx>
              <c:dLblPos val="r"/>
              <c:showLegendKey val="0"/>
              <c:showVal val="1"/>
              <c:showCatName val="0"/>
              <c:showSerName val="0"/>
              <c:showPercent val="0"/>
              <c:showBubbleSize val="0"/>
              <c:extLst>
                <c:ext xmlns:c15="http://schemas.microsoft.com/office/drawing/2012/chart" uri="{CE6537A1-D6FC-4f65-9D91-7224C49458BB}">
                  <c15:layout>
                    <c:manualLayout>
                      <c:w val="5.7427206222247944E-2"/>
                      <c:h val="5.1975014751063087E-2"/>
                    </c:manualLayout>
                  </c15:layout>
                </c:ext>
                <c:ext xmlns:c16="http://schemas.microsoft.com/office/drawing/2014/chart" uri="{C3380CC4-5D6E-409C-BE32-E72D297353CC}">
                  <c16:uniqueId val="{0000001D-EE98-4F5F-ADB6-C35BC63F121B}"/>
                </c:ext>
              </c:extLst>
            </c:dLbl>
            <c:dLbl>
              <c:idx val="11"/>
              <c:layout>
                <c:manualLayout>
                  <c:x val="-7.6487533525380111E-2"/>
                  <c:y val="2.3255813953488361E-2"/>
                </c:manualLayout>
              </c:layout>
              <c:tx>
                <c:rich>
                  <a:bodyPr/>
                  <a:lstStyle/>
                  <a:p>
                    <a:pPr>
                      <a:defRPr sz="700"/>
                    </a:pPr>
                    <a:r>
                      <a:rPr lang="en-US" sz="700"/>
                      <a:t>+10,3%</a:t>
                    </a:r>
                  </a:p>
                </c:rich>
              </c:tx>
              <c:numFmt formatCode="\+#,##0.0%_ ;\-#,##0.0%" sourceLinked="0"/>
              <c:spPr>
                <a:solidFill>
                  <a:sysClr val="window" lastClr="FFFFFF"/>
                </a:solidFill>
                <a:ln w="6350">
                  <a:solidFill>
                    <a:sysClr val="windowText" lastClr="000000"/>
                  </a:solidFill>
                </a:ln>
                <a:effectLst/>
              </c:sp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6.392164623010084E-2"/>
                      <c:h val="4.7545219638242889E-2"/>
                    </c:manualLayout>
                  </c15:layout>
                </c:ext>
                <c:ext xmlns:c16="http://schemas.microsoft.com/office/drawing/2014/chart" uri="{C3380CC4-5D6E-409C-BE32-E72D297353CC}">
                  <c16:uniqueId val="{0000001F-EE98-4F5F-ADB6-C35BC63F121B}"/>
                </c:ext>
              </c:extLst>
            </c:dLbl>
            <c:numFmt formatCode="\+#,##0.0%_ ;\-#,##0.0%" sourceLinked="0"/>
            <c:spPr>
              <a:solidFill>
                <a:sysClr val="window" lastClr="FFFFFF"/>
              </a:solidFill>
              <a:ln w="6350">
                <a:solidFill>
                  <a:sysClr val="windowText" lastClr="000000"/>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Лист1!$B$3:$M$3</c:f>
              <c:numCache>
                <c:formatCode>#,##0.00</c:formatCode>
                <c:ptCount val="12"/>
                <c:pt idx="0">
                  <c:v>475.31200000000001</c:v>
                </c:pt>
                <c:pt idx="1">
                  <c:v>448.51</c:v>
                </c:pt>
                <c:pt idx="2">
                  <c:v>451.14900000000006</c:v>
                </c:pt>
                <c:pt idx="3">
                  <c:v>462.06299999999999</c:v>
                </c:pt>
                <c:pt idx="4">
                  <c:v>421.95</c:v>
                </c:pt>
                <c:pt idx="5">
                  <c:v>436.23200000000003</c:v>
                </c:pt>
                <c:pt idx="6">
                  <c:v>467.14699999999999</c:v>
                </c:pt>
                <c:pt idx="7">
                  <c:v>467.2</c:v>
                </c:pt>
                <c:pt idx="8">
                  <c:v>475.3</c:v>
                </c:pt>
                <c:pt idx="9">
                  <c:v>513</c:v>
                </c:pt>
                <c:pt idx="10">
                  <c:v>497.3</c:v>
                </c:pt>
                <c:pt idx="11">
                  <c:v>538.20000000000005</c:v>
                </c:pt>
              </c:numCache>
            </c:numRef>
          </c:val>
          <c:smooth val="1"/>
          <c:extLst>
            <c:ext xmlns:c16="http://schemas.microsoft.com/office/drawing/2014/chart" uri="{C3380CC4-5D6E-409C-BE32-E72D297353CC}">
              <c16:uniqueId val="{00000020-EE98-4F5F-ADB6-C35BC63F121B}"/>
            </c:ext>
          </c:extLst>
        </c:ser>
        <c:dLbls>
          <c:showLegendKey val="0"/>
          <c:showVal val="0"/>
          <c:showCatName val="0"/>
          <c:showSerName val="0"/>
          <c:showPercent val="0"/>
          <c:showBubbleSize val="0"/>
        </c:dLbls>
        <c:marker val="1"/>
        <c:smooth val="0"/>
        <c:axId val="106141952"/>
        <c:axId val="105229696"/>
      </c:lineChart>
      <c:catAx>
        <c:axId val="104971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228160"/>
        <c:crosses val="autoZero"/>
        <c:auto val="1"/>
        <c:lblAlgn val="ctr"/>
        <c:lblOffset val="100"/>
        <c:noMultiLvlLbl val="0"/>
      </c:catAx>
      <c:valAx>
        <c:axId val="105228160"/>
        <c:scaling>
          <c:orientation val="minMax"/>
        </c:scaling>
        <c:delete val="1"/>
        <c:axPos val="l"/>
        <c:majorGridlines>
          <c:spPr>
            <a:ln w="9525" cap="flat" cmpd="sng" algn="ctr">
              <a:noFill/>
              <a:round/>
            </a:ln>
            <a:effectLst/>
          </c:spPr>
        </c:majorGridlines>
        <c:numFmt formatCode="#,##0" sourceLinked="0"/>
        <c:majorTickMark val="none"/>
        <c:minorTickMark val="none"/>
        <c:tickLblPos val="nextTo"/>
        <c:crossAx val="104971648"/>
        <c:crosses val="autoZero"/>
        <c:crossBetween val="between"/>
      </c:valAx>
      <c:valAx>
        <c:axId val="105229696"/>
        <c:scaling>
          <c:orientation val="minMax"/>
          <c:min val="-0.30000000000000016"/>
        </c:scaling>
        <c:delete val="1"/>
        <c:axPos val="r"/>
        <c:numFmt formatCode="#,##0.00" sourceLinked="1"/>
        <c:majorTickMark val="out"/>
        <c:minorTickMark val="none"/>
        <c:tickLblPos val="nextTo"/>
        <c:crossAx val="106141952"/>
        <c:crosses val="max"/>
        <c:crossBetween val="between"/>
        <c:majorUnit val="0.1"/>
      </c:valAx>
      <c:catAx>
        <c:axId val="106141952"/>
        <c:scaling>
          <c:orientation val="minMax"/>
        </c:scaling>
        <c:delete val="1"/>
        <c:axPos val="b"/>
        <c:numFmt formatCode="General" sourceLinked="1"/>
        <c:majorTickMark val="out"/>
        <c:minorTickMark val="none"/>
        <c:tickLblPos val="nextTo"/>
        <c:crossAx val="105229696"/>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580031401147687E-2"/>
          <c:y val="1.5214438401385397E-2"/>
          <c:w val="0.98166283709764801"/>
          <c:h val="0.76997808263657785"/>
        </c:manualLayout>
      </c:layout>
      <c:barChart>
        <c:barDir val="col"/>
        <c:grouping val="clustered"/>
        <c:varyColors val="0"/>
        <c:ser>
          <c:idx val="0"/>
          <c:order val="0"/>
          <c:tx>
            <c:strRef>
              <c:f>Лист1!$A$2</c:f>
              <c:strCache>
                <c:ptCount val="1"/>
                <c:pt idx="0">
                  <c:v>2021 год</c:v>
                </c:pt>
              </c:strCache>
            </c:strRef>
          </c:tx>
          <c:spPr>
            <a:solidFill>
              <a:srgbClr val="595959"/>
            </a:solidFill>
            <a:ln>
              <a:noFill/>
            </a:ln>
            <a:effectLst>
              <a:outerShdw blurRad="40000" dist="23000" dir="5400000" rotWithShape="0">
                <a:srgbClr val="000000">
                  <a:alpha val="35000"/>
                </a:srgbClr>
              </a:outerShdw>
            </a:effectLst>
            <a:scene3d>
              <a:camera prst="orthographicFront"/>
              <a:lightRig rig="threePt" dir="t"/>
            </a:scene3d>
            <a:sp3d/>
          </c:spPr>
          <c:invertIfNegative val="0"/>
          <c:dLbls>
            <c:dLbl>
              <c:idx val="0"/>
              <c:layout>
                <c:manualLayout>
                  <c:x val="0"/>
                  <c:y val="7.8985860555826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D9-4B16-AD34-C7C31CB56624}"/>
                </c:ext>
              </c:extLst>
            </c:dLbl>
            <c:dLbl>
              <c:idx val="3"/>
              <c:layout>
                <c:manualLayout>
                  <c:x val="0"/>
                  <c:y val="0.10336421257922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D9-4B16-AD34-C7C31CB56624}"/>
                </c:ext>
              </c:extLst>
            </c:dLbl>
            <c:dLbl>
              <c:idx val="6"/>
              <c:layout>
                <c:manualLayout>
                  <c:x val="2.3148148148148147E-3"/>
                  <c:y val="8.38615309605070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D9-4B16-AD34-C7C31CB56624}"/>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Лист1!$B$2:$M$2</c:f>
              <c:numCache>
                <c:formatCode>General</c:formatCode>
                <c:ptCount val="12"/>
                <c:pt idx="0" formatCode="#,##0.00">
                  <c:v>110.79400000000001</c:v>
                </c:pt>
                <c:pt idx="1">
                  <c:v>131.22499999999999</c:v>
                </c:pt>
                <c:pt idx="2">
                  <c:v>144.53300000000002</c:v>
                </c:pt>
                <c:pt idx="3">
                  <c:v>136.67599999999999</c:v>
                </c:pt>
                <c:pt idx="4">
                  <c:v>124.242</c:v>
                </c:pt>
                <c:pt idx="5">
                  <c:v>164.053</c:v>
                </c:pt>
                <c:pt idx="6">
                  <c:v>173.95000000000002</c:v>
                </c:pt>
                <c:pt idx="7">
                  <c:v>175.6</c:v>
                </c:pt>
                <c:pt idx="8">
                  <c:v>188.5</c:v>
                </c:pt>
                <c:pt idx="9">
                  <c:v>172.3</c:v>
                </c:pt>
                <c:pt idx="10">
                  <c:v>175.1</c:v>
                </c:pt>
                <c:pt idx="11">
                  <c:v>194</c:v>
                </c:pt>
              </c:numCache>
            </c:numRef>
          </c:val>
          <c:extLst>
            <c:ext xmlns:c16="http://schemas.microsoft.com/office/drawing/2014/chart" uri="{C3380CC4-5D6E-409C-BE32-E72D297353CC}">
              <c16:uniqueId val="{00000003-E5D9-4B16-AD34-C7C31CB56624}"/>
            </c:ext>
          </c:extLst>
        </c:ser>
        <c:dLbls>
          <c:showLegendKey val="0"/>
          <c:showVal val="0"/>
          <c:showCatName val="0"/>
          <c:showSerName val="0"/>
          <c:showPercent val="0"/>
          <c:showBubbleSize val="0"/>
        </c:dLbls>
        <c:gapWidth val="100"/>
        <c:axId val="111919872"/>
        <c:axId val="111921408"/>
      </c:barChart>
      <c:lineChart>
        <c:grouping val="standard"/>
        <c:varyColors val="0"/>
        <c:ser>
          <c:idx val="2"/>
          <c:order val="2"/>
          <c:tx>
            <c:strRef>
              <c:f>Лист1!$A$4</c:f>
              <c:strCache>
                <c:ptCount val="1"/>
                <c:pt idx="0">
                  <c:v>средний уровень 2020 года</c:v>
                </c:pt>
              </c:strCache>
            </c:strRef>
          </c:tx>
          <c:spPr>
            <a:ln w="19050">
              <a:solidFill>
                <a:sysClr val="windowText" lastClr="000000"/>
              </a:solidFill>
            </a:ln>
          </c:spPr>
          <c:marker>
            <c:symbol val="none"/>
          </c:marker>
          <c:dLbls>
            <c:dLbl>
              <c:idx val="6"/>
              <c:layout>
                <c:manualLayout>
                  <c:x val="0.30241870807815696"/>
                  <c:y val="1.9612860892388406E-2"/>
                </c:manualLayout>
              </c:layout>
              <c:numFmt formatCode="#,##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7.407407407407407E-2"/>
                      <c:h val="5.9483178937103844E-2"/>
                    </c:manualLayout>
                  </c15:layout>
                </c:ext>
                <c:ext xmlns:c16="http://schemas.microsoft.com/office/drawing/2014/chart" uri="{C3380CC4-5D6E-409C-BE32-E72D297353CC}">
                  <c16:uniqueId val="{00000004-E5D9-4B16-AD34-C7C31CB56624}"/>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General</c:formatCode>
                <c:ptCount val="12"/>
                <c:pt idx="0">
                  <c:v>136.21599999999998</c:v>
                </c:pt>
                <c:pt idx="1">
                  <c:v>136.21599999999998</c:v>
                </c:pt>
                <c:pt idx="2">
                  <c:v>136.21599999999998</c:v>
                </c:pt>
                <c:pt idx="3">
                  <c:v>136.21599999999998</c:v>
                </c:pt>
                <c:pt idx="4">
                  <c:v>136.21599999999998</c:v>
                </c:pt>
                <c:pt idx="5">
                  <c:v>136.21599999999998</c:v>
                </c:pt>
                <c:pt idx="6">
                  <c:v>136.21599999999998</c:v>
                </c:pt>
                <c:pt idx="7">
                  <c:v>136.21599999999998</c:v>
                </c:pt>
                <c:pt idx="8">
                  <c:v>136.21599999999998</c:v>
                </c:pt>
                <c:pt idx="9">
                  <c:v>136.21599999999998</c:v>
                </c:pt>
                <c:pt idx="10">
                  <c:v>136.21599999999998</c:v>
                </c:pt>
                <c:pt idx="11">
                  <c:v>136.21599999999998</c:v>
                </c:pt>
              </c:numCache>
            </c:numRef>
          </c:val>
          <c:smooth val="0"/>
          <c:extLst>
            <c:ext xmlns:c16="http://schemas.microsoft.com/office/drawing/2014/chart" uri="{C3380CC4-5D6E-409C-BE32-E72D297353CC}">
              <c16:uniqueId val="{00000005-E5D9-4B16-AD34-C7C31CB56624}"/>
            </c:ext>
          </c:extLst>
        </c:ser>
        <c:dLbls>
          <c:showLegendKey val="0"/>
          <c:showVal val="0"/>
          <c:showCatName val="0"/>
          <c:showSerName val="0"/>
          <c:showPercent val="0"/>
          <c:showBubbleSize val="0"/>
        </c:dLbls>
        <c:marker val="1"/>
        <c:smooth val="0"/>
        <c:axId val="111919872"/>
        <c:axId val="111921408"/>
      </c:lineChart>
      <c:lineChart>
        <c:grouping val="standard"/>
        <c:varyColors val="0"/>
        <c:ser>
          <c:idx val="1"/>
          <c:order val="1"/>
          <c:tx>
            <c:strRef>
              <c:f>Лист1!$A$3</c:f>
              <c:strCache>
                <c:ptCount val="1"/>
                <c:pt idx="0">
                  <c:v>для темпов</c:v>
                </c:pt>
              </c:strCache>
            </c:strRef>
          </c:tx>
          <c:spPr>
            <a:ln>
              <a:solidFill>
                <a:srgbClr val="00B050"/>
              </a:solidFill>
              <a:tailEnd type="triangle"/>
            </a:ln>
            <a:effectLst>
              <a:outerShdw blurRad="40000" dist="23000" dir="5400000" rotWithShape="0">
                <a:srgbClr val="000000">
                  <a:alpha val="35000"/>
                </a:srgbClr>
              </a:outerShdw>
            </a:effectLst>
          </c:spPr>
          <c:marker>
            <c:symbol val="none"/>
          </c:marker>
          <c:dPt>
            <c:idx val="0"/>
            <c:bubble3D val="0"/>
            <c:spPr>
              <a:ln>
                <a:solidFill>
                  <a:srgbClr val="BE4B48"/>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7-E5D9-4B16-AD34-C7C31CB56624}"/>
              </c:ext>
            </c:extLst>
          </c:dPt>
          <c:dPt>
            <c:idx val="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9-E5D9-4B16-AD34-C7C31CB56624}"/>
              </c:ext>
            </c:extLst>
          </c:dPt>
          <c:dPt>
            <c:idx val="2"/>
            <c:bubble3D val="0"/>
            <c:spPr>
              <a:ln>
                <a:solidFill>
                  <a:sysClr val="window" lastClr="FFFFFF">
                    <a:lumMod val="65000"/>
                  </a:sys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B-E5D9-4B16-AD34-C7C31CB56624}"/>
              </c:ext>
            </c:extLst>
          </c:dPt>
          <c:dPt>
            <c:idx val="3"/>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D-E5D9-4B16-AD34-C7C31CB56624}"/>
              </c:ext>
            </c:extLst>
          </c:dPt>
          <c:dPt>
            <c:idx val="4"/>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F-E5D9-4B16-AD34-C7C31CB56624}"/>
              </c:ext>
            </c:extLst>
          </c:dPt>
          <c:dPt>
            <c:idx val="5"/>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1-E5D9-4B16-AD34-C7C31CB56624}"/>
              </c:ext>
            </c:extLst>
          </c:dPt>
          <c:dPt>
            <c:idx val="6"/>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3-E5D9-4B16-AD34-C7C31CB56624}"/>
              </c:ext>
            </c:extLst>
          </c:dPt>
          <c:dPt>
            <c:idx val="7"/>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5-E5D9-4B16-AD34-C7C31CB56624}"/>
              </c:ext>
            </c:extLst>
          </c:dPt>
          <c:dPt>
            <c:idx val="8"/>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7-E5D9-4B16-AD34-C7C31CB56624}"/>
              </c:ext>
            </c:extLst>
          </c:dPt>
          <c:dPt>
            <c:idx val="9"/>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9-E5D9-4B16-AD34-C7C31CB56624}"/>
              </c:ext>
            </c:extLst>
          </c:dPt>
          <c:dPt>
            <c:idx val="10"/>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B-E5D9-4B16-AD34-C7C31CB56624}"/>
              </c:ext>
            </c:extLst>
          </c:dPt>
          <c:dPt>
            <c:idx val="1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D-E5D9-4B16-AD34-C7C31CB56624}"/>
              </c:ext>
            </c:extLst>
          </c:dPt>
          <c:dLbls>
            <c:dLbl>
              <c:idx val="0"/>
              <c:delete val="1"/>
              <c:extLst>
                <c:ext xmlns:c15="http://schemas.microsoft.com/office/drawing/2012/chart" uri="{CE6537A1-D6FC-4f65-9D91-7224C49458BB}"/>
                <c:ext xmlns:c16="http://schemas.microsoft.com/office/drawing/2014/chart" uri="{C3380CC4-5D6E-409C-BE32-E72D297353CC}">
                  <c16:uniqueId val="{00000007-E5D9-4B16-AD34-C7C31CB56624}"/>
                </c:ext>
              </c:extLst>
            </c:dLbl>
            <c:dLbl>
              <c:idx val="1"/>
              <c:layout>
                <c:manualLayout>
                  <c:x val="-9.8268032919792636E-2"/>
                  <c:y val="4.2170097158907779E-2"/>
                </c:manualLayout>
              </c:layout>
              <c:tx>
                <c:rich>
                  <a:bodyPr/>
                  <a:lstStyle/>
                  <a:p>
                    <a:r>
                      <a:rPr lang="en-US"/>
                      <a:t>+18,4%</a:t>
                    </a:r>
                  </a:p>
                </c:rich>
              </c:tx>
              <c:dLblPos val="r"/>
              <c:showLegendKey val="0"/>
              <c:showVal val="1"/>
              <c:showCatName val="0"/>
              <c:showSerName val="0"/>
              <c:showPercent val="0"/>
              <c:showBubbleSize val="0"/>
              <c:extLst>
                <c:ext xmlns:c15="http://schemas.microsoft.com/office/drawing/2012/chart" uri="{CE6537A1-D6FC-4f65-9D91-7224C49458BB}">
                  <c15:layout>
                    <c:manualLayout>
                      <c:w val="7.2365012635600356E-2"/>
                      <c:h val="5.6635078509923102E-2"/>
                    </c:manualLayout>
                  </c15:layout>
                </c:ext>
                <c:ext xmlns:c16="http://schemas.microsoft.com/office/drawing/2014/chart" uri="{C3380CC4-5D6E-409C-BE32-E72D297353CC}">
                  <c16:uniqueId val="{00000009-E5D9-4B16-AD34-C7C31CB56624}"/>
                </c:ext>
              </c:extLst>
            </c:dLbl>
            <c:dLbl>
              <c:idx val="2"/>
              <c:layout>
                <c:manualLayout>
                  <c:x val="-0.10143749233756628"/>
                  <c:y val="2.3086061610719674E-2"/>
                </c:manualLayout>
              </c:layout>
              <c:tx>
                <c:rich>
                  <a:bodyPr/>
                  <a:lstStyle/>
                  <a:p>
                    <a:r>
                      <a:rPr lang="en-US"/>
                      <a:t>+10,1%</a:t>
                    </a:r>
                  </a:p>
                </c:rich>
              </c:tx>
              <c:dLblPos val="r"/>
              <c:showLegendKey val="0"/>
              <c:showVal val="1"/>
              <c:showCatName val="0"/>
              <c:showSerName val="0"/>
              <c:showPercent val="0"/>
              <c:showBubbleSize val="0"/>
              <c:extLst>
                <c:ext xmlns:c15="http://schemas.microsoft.com/office/drawing/2012/chart" uri="{CE6537A1-D6FC-4f65-9D91-7224C49458BB}">
                  <c15:layout>
                    <c:manualLayout>
                      <c:w val="7.0655271556650592E-2"/>
                      <c:h val="4.6536814477137728E-2"/>
                    </c:manualLayout>
                  </c15:layout>
                </c:ext>
                <c:ext xmlns:c16="http://schemas.microsoft.com/office/drawing/2014/chart" uri="{C3380CC4-5D6E-409C-BE32-E72D297353CC}">
                  <c16:uniqueId val="{0000000B-E5D9-4B16-AD34-C7C31CB56624}"/>
                </c:ext>
              </c:extLst>
            </c:dLbl>
            <c:dLbl>
              <c:idx val="3"/>
              <c:layout>
                <c:manualLayout>
                  <c:x val="-9.2516956224269087E-2"/>
                  <c:y val="-1.1240779113137181E-2"/>
                </c:manualLayout>
              </c:layout>
              <c:tx>
                <c:rich>
                  <a:bodyPr/>
                  <a:lstStyle/>
                  <a:p>
                    <a:r>
                      <a:rPr lang="en-US"/>
                      <a:t>-5,4%</a:t>
                    </a:r>
                  </a:p>
                </c:rich>
              </c:tx>
              <c:dLblPos val="r"/>
              <c:showLegendKey val="0"/>
              <c:showVal val="1"/>
              <c:showCatName val="0"/>
              <c:showSerName val="0"/>
              <c:showPercent val="0"/>
              <c:showBubbleSize val="0"/>
              <c:extLst>
                <c:ext xmlns:c15="http://schemas.microsoft.com/office/drawing/2012/chart" uri="{CE6537A1-D6FC-4f65-9D91-7224C49458BB}">
                  <c15:layout>
                    <c:manualLayout>
                      <c:w val="6.355924494872596E-2"/>
                      <c:h val="4.5053368328958877E-2"/>
                    </c:manualLayout>
                  </c15:layout>
                </c:ext>
                <c:ext xmlns:c16="http://schemas.microsoft.com/office/drawing/2014/chart" uri="{C3380CC4-5D6E-409C-BE32-E72D297353CC}">
                  <c16:uniqueId val="{0000000D-E5D9-4B16-AD34-C7C31CB56624}"/>
                </c:ext>
              </c:extLst>
            </c:dLbl>
            <c:dLbl>
              <c:idx val="4"/>
              <c:layout>
                <c:manualLayout>
                  <c:x val="-9.2820527017246898E-2"/>
                  <c:y val="-8.1954229405534849E-3"/>
                </c:manualLayout>
              </c:layout>
              <c:tx>
                <c:rich>
                  <a:bodyPr/>
                  <a:lstStyle/>
                  <a:p>
                    <a:r>
                      <a:rPr lang="en-US"/>
                      <a:t>-9,1%</a:t>
                    </a:r>
                  </a:p>
                </c:rich>
              </c:tx>
              <c:dLblPos val="r"/>
              <c:showLegendKey val="0"/>
              <c:showVal val="1"/>
              <c:showCatName val="0"/>
              <c:showSerName val="0"/>
              <c:showPercent val="0"/>
              <c:showBubbleSize val="0"/>
              <c:extLst>
                <c:ext xmlns:c15="http://schemas.microsoft.com/office/drawing/2012/chart" uri="{CE6537A1-D6FC-4f65-9D91-7224C49458BB}">
                  <c15:layout>
                    <c:manualLayout>
                      <c:w val="6.5568285631799797E-2"/>
                      <c:h val="4.5053368328958877E-2"/>
                    </c:manualLayout>
                  </c15:layout>
                </c:ext>
                <c:ext xmlns:c16="http://schemas.microsoft.com/office/drawing/2014/chart" uri="{C3380CC4-5D6E-409C-BE32-E72D297353CC}">
                  <c16:uniqueId val="{0000000F-E5D9-4B16-AD34-C7C31CB56624}"/>
                </c:ext>
              </c:extLst>
            </c:dLbl>
            <c:dLbl>
              <c:idx val="5"/>
              <c:layout>
                <c:manualLayout>
                  <c:x val="-0.10399419434700247"/>
                  <c:y val="4.7559976055624634E-2"/>
                </c:manualLayout>
              </c:layout>
              <c:tx>
                <c:rich>
                  <a:bodyPr/>
                  <a:lstStyle/>
                  <a:p>
                    <a:r>
                      <a:rPr lang="en-US"/>
                      <a:t>+32,0%</a:t>
                    </a:r>
                  </a:p>
                </c:rich>
              </c:tx>
              <c:dLblPos val="r"/>
              <c:showLegendKey val="0"/>
              <c:showVal val="1"/>
              <c:showCatName val="0"/>
              <c:showSerName val="0"/>
              <c:showPercent val="0"/>
              <c:showBubbleSize val="0"/>
              <c:extLst>
                <c:ext xmlns:c15="http://schemas.microsoft.com/office/drawing/2012/chart" uri="{CE6537A1-D6FC-4f65-9D91-7224C49458BB}">
                  <c15:layout>
                    <c:manualLayout>
                      <c:w val="7.9546304828420802E-2"/>
                      <c:h val="4.9731730902058284E-2"/>
                    </c:manualLayout>
                  </c15:layout>
                </c:ext>
                <c:ext xmlns:c16="http://schemas.microsoft.com/office/drawing/2014/chart" uri="{C3380CC4-5D6E-409C-BE32-E72D297353CC}">
                  <c16:uniqueId val="{00000011-E5D9-4B16-AD34-C7C31CB56624}"/>
                </c:ext>
              </c:extLst>
            </c:dLbl>
            <c:dLbl>
              <c:idx val="6"/>
              <c:layout>
                <c:manualLayout>
                  <c:x val="-9.4652234266799029E-2"/>
                  <c:y val="2.3408389740755876E-3"/>
                </c:manualLayout>
              </c:layout>
              <c:tx>
                <c:rich>
                  <a:bodyPr/>
                  <a:lstStyle/>
                  <a:p>
                    <a:r>
                      <a:rPr lang="en-US"/>
                      <a:t>+6,0%</a:t>
                    </a:r>
                  </a:p>
                </c:rich>
              </c:tx>
              <c:dLblPos val="r"/>
              <c:showLegendKey val="0"/>
              <c:showVal val="1"/>
              <c:showCatName val="0"/>
              <c:showSerName val="0"/>
              <c:showPercent val="0"/>
              <c:showBubbleSize val="0"/>
              <c:extLst>
                <c:ext xmlns:c15="http://schemas.microsoft.com/office/drawing/2012/chart" uri="{CE6537A1-D6FC-4f65-9D91-7224C49458BB}">
                  <c15:layout>
                    <c:manualLayout>
                      <c:w val="6.5568285631799797E-2"/>
                      <c:h val="4.5053368328958877E-2"/>
                    </c:manualLayout>
                  </c15:layout>
                </c:ext>
                <c:ext xmlns:c16="http://schemas.microsoft.com/office/drawing/2014/chart" uri="{C3380CC4-5D6E-409C-BE32-E72D297353CC}">
                  <c16:uniqueId val="{00000013-E5D9-4B16-AD34-C7C31CB56624}"/>
                </c:ext>
              </c:extLst>
            </c:dLbl>
            <c:dLbl>
              <c:idx val="7"/>
              <c:layout>
                <c:manualLayout>
                  <c:x val="-9.4034098324349377E-2"/>
                  <c:y val="-6.9188193581065744E-3"/>
                </c:manualLayout>
              </c:layout>
              <c:tx>
                <c:rich>
                  <a:bodyPr/>
                  <a:lstStyle/>
                  <a:p>
                    <a:r>
                      <a:rPr lang="en-US"/>
                      <a:t>+0,9%</a:t>
                    </a:r>
                  </a:p>
                </c:rich>
              </c:tx>
              <c:dLblPos val="r"/>
              <c:showLegendKey val="0"/>
              <c:showVal val="1"/>
              <c:showCatName val="0"/>
              <c:showSerName val="0"/>
              <c:showPercent val="0"/>
              <c:showBubbleSize val="0"/>
              <c:extLst>
                <c:ext xmlns:c15="http://schemas.microsoft.com/office/drawing/2012/chart" uri="{CE6537A1-D6FC-4f65-9D91-7224C49458BB}">
                  <c15:layout>
                    <c:manualLayout>
                      <c:w val="6.6748715677240486E-2"/>
                      <c:h val="4.5250817332044023E-2"/>
                    </c:manualLayout>
                  </c15:layout>
                </c:ext>
                <c:ext xmlns:c16="http://schemas.microsoft.com/office/drawing/2014/chart" uri="{C3380CC4-5D6E-409C-BE32-E72D297353CC}">
                  <c16:uniqueId val="{00000015-E5D9-4B16-AD34-C7C31CB56624}"/>
                </c:ext>
              </c:extLst>
            </c:dLbl>
            <c:dLbl>
              <c:idx val="8"/>
              <c:layout>
                <c:manualLayout>
                  <c:x val="-9.6011263283199602E-2"/>
                  <c:y val="1.0499976976562119E-2"/>
                </c:manualLayout>
              </c:layout>
              <c:tx>
                <c:rich>
                  <a:bodyPr/>
                  <a:lstStyle/>
                  <a:p>
                    <a:r>
                      <a:rPr lang="en-US"/>
                      <a:t>+7,3%</a:t>
                    </a:r>
                  </a:p>
                </c:rich>
              </c:tx>
              <c:dLblPos val="r"/>
              <c:showLegendKey val="0"/>
              <c:showVal val="1"/>
              <c:showCatName val="0"/>
              <c:showSerName val="0"/>
              <c:showPercent val="0"/>
              <c:showBubbleSize val="0"/>
              <c:extLst>
                <c:ext xmlns:c15="http://schemas.microsoft.com/office/drawing/2012/chart" uri="{CE6537A1-D6FC-4f65-9D91-7224C49458BB}">
                  <c15:layout>
                    <c:manualLayout>
                      <c:w val="6.3590250615960797E-2"/>
                      <c:h val="4.2280609660634523E-2"/>
                    </c:manualLayout>
                  </c15:layout>
                </c:ext>
                <c:ext xmlns:c16="http://schemas.microsoft.com/office/drawing/2014/chart" uri="{C3380CC4-5D6E-409C-BE32-E72D297353CC}">
                  <c16:uniqueId val="{00000017-E5D9-4B16-AD34-C7C31CB56624}"/>
                </c:ext>
              </c:extLst>
            </c:dLbl>
            <c:dLbl>
              <c:idx val="9"/>
              <c:layout>
                <c:manualLayout>
                  <c:x val="-9.3899002202826279E-2"/>
                  <c:y val="-3.4412487912695126E-2"/>
                </c:manualLayout>
              </c:layout>
              <c:tx>
                <c:rich>
                  <a:bodyPr/>
                  <a:lstStyle/>
                  <a:p>
                    <a:r>
                      <a:rPr lang="en-US"/>
                      <a:t>-8,6%</a:t>
                    </a:r>
                  </a:p>
                </c:rich>
              </c:tx>
              <c:dLblPos val="r"/>
              <c:showLegendKey val="0"/>
              <c:showVal val="1"/>
              <c:showCatName val="0"/>
              <c:showSerName val="0"/>
              <c:showPercent val="0"/>
              <c:showBubbleSize val="0"/>
              <c:extLst>
                <c:ext xmlns:c15="http://schemas.microsoft.com/office/drawing/2012/chart" uri="{CE6537A1-D6FC-4f65-9D91-7224C49458BB}">
                  <c15:layout>
                    <c:manualLayout>
                      <c:w val="6.8303902996555352E-2"/>
                      <c:h val="4.2057006032140722E-2"/>
                    </c:manualLayout>
                  </c15:layout>
                </c:ext>
                <c:ext xmlns:c16="http://schemas.microsoft.com/office/drawing/2014/chart" uri="{C3380CC4-5D6E-409C-BE32-E72D297353CC}">
                  <c16:uniqueId val="{00000019-E5D9-4B16-AD34-C7C31CB56624}"/>
                </c:ext>
              </c:extLst>
            </c:dLbl>
            <c:dLbl>
              <c:idx val="10"/>
              <c:layout>
                <c:manualLayout>
                  <c:x val="-9.4402527911032721E-2"/>
                  <c:y val="7.0177280471520019E-3"/>
                </c:manualLayout>
              </c:layout>
              <c:tx>
                <c:rich>
                  <a:bodyPr/>
                  <a:lstStyle/>
                  <a:p>
                    <a:r>
                      <a:rPr lang="en-US"/>
                      <a:t>+1,6%</a:t>
                    </a:r>
                  </a:p>
                </c:rich>
              </c:tx>
              <c:dLblPos val="r"/>
              <c:showLegendKey val="0"/>
              <c:showVal val="1"/>
              <c:showCatName val="0"/>
              <c:showSerName val="0"/>
              <c:showPercent val="0"/>
              <c:showBubbleSize val="0"/>
              <c:extLst>
                <c:ext xmlns:c15="http://schemas.microsoft.com/office/drawing/2012/chart" uri="{CE6537A1-D6FC-4f65-9D91-7224C49458BB}">
                  <c15:layout>
                    <c:manualLayout>
                      <c:w val="6.5311174624572713E-2"/>
                      <c:h val="4.4585532071648934E-2"/>
                    </c:manualLayout>
                  </c15:layout>
                </c:ext>
                <c:ext xmlns:c16="http://schemas.microsoft.com/office/drawing/2014/chart" uri="{C3380CC4-5D6E-409C-BE32-E72D297353CC}">
                  <c16:uniqueId val="{0000001B-E5D9-4B16-AD34-C7C31CB56624}"/>
                </c:ext>
              </c:extLst>
            </c:dLbl>
            <c:dLbl>
              <c:idx val="11"/>
              <c:layout>
                <c:manualLayout>
                  <c:x val="-5.9243287708072155E-2"/>
                  <c:y val="2.8070175438596492E-2"/>
                </c:manualLayout>
              </c:layout>
              <c:tx>
                <c:rich>
                  <a:bodyPr/>
                  <a:lstStyle/>
                  <a:p>
                    <a:pPr>
                      <a:defRPr sz="700"/>
                    </a:pPr>
                    <a:r>
                      <a:rPr lang="en-US" sz="700"/>
                      <a:t>+10,8%</a:t>
                    </a:r>
                  </a:p>
                </c:rich>
              </c:tx>
              <c:numFmt formatCode="\+#,##0.0%_ ;\-#,##0.0%" sourceLinked="0"/>
              <c:spPr>
                <a:solidFill>
                  <a:sysClr val="window" lastClr="FFFFFF"/>
                </a:solidFill>
                <a:ln>
                  <a:solidFill>
                    <a:sysClr val="windowText" lastClr="000000">
                      <a:lumMod val="65000"/>
                      <a:lumOff val="35000"/>
                    </a:sysClr>
                  </a:solidFill>
                </a:ln>
                <a:effectLst/>
              </c:sp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6.7735993071182526E-2"/>
                      <c:h val="4.7719298245614036E-2"/>
                    </c:manualLayout>
                  </c15:layout>
                </c:ext>
                <c:ext xmlns:c16="http://schemas.microsoft.com/office/drawing/2014/chart" uri="{C3380CC4-5D6E-409C-BE32-E72D297353CC}">
                  <c16:uniqueId val="{0000001D-E5D9-4B16-AD34-C7C31CB56624}"/>
                </c:ext>
              </c:extLst>
            </c:dLbl>
            <c:numFmt formatCode="\+#,##0.0%_ ;\-#,##0.0%" sourceLinked="0"/>
            <c:spPr>
              <a:solidFill>
                <a:sysClr val="window" lastClr="FFFFFF"/>
              </a:solidFill>
              <a:ln>
                <a:solidFill>
                  <a:sysClr val="windowText" lastClr="000000">
                    <a:lumMod val="65000"/>
                    <a:lumOff val="35000"/>
                  </a:sysClr>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Лист1!$B$3:$M$3</c:f>
              <c:numCache>
                <c:formatCode>#,##0.00</c:formatCode>
                <c:ptCount val="12"/>
                <c:pt idx="0">
                  <c:v>160.79399999999998</c:v>
                </c:pt>
                <c:pt idx="1">
                  <c:v>181.22499999999999</c:v>
                </c:pt>
                <c:pt idx="2">
                  <c:v>194.53300000000002</c:v>
                </c:pt>
                <c:pt idx="3">
                  <c:v>186.67599999999999</c:v>
                </c:pt>
                <c:pt idx="4">
                  <c:v>174.24200000000002</c:v>
                </c:pt>
                <c:pt idx="5">
                  <c:v>214.053</c:v>
                </c:pt>
                <c:pt idx="6">
                  <c:v>223.95000000000002</c:v>
                </c:pt>
                <c:pt idx="7">
                  <c:v>225.6</c:v>
                </c:pt>
                <c:pt idx="8">
                  <c:v>238.5</c:v>
                </c:pt>
                <c:pt idx="9">
                  <c:v>222.3</c:v>
                </c:pt>
                <c:pt idx="10">
                  <c:v>225.1</c:v>
                </c:pt>
                <c:pt idx="11">
                  <c:v>244</c:v>
                </c:pt>
              </c:numCache>
            </c:numRef>
          </c:val>
          <c:smooth val="1"/>
          <c:extLst>
            <c:ext xmlns:c16="http://schemas.microsoft.com/office/drawing/2014/chart" uri="{C3380CC4-5D6E-409C-BE32-E72D297353CC}">
              <c16:uniqueId val="{0000001E-E5D9-4B16-AD34-C7C31CB56624}"/>
            </c:ext>
          </c:extLst>
        </c:ser>
        <c:dLbls>
          <c:showLegendKey val="0"/>
          <c:showVal val="0"/>
          <c:showCatName val="0"/>
          <c:showSerName val="0"/>
          <c:showPercent val="0"/>
          <c:showBubbleSize val="0"/>
        </c:dLbls>
        <c:marker val="1"/>
        <c:smooth val="0"/>
        <c:axId val="112130304"/>
        <c:axId val="112128384"/>
      </c:lineChart>
      <c:catAx>
        <c:axId val="1119198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1921408"/>
        <c:crosses val="autoZero"/>
        <c:auto val="1"/>
        <c:lblAlgn val="ctr"/>
        <c:lblOffset val="100"/>
        <c:noMultiLvlLbl val="0"/>
      </c:catAx>
      <c:valAx>
        <c:axId val="111921408"/>
        <c:scaling>
          <c:orientation val="minMax"/>
        </c:scaling>
        <c:delete val="1"/>
        <c:axPos val="l"/>
        <c:majorGridlines>
          <c:spPr>
            <a:ln w="9525" cap="flat" cmpd="sng" algn="ctr">
              <a:noFill/>
              <a:round/>
            </a:ln>
            <a:effectLst/>
          </c:spPr>
        </c:majorGridlines>
        <c:numFmt formatCode="#,##0" sourceLinked="0"/>
        <c:majorTickMark val="out"/>
        <c:minorTickMark val="none"/>
        <c:tickLblPos val="nextTo"/>
        <c:crossAx val="111919872"/>
        <c:crosses val="autoZero"/>
        <c:crossBetween val="between"/>
      </c:valAx>
      <c:valAx>
        <c:axId val="112128384"/>
        <c:scaling>
          <c:orientation val="minMax"/>
          <c:min val="-0.30000000000000016"/>
        </c:scaling>
        <c:delete val="1"/>
        <c:axPos val="r"/>
        <c:numFmt formatCode="#,##0.00" sourceLinked="1"/>
        <c:majorTickMark val="out"/>
        <c:minorTickMark val="none"/>
        <c:tickLblPos val="nextTo"/>
        <c:crossAx val="112130304"/>
        <c:crosses val="max"/>
        <c:crossBetween val="between"/>
        <c:majorUnit val="0.1"/>
      </c:valAx>
      <c:catAx>
        <c:axId val="112130304"/>
        <c:scaling>
          <c:orientation val="minMax"/>
        </c:scaling>
        <c:delete val="1"/>
        <c:axPos val="b"/>
        <c:numFmt formatCode="General" sourceLinked="1"/>
        <c:majorTickMark val="out"/>
        <c:minorTickMark val="none"/>
        <c:tickLblPos val="nextTo"/>
        <c:crossAx val="112128384"/>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719669369687005E-2"/>
          <c:y val="2.4378352023403264E-2"/>
          <c:w val="0.95881740901790258"/>
          <c:h val="0.76081419856647725"/>
        </c:manualLayout>
      </c:layout>
      <c:barChart>
        <c:barDir val="col"/>
        <c:grouping val="clustered"/>
        <c:varyColors val="0"/>
        <c:ser>
          <c:idx val="0"/>
          <c:order val="0"/>
          <c:tx>
            <c:strRef>
              <c:f>Лист1!$A$2</c:f>
              <c:strCache>
                <c:ptCount val="1"/>
                <c:pt idx="0">
                  <c:v>2021 год</c:v>
                </c:pt>
              </c:strCache>
            </c:strRef>
          </c:tx>
          <c:spPr>
            <a:solidFill>
              <a:srgbClr val="595959"/>
            </a:solidFill>
            <a:ln>
              <a:noFill/>
            </a:ln>
            <a:effectLst>
              <a:outerShdw blurRad="40000" dist="23000" dir="5400000" rotWithShape="0">
                <a:srgbClr val="000000">
                  <a:alpha val="35000"/>
                </a:srgbClr>
              </a:outerShdw>
            </a:effectLst>
            <a:scene3d>
              <a:camera prst="orthographicFront"/>
              <a:lightRig rig="threePt" dir="t"/>
            </a:scene3d>
            <a:sp3d/>
          </c:spPr>
          <c:invertIfNegative val="0"/>
          <c:dLbls>
            <c:dLbl>
              <c:idx val="0"/>
              <c:layout>
                <c:manualLayout>
                  <c:x val="0"/>
                  <c:y val="7.8985860555826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49-410A-BF62-B8ACDE64766A}"/>
                </c:ext>
              </c:extLst>
            </c:dLbl>
            <c:dLbl>
              <c:idx val="2"/>
              <c:layout>
                <c:manualLayout>
                  <c:x val="4.243778136006674E-17"/>
                  <c:y val="9.84885421745489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49-410A-BF62-B8ACDE64766A}"/>
                </c:ext>
              </c:extLst>
            </c:dLbl>
            <c:dLbl>
              <c:idx val="3"/>
              <c:layout>
                <c:manualLayout>
                  <c:x val="0"/>
                  <c:y val="7.41101901511458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49-410A-BF62-B8ACDE64766A}"/>
                </c:ext>
              </c:extLst>
            </c:dLbl>
            <c:dLbl>
              <c:idx val="4"/>
              <c:layout>
                <c:manualLayout>
                  <c:x val="0"/>
                  <c:y val="0.108239882983910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49-410A-BF62-B8ACDE64766A}"/>
                </c:ext>
              </c:extLst>
            </c:dLbl>
            <c:dLbl>
              <c:idx val="6"/>
              <c:layout>
                <c:manualLayout>
                  <c:x val="0"/>
                  <c:y val="8.87372013651877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49-410A-BF62-B8ACDE64766A}"/>
                </c:ext>
              </c:extLst>
            </c:dLbl>
            <c:dLbl>
              <c:idx val="8"/>
              <c:layout>
                <c:manualLayout>
                  <c:x val="4.0837161817253711E-3"/>
                  <c:y val="0.1364597903522929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49-410A-BF62-B8ACDE64766A}"/>
                </c:ext>
              </c:extLst>
            </c:dLbl>
            <c:dLbl>
              <c:idx val="9"/>
              <c:layout>
                <c:manualLayout>
                  <c:x val="2.2560631697687537E-3"/>
                  <c:y val="8.01054018445322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49-410A-BF62-B8ACDE64766A}"/>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Лист1!$B$2:$M$2</c:f>
              <c:numCache>
                <c:formatCode>General</c:formatCode>
                <c:ptCount val="12"/>
                <c:pt idx="0" formatCode="#,##0.00">
                  <c:v>106.24900000000001</c:v>
                </c:pt>
                <c:pt idx="1">
                  <c:v>133.47499999999999</c:v>
                </c:pt>
                <c:pt idx="2">
                  <c:v>142.53800000000001</c:v>
                </c:pt>
                <c:pt idx="3">
                  <c:v>138.178</c:v>
                </c:pt>
                <c:pt idx="4">
                  <c:v>119.489</c:v>
                </c:pt>
                <c:pt idx="5">
                  <c:v>153.17299999999997</c:v>
                </c:pt>
                <c:pt idx="6">
                  <c:v>145.97499999999999</c:v>
                </c:pt>
                <c:pt idx="7">
                  <c:v>138.69999999999999</c:v>
                </c:pt>
                <c:pt idx="8">
                  <c:v>120.7</c:v>
                </c:pt>
                <c:pt idx="9">
                  <c:v>126.8</c:v>
                </c:pt>
                <c:pt idx="10">
                  <c:v>126.3</c:v>
                </c:pt>
                <c:pt idx="11">
                  <c:v>135.6</c:v>
                </c:pt>
              </c:numCache>
            </c:numRef>
          </c:val>
          <c:extLst>
            <c:ext xmlns:c16="http://schemas.microsoft.com/office/drawing/2014/chart" uri="{C3380CC4-5D6E-409C-BE32-E72D297353CC}">
              <c16:uniqueId val="{00000007-1E49-410A-BF62-B8ACDE64766A}"/>
            </c:ext>
          </c:extLst>
        </c:ser>
        <c:dLbls>
          <c:showLegendKey val="0"/>
          <c:showVal val="0"/>
          <c:showCatName val="0"/>
          <c:showSerName val="0"/>
          <c:showPercent val="0"/>
          <c:showBubbleSize val="0"/>
        </c:dLbls>
        <c:gapWidth val="100"/>
        <c:axId val="102925056"/>
        <c:axId val="102926592"/>
      </c:barChart>
      <c:lineChart>
        <c:grouping val="standard"/>
        <c:varyColors val="0"/>
        <c:ser>
          <c:idx val="2"/>
          <c:order val="2"/>
          <c:tx>
            <c:strRef>
              <c:f>Лист1!$A$4</c:f>
              <c:strCache>
                <c:ptCount val="1"/>
                <c:pt idx="0">
                  <c:v>средний уровень 2020 года</c:v>
                </c:pt>
              </c:strCache>
            </c:strRef>
          </c:tx>
          <c:spPr>
            <a:ln w="19050">
              <a:solidFill>
                <a:sysClr val="windowText" lastClr="000000"/>
              </a:solidFill>
            </a:ln>
          </c:spPr>
          <c:marker>
            <c:symbol val="none"/>
          </c:marker>
          <c:dLbls>
            <c:dLbl>
              <c:idx val="6"/>
              <c:layout>
                <c:manualLayout>
                  <c:x val="0.31592187106748659"/>
                  <c:y val="5.580171796707236E-2"/>
                </c:manualLayout>
              </c:layout>
              <c:numFmt formatCode="#,##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7.407407407407407E-2"/>
                      <c:h val="5.9483178937103844E-2"/>
                    </c:manualLayout>
                  </c15:layout>
                </c:ext>
                <c:ext xmlns:c16="http://schemas.microsoft.com/office/drawing/2014/chart" uri="{C3380CC4-5D6E-409C-BE32-E72D297353CC}">
                  <c16:uniqueId val="{00000008-1E49-410A-BF62-B8ACDE64766A}"/>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General</c:formatCode>
                <c:ptCount val="12"/>
                <c:pt idx="0">
                  <c:v>111.66999999999999</c:v>
                </c:pt>
                <c:pt idx="1">
                  <c:v>111.66999999999999</c:v>
                </c:pt>
                <c:pt idx="2">
                  <c:v>111.66999999999999</c:v>
                </c:pt>
                <c:pt idx="3">
                  <c:v>111.66999999999999</c:v>
                </c:pt>
                <c:pt idx="4">
                  <c:v>111.66999999999999</c:v>
                </c:pt>
                <c:pt idx="5">
                  <c:v>111.66999999999999</c:v>
                </c:pt>
                <c:pt idx="6">
                  <c:v>111.66999999999999</c:v>
                </c:pt>
                <c:pt idx="7">
                  <c:v>111.66999999999999</c:v>
                </c:pt>
                <c:pt idx="8">
                  <c:v>111.66999999999999</c:v>
                </c:pt>
                <c:pt idx="9">
                  <c:v>111.66999999999999</c:v>
                </c:pt>
                <c:pt idx="10">
                  <c:v>111.66999999999999</c:v>
                </c:pt>
                <c:pt idx="11">
                  <c:v>111.66999999999999</c:v>
                </c:pt>
              </c:numCache>
            </c:numRef>
          </c:val>
          <c:smooth val="0"/>
          <c:extLst>
            <c:ext xmlns:c16="http://schemas.microsoft.com/office/drawing/2014/chart" uri="{C3380CC4-5D6E-409C-BE32-E72D297353CC}">
              <c16:uniqueId val="{00000009-1E49-410A-BF62-B8ACDE64766A}"/>
            </c:ext>
          </c:extLst>
        </c:ser>
        <c:dLbls>
          <c:showLegendKey val="0"/>
          <c:showVal val="0"/>
          <c:showCatName val="0"/>
          <c:showSerName val="0"/>
          <c:showPercent val="0"/>
          <c:showBubbleSize val="0"/>
        </c:dLbls>
        <c:marker val="1"/>
        <c:smooth val="0"/>
        <c:axId val="102925056"/>
        <c:axId val="102926592"/>
      </c:lineChart>
      <c:lineChart>
        <c:grouping val="standard"/>
        <c:varyColors val="0"/>
        <c:ser>
          <c:idx val="1"/>
          <c:order val="1"/>
          <c:tx>
            <c:strRef>
              <c:f>Лист1!$A$3</c:f>
              <c:strCache>
                <c:ptCount val="1"/>
                <c:pt idx="0">
                  <c:v>для темпов</c:v>
                </c:pt>
              </c:strCache>
            </c:strRef>
          </c:tx>
          <c:spPr>
            <a:ln>
              <a:tailEnd type="triangle"/>
            </a:ln>
            <a:effectLst>
              <a:outerShdw blurRad="40000" dist="23000" dir="5400000" rotWithShape="0">
                <a:srgbClr val="000000">
                  <a:alpha val="35000"/>
                </a:srgbClr>
              </a:outerShdw>
            </a:effectLst>
          </c:spPr>
          <c:marker>
            <c:symbol val="none"/>
          </c:marker>
          <c:dPt>
            <c:idx val="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B-1E49-410A-BF62-B8ACDE64766A}"/>
              </c:ext>
            </c:extLst>
          </c:dPt>
          <c:dPt>
            <c:idx val="2"/>
            <c:bubble3D val="0"/>
            <c:spPr>
              <a:ln>
                <a:solidFill>
                  <a:sysClr val="window" lastClr="FFFFFF">
                    <a:lumMod val="65000"/>
                  </a:sys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D-1E49-410A-BF62-B8ACDE64766A}"/>
              </c:ext>
            </c:extLst>
          </c:dPt>
          <c:dPt>
            <c:idx val="3"/>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F-1E49-410A-BF62-B8ACDE64766A}"/>
              </c:ext>
            </c:extLst>
          </c:dPt>
          <c:dPt>
            <c:idx val="4"/>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1-1E49-410A-BF62-B8ACDE64766A}"/>
              </c:ext>
            </c:extLst>
          </c:dPt>
          <c:dPt>
            <c:idx val="5"/>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3-1E49-410A-BF62-B8ACDE64766A}"/>
              </c:ext>
            </c:extLst>
          </c:dPt>
          <c:dPt>
            <c:idx val="6"/>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5-1E49-410A-BF62-B8ACDE64766A}"/>
              </c:ext>
            </c:extLst>
          </c:dPt>
          <c:dPt>
            <c:idx val="7"/>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7-1E49-410A-BF62-B8ACDE64766A}"/>
              </c:ext>
            </c:extLst>
          </c:dPt>
          <c:dPt>
            <c:idx val="8"/>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9-1E49-410A-BF62-B8ACDE64766A}"/>
              </c:ext>
            </c:extLst>
          </c:dPt>
          <c:dPt>
            <c:idx val="9"/>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B-1E49-410A-BF62-B8ACDE64766A}"/>
              </c:ext>
            </c:extLst>
          </c:dPt>
          <c:dPt>
            <c:idx val="10"/>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D-1E49-410A-BF62-B8ACDE64766A}"/>
              </c:ext>
            </c:extLst>
          </c:dPt>
          <c:dPt>
            <c:idx val="11"/>
            <c:bubble3D val="0"/>
            <c:spPr>
              <a:ln>
                <a:solidFill>
                  <a:sysClr val="window" lastClr="FFFFFF">
                    <a:lumMod val="65000"/>
                  </a:sys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F-1E49-410A-BF62-B8ACDE64766A}"/>
              </c:ext>
            </c:extLst>
          </c:dPt>
          <c:dLbls>
            <c:dLbl>
              <c:idx val="0"/>
              <c:delete val="1"/>
              <c:extLst>
                <c:ext xmlns:c15="http://schemas.microsoft.com/office/drawing/2012/chart" uri="{CE6537A1-D6FC-4f65-9D91-7224C49458BB}"/>
                <c:ext xmlns:c16="http://schemas.microsoft.com/office/drawing/2014/chart" uri="{C3380CC4-5D6E-409C-BE32-E72D297353CC}">
                  <c16:uniqueId val="{00000020-1E49-410A-BF62-B8ACDE64766A}"/>
                </c:ext>
              </c:extLst>
            </c:dLbl>
            <c:dLbl>
              <c:idx val="1"/>
              <c:layout>
                <c:manualLayout>
                  <c:x val="-0.11380777923592884"/>
                  <c:y val="4.9061913335918368E-2"/>
                </c:manualLayout>
              </c:layout>
              <c:tx>
                <c:rich>
                  <a:bodyPr/>
                  <a:lstStyle/>
                  <a:p>
                    <a:r>
                      <a:rPr lang="en-US"/>
                      <a:t>+25,6%</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B-1E49-410A-BF62-B8ACDE64766A}"/>
                </c:ext>
              </c:extLst>
            </c:dLbl>
            <c:dLbl>
              <c:idx val="2"/>
              <c:layout>
                <c:manualLayout>
                  <c:x val="-9.3216359149136244E-2"/>
                  <c:y val="5.0446983600734097E-3"/>
                </c:manualLayout>
              </c:layout>
              <c:tx>
                <c:rich>
                  <a:bodyPr/>
                  <a:lstStyle/>
                  <a:p>
                    <a:r>
                      <a:rPr lang="en-US"/>
                      <a:t>+6,8%</a:t>
                    </a:r>
                  </a:p>
                </c:rich>
              </c:tx>
              <c:dLblPos val="r"/>
              <c:showLegendKey val="0"/>
              <c:showVal val="1"/>
              <c:showCatName val="0"/>
              <c:showSerName val="0"/>
              <c:showPercent val="0"/>
              <c:showBubbleSize val="0"/>
              <c:extLst>
                <c:ext xmlns:c15="http://schemas.microsoft.com/office/drawing/2012/chart" uri="{CE6537A1-D6FC-4f65-9D91-7224C49458BB}">
                  <c15:layout>
                    <c:manualLayout>
                      <c:w val="5.9693187605280675E-2"/>
                      <c:h val="4.9731809839559514E-2"/>
                    </c:manualLayout>
                  </c15:layout>
                </c:ext>
                <c:ext xmlns:c16="http://schemas.microsoft.com/office/drawing/2014/chart" uri="{C3380CC4-5D6E-409C-BE32-E72D297353CC}">
                  <c16:uniqueId val="{0000000D-1E49-410A-BF62-B8ACDE64766A}"/>
                </c:ext>
              </c:extLst>
            </c:dLbl>
            <c:dLbl>
              <c:idx val="3"/>
              <c:layout>
                <c:manualLayout>
                  <c:x val="-9.2870842637207671E-2"/>
                  <c:y val="-2.1840625185009777E-2"/>
                </c:manualLayout>
              </c:layout>
              <c:tx>
                <c:rich>
                  <a:bodyPr/>
                  <a:lstStyle/>
                  <a:p>
                    <a:r>
                      <a:rPr lang="en-US"/>
                      <a:t>-3,1%</a:t>
                    </a:r>
                  </a:p>
                </c:rich>
              </c:tx>
              <c:dLblPos val="r"/>
              <c:showLegendKey val="0"/>
              <c:showVal val="1"/>
              <c:showCatName val="0"/>
              <c:showSerName val="0"/>
              <c:showPercent val="0"/>
              <c:showBubbleSize val="0"/>
              <c:extLst>
                <c:ext xmlns:c15="http://schemas.microsoft.com/office/drawing/2012/chart" uri="{CE6537A1-D6FC-4f65-9D91-7224C49458BB}">
                  <c15:layout>
                    <c:manualLayout>
                      <c:w val="6.1683237356524458E-2"/>
                      <c:h val="4.4719278511238733E-2"/>
                    </c:manualLayout>
                  </c15:layout>
                </c:ext>
                <c:ext xmlns:c16="http://schemas.microsoft.com/office/drawing/2014/chart" uri="{C3380CC4-5D6E-409C-BE32-E72D297353CC}">
                  <c16:uniqueId val="{0000000F-1E49-410A-BF62-B8ACDE64766A}"/>
                </c:ext>
              </c:extLst>
            </c:dLbl>
            <c:dLbl>
              <c:idx val="4"/>
              <c:layout>
                <c:manualLayout>
                  <c:x val="-9.2255729227876421E-2"/>
                  <c:y val="-4.6520829633137965E-2"/>
                </c:manualLayout>
              </c:layout>
              <c:tx>
                <c:rich>
                  <a:bodyPr/>
                  <a:lstStyle/>
                  <a:p>
                    <a:r>
                      <a:rPr lang="en-US"/>
                      <a:t>-13,5%</a:t>
                    </a:r>
                  </a:p>
                </c:rich>
              </c:tx>
              <c:dLblPos val="r"/>
              <c:showLegendKey val="0"/>
              <c:showVal val="1"/>
              <c:showCatName val="0"/>
              <c:showSerName val="0"/>
              <c:showPercent val="0"/>
              <c:showBubbleSize val="0"/>
              <c:extLst>
                <c:ext xmlns:c15="http://schemas.microsoft.com/office/drawing/2012/chart" uri="{CE6537A1-D6FC-4f65-9D91-7224C49458BB}">
                  <c15:layout>
                    <c:manualLayout>
                      <c:w val="6.7653386610255814E-2"/>
                      <c:h val="4.9731809839559514E-2"/>
                    </c:manualLayout>
                  </c15:layout>
                </c:ext>
                <c:ext xmlns:c16="http://schemas.microsoft.com/office/drawing/2014/chart" uri="{C3380CC4-5D6E-409C-BE32-E72D297353CC}">
                  <c16:uniqueId val="{00000011-1E49-410A-BF62-B8ACDE64766A}"/>
                </c:ext>
              </c:extLst>
            </c:dLbl>
            <c:dLbl>
              <c:idx val="5"/>
              <c:layout>
                <c:manualLayout>
                  <c:x val="-9.9383583943278203E-2"/>
                  <c:y val="6.4423794851730498E-2"/>
                </c:manualLayout>
              </c:layout>
              <c:tx>
                <c:rich>
                  <a:bodyPr/>
                  <a:lstStyle/>
                  <a:p>
                    <a:r>
                      <a:rPr lang="en-US"/>
                      <a:t>+28,2%</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13-1E49-410A-BF62-B8ACDE64766A}"/>
                </c:ext>
              </c:extLst>
            </c:dLbl>
            <c:dLbl>
              <c:idx val="6"/>
              <c:layout>
                <c:manualLayout>
                  <c:x val="-0.10076008033112015"/>
                  <c:y val="-3.825478904689153E-2"/>
                </c:manualLayout>
              </c:layout>
              <c:tx>
                <c:rich>
                  <a:bodyPr/>
                  <a:lstStyle/>
                  <a:p>
                    <a:r>
                      <a:rPr lang="en-US" sz="800"/>
                      <a:t>-4,7%</a:t>
                    </a:r>
                  </a:p>
                </c:rich>
              </c:tx>
              <c:dLblPos val="r"/>
              <c:showLegendKey val="0"/>
              <c:showVal val="1"/>
              <c:showCatName val="0"/>
              <c:showSerName val="0"/>
              <c:showPercent val="0"/>
              <c:showBubbleSize val="0"/>
              <c:extLst>
                <c:ext xmlns:c15="http://schemas.microsoft.com/office/drawing/2012/chart" uri="{CE6537A1-D6FC-4f65-9D91-7224C49458BB}">
                  <c15:layout>
                    <c:manualLayout>
                      <c:w val="6.0070252246714161E-2"/>
                      <c:h val="5.6375602303443399E-2"/>
                    </c:manualLayout>
                  </c15:layout>
                </c:ext>
                <c:ext xmlns:c16="http://schemas.microsoft.com/office/drawing/2014/chart" uri="{C3380CC4-5D6E-409C-BE32-E72D297353CC}">
                  <c16:uniqueId val="{00000015-1E49-410A-BF62-B8ACDE64766A}"/>
                </c:ext>
              </c:extLst>
            </c:dLbl>
            <c:dLbl>
              <c:idx val="7"/>
              <c:layout>
                <c:manualLayout>
                  <c:x val="-9.1055196458651719E-2"/>
                  <c:y val="-1.6329603536400058E-2"/>
                </c:manualLayout>
              </c:layout>
              <c:tx>
                <c:rich>
                  <a:bodyPr/>
                  <a:lstStyle/>
                  <a:p>
                    <a:r>
                      <a:rPr lang="en-US"/>
                      <a:t>-5,0%</a:t>
                    </a:r>
                  </a:p>
                </c:rich>
              </c:tx>
              <c:dLblPos val="r"/>
              <c:showLegendKey val="0"/>
              <c:showVal val="1"/>
              <c:showCatName val="0"/>
              <c:showSerName val="0"/>
              <c:showPercent val="0"/>
              <c:showBubbleSize val="0"/>
              <c:extLst>
                <c:ext xmlns:c15="http://schemas.microsoft.com/office/drawing/2012/chart" uri="{CE6537A1-D6FC-4f65-9D91-7224C49458BB}">
                  <c15:layout>
                    <c:manualLayout>
                      <c:w val="6.1232420574293879E-2"/>
                      <c:h val="4.6326051348844544E-2"/>
                    </c:manualLayout>
                  </c15:layout>
                </c:ext>
                <c:ext xmlns:c16="http://schemas.microsoft.com/office/drawing/2014/chart" uri="{C3380CC4-5D6E-409C-BE32-E72D297353CC}">
                  <c16:uniqueId val="{00000017-1E49-410A-BF62-B8ACDE64766A}"/>
                </c:ext>
              </c:extLst>
            </c:dLbl>
            <c:dLbl>
              <c:idx val="8"/>
              <c:layout>
                <c:manualLayout>
                  <c:x val="-9.5506483331374709E-2"/>
                  <c:y val="-3.75140607424072E-2"/>
                </c:manualLayout>
              </c:layout>
              <c:tx>
                <c:rich>
                  <a:bodyPr/>
                  <a:lstStyle/>
                  <a:p>
                    <a:r>
                      <a:rPr lang="en-US"/>
                      <a:t>-13,0%</a:t>
                    </a:r>
                  </a:p>
                </c:rich>
              </c:tx>
              <c:dLblPos val="r"/>
              <c:showLegendKey val="0"/>
              <c:showVal val="1"/>
              <c:showCatName val="0"/>
              <c:showSerName val="0"/>
              <c:showPercent val="0"/>
              <c:showBubbleSize val="0"/>
              <c:extLst>
                <c:ext xmlns:c15="http://schemas.microsoft.com/office/drawing/2012/chart" uri="{CE6537A1-D6FC-4f65-9D91-7224C49458BB}">
                  <c15:layout>
                    <c:manualLayout>
                      <c:w val="7.3128060484976679E-2"/>
                      <c:h val="4.6485899788842176E-2"/>
                    </c:manualLayout>
                  </c15:layout>
                </c:ext>
                <c:ext xmlns:c16="http://schemas.microsoft.com/office/drawing/2014/chart" uri="{C3380CC4-5D6E-409C-BE32-E72D297353CC}">
                  <c16:uniqueId val="{00000019-1E49-410A-BF62-B8ACDE64766A}"/>
                </c:ext>
              </c:extLst>
            </c:dLbl>
            <c:dLbl>
              <c:idx val="9"/>
              <c:layout>
                <c:manualLayout>
                  <c:x val="-8.593935832647788E-2"/>
                  <c:y val="1.5691393838928029E-2"/>
                </c:manualLayout>
              </c:layout>
              <c:tx>
                <c:rich>
                  <a:bodyPr/>
                  <a:lstStyle/>
                  <a:p>
                    <a:r>
                      <a:rPr lang="en-US"/>
                      <a:t>+5,1%</a:t>
                    </a:r>
                  </a:p>
                </c:rich>
              </c:tx>
              <c:dLblPos val="r"/>
              <c:showLegendKey val="0"/>
              <c:showVal val="1"/>
              <c:showCatName val="0"/>
              <c:showSerName val="0"/>
              <c:showPercent val="0"/>
              <c:showBubbleSize val="0"/>
              <c:extLst>
                <c:ext xmlns:c15="http://schemas.microsoft.com/office/drawing/2012/chart" uri="{CE6537A1-D6FC-4f65-9D91-7224C49458BB}">
                  <c15:layout>
                    <c:manualLayout>
                      <c:w val="5.9726564030242478E-2"/>
                      <c:h val="4.0492570007696398E-2"/>
                    </c:manualLayout>
                  </c15:layout>
                </c:ext>
                <c:ext xmlns:c16="http://schemas.microsoft.com/office/drawing/2014/chart" uri="{C3380CC4-5D6E-409C-BE32-E72D297353CC}">
                  <c16:uniqueId val="{0000001B-1E49-410A-BF62-B8ACDE64766A}"/>
                </c:ext>
              </c:extLst>
            </c:dLbl>
            <c:dLbl>
              <c:idx val="10"/>
              <c:layout>
                <c:manualLayout>
                  <c:x val="-8.9450110036593186E-2"/>
                  <c:y val="1.689382128663813E-7"/>
                </c:manualLayout>
              </c:layout>
              <c:tx>
                <c:rich>
                  <a:bodyPr/>
                  <a:lstStyle/>
                  <a:p>
                    <a:r>
                      <a:rPr lang="en-US"/>
                      <a:t>-0,3%</a:t>
                    </a:r>
                  </a:p>
                </c:rich>
              </c:tx>
              <c:dLblPos val="r"/>
              <c:showLegendKey val="0"/>
              <c:showVal val="1"/>
              <c:showCatName val="0"/>
              <c:showSerName val="0"/>
              <c:showPercent val="0"/>
              <c:showBubbleSize val="0"/>
              <c:extLst>
                <c:ext xmlns:c15="http://schemas.microsoft.com/office/drawing/2012/chart" uri="{CE6537A1-D6FC-4f65-9D91-7224C49458BB}">
                  <c15:layout>
                    <c:manualLayout>
                      <c:w val="5.7013201707995446E-2"/>
                      <c:h val="4.646458666350916E-2"/>
                    </c:manualLayout>
                  </c15:layout>
                </c:ext>
                <c:ext xmlns:c16="http://schemas.microsoft.com/office/drawing/2014/chart" uri="{C3380CC4-5D6E-409C-BE32-E72D297353CC}">
                  <c16:uniqueId val="{0000001D-1E49-410A-BF62-B8ACDE64766A}"/>
                </c:ext>
              </c:extLst>
            </c:dLbl>
            <c:dLbl>
              <c:idx val="11"/>
              <c:layout>
                <c:manualLayout>
                  <c:x val="-7.9601990049751284E-2"/>
                  <c:y val="1.754385964912281E-2"/>
                </c:manualLayout>
              </c:layout>
              <c:tx>
                <c:rich>
                  <a:bodyPr/>
                  <a:lstStyle/>
                  <a:p>
                    <a:r>
                      <a:rPr lang="en-US"/>
                      <a:t>+7,3%</a:t>
                    </a:r>
                  </a:p>
                </c:rich>
              </c:tx>
              <c:dLblPos val="r"/>
              <c:showLegendKey val="0"/>
              <c:showVal val="1"/>
              <c:showCatName val="0"/>
              <c:showSerName val="0"/>
              <c:showPercent val="0"/>
              <c:showBubbleSize val="0"/>
              <c:extLst>
                <c:ext xmlns:c15="http://schemas.microsoft.com/office/drawing/2012/chart" uri="{CE6537A1-D6FC-4f65-9D91-7224C49458BB}">
                  <c15:layout>
                    <c:manualLayout>
                      <c:w val="6.2039879343440282E-2"/>
                      <c:h val="4.6115288220551373E-2"/>
                    </c:manualLayout>
                  </c15:layout>
                </c:ext>
                <c:ext xmlns:c16="http://schemas.microsoft.com/office/drawing/2014/chart" uri="{C3380CC4-5D6E-409C-BE32-E72D297353CC}">
                  <c16:uniqueId val="{0000001F-1E49-410A-BF62-B8ACDE64766A}"/>
                </c:ext>
              </c:extLst>
            </c:dLbl>
            <c:numFmt formatCode="\+#,##0.0%_ ;\-#,##0.0%" sourceLinked="0"/>
            <c:spPr>
              <a:solidFill>
                <a:sysClr val="window" lastClr="FFFFFF"/>
              </a:solidFill>
              <a:ln>
                <a:solidFill>
                  <a:sysClr val="windowText" lastClr="000000">
                    <a:lumMod val="65000"/>
                    <a:lumOff val="35000"/>
                  </a:sysClr>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Лист1!$B$3:$M$3</c:f>
              <c:numCache>
                <c:formatCode>#,##0.00</c:formatCode>
                <c:ptCount val="12"/>
                <c:pt idx="0">
                  <c:v>136.24899999999997</c:v>
                </c:pt>
                <c:pt idx="1">
                  <c:v>163.47499999999999</c:v>
                </c:pt>
                <c:pt idx="2">
                  <c:v>172.53800000000001</c:v>
                </c:pt>
                <c:pt idx="3">
                  <c:v>168.178</c:v>
                </c:pt>
                <c:pt idx="4">
                  <c:v>149.489</c:v>
                </c:pt>
                <c:pt idx="5">
                  <c:v>183.17299999999997</c:v>
                </c:pt>
                <c:pt idx="6">
                  <c:v>175.97499999999999</c:v>
                </c:pt>
                <c:pt idx="7">
                  <c:v>168.7</c:v>
                </c:pt>
                <c:pt idx="8">
                  <c:v>150.69999999999999</c:v>
                </c:pt>
                <c:pt idx="9">
                  <c:v>156.80000000000001</c:v>
                </c:pt>
                <c:pt idx="10">
                  <c:v>156.30000000000001</c:v>
                </c:pt>
                <c:pt idx="11">
                  <c:v>165.6</c:v>
                </c:pt>
              </c:numCache>
            </c:numRef>
          </c:val>
          <c:smooth val="1"/>
          <c:extLst>
            <c:ext xmlns:c16="http://schemas.microsoft.com/office/drawing/2014/chart" uri="{C3380CC4-5D6E-409C-BE32-E72D297353CC}">
              <c16:uniqueId val="{00000021-1E49-410A-BF62-B8ACDE64766A}"/>
            </c:ext>
          </c:extLst>
        </c:ser>
        <c:dLbls>
          <c:showLegendKey val="0"/>
          <c:showVal val="0"/>
          <c:showCatName val="0"/>
          <c:showSerName val="0"/>
          <c:showPercent val="0"/>
          <c:showBubbleSize val="0"/>
        </c:dLbls>
        <c:marker val="1"/>
        <c:smooth val="0"/>
        <c:axId val="102929920"/>
        <c:axId val="102928384"/>
      </c:lineChart>
      <c:catAx>
        <c:axId val="1029250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926592"/>
        <c:crosses val="autoZero"/>
        <c:auto val="1"/>
        <c:lblAlgn val="ctr"/>
        <c:lblOffset val="100"/>
        <c:noMultiLvlLbl val="0"/>
      </c:catAx>
      <c:valAx>
        <c:axId val="102926592"/>
        <c:scaling>
          <c:orientation val="minMax"/>
        </c:scaling>
        <c:delete val="1"/>
        <c:axPos val="l"/>
        <c:majorGridlines>
          <c:spPr>
            <a:ln w="9525" cap="flat" cmpd="sng" algn="ctr">
              <a:noFill/>
              <a:round/>
            </a:ln>
            <a:effectLst/>
          </c:spPr>
        </c:majorGridlines>
        <c:numFmt formatCode="#,##0" sourceLinked="0"/>
        <c:majorTickMark val="none"/>
        <c:minorTickMark val="none"/>
        <c:tickLblPos val="nextTo"/>
        <c:crossAx val="102925056"/>
        <c:crosses val="autoZero"/>
        <c:crossBetween val="between"/>
      </c:valAx>
      <c:valAx>
        <c:axId val="102928384"/>
        <c:scaling>
          <c:orientation val="minMax"/>
          <c:min val="-0.30000000000000016"/>
        </c:scaling>
        <c:delete val="1"/>
        <c:axPos val="r"/>
        <c:numFmt formatCode="#,##0.00" sourceLinked="1"/>
        <c:majorTickMark val="out"/>
        <c:minorTickMark val="none"/>
        <c:tickLblPos val="nextTo"/>
        <c:crossAx val="102929920"/>
        <c:crosses val="max"/>
        <c:crossBetween val="between"/>
        <c:majorUnit val="0.1"/>
      </c:valAx>
      <c:catAx>
        <c:axId val="102929920"/>
        <c:scaling>
          <c:orientation val="minMax"/>
        </c:scaling>
        <c:delete val="1"/>
        <c:axPos val="b"/>
        <c:numFmt formatCode="General" sourceLinked="1"/>
        <c:majorTickMark val="out"/>
        <c:minorTickMark val="none"/>
        <c:tickLblPos val="nextTo"/>
        <c:crossAx val="102928384"/>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719669369687005E-2"/>
          <c:y val="2.4378352023403264E-2"/>
          <c:w val="0.95881740901790258"/>
          <c:h val="0.76081419856647725"/>
        </c:manualLayout>
      </c:layout>
      <c:barChart>
        <c:barDir val="col"/>
        <c:grouping val="clustered"/>
        <c:varyColors val="0"/>
        <c:ser>
          <c:idx val="0"/>
          <c:order val="0"/>
          <c:tx>
            <c:strRef>
              <c:f>Лист1!$A$2</c:f>
              <c:strCache>
                <c:ptCount val="1"/>
                <c:pt idx="0">
                  <c:v>2021 год</c:v>
                </c:pt>
              </c:strCache>
            </c:strRef>
          </c:tx>
          <c:spPr>
            <a:solidFill>
              <a:srgbClr val="595959"/>
            </a:solidFill>
            <a:ln>
              <a:noFill/>
            </a:ln>
            <a:effectLst>
              <a:outerShdw blurRad="40000" dist="23000" dir="5400000" rotWithShape="0">
                <a:srgbClr val="000000">
                  <a:alpha val="35000"/>
                </a:srgbClr>
              </a:outerShdw>
            </a:effectLst>
            <a:scene3d>
              <a:camera prst="orthographicFront"/>
              <a:lightRig rig="threePt" dir="t"/>
            </a:scene3d>
            <a:sp3d/>
          </c:spPr>
          <c:invertIfNegative val="0"/>
          <c:dLbls>
            <c:dLbl>
              <c:idx val="0"/>
              <c:layout>
                <c:manualLayout>
                  <c:x val="0"/>
                  <c:y val="7.8985860555826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0F-437B-8173-9C8CD2F583E7}"/>
                </c:ext>
              </c:extLst>
            </c:dLbl>
            <c:dLbl>
              <c:idx val="3"/>
              <c:layout>
                <c:manualLayout>
                  <c:x val="0"/>
                  <c:y val="9.84885421745489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0F-437B-8173-9C8CD2F583E7}"/>
                </c:ext>
              </c:extLst>
            </c:dLbl>
            <c:dLbl>
              <c:idx val="4"/>
              <c:layout>
                <c:manualLayout>
                  <c:x val="0"/>
                  <c:y val="0.122866894197952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0F-437B-8173-9C8CD2F583E7}"/>
                </c:ext>
              </c:extLst>
            </c:dLbl>
            <c:dLbl>
              <c:idx val="6"/>
              <c:layout>
                <c:manualLayout>
                  <c:x val="0"/>
                  <c:y val="8.87372013651877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0F-437B-8173-9C8CD2F583E7}"/>
                </c:ext>
              </c:extLst>
            </c:dLbl>
            <c:dLbl>
              <c:idx val="9"/>
              <c:layout>
                <c:manualLayout>
                  <c:x val="0"/>
                  <c:y val="8.19848975188780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0F-437B-8173-9C8CD2F583E7}"/>
                </c:ext>
              </c:extLst>
            </c:dLbl>
            <c:dLbl>
              <c:idx val="10"/>
              <c:layout>
                <c:manualLayout>
                  <c:x val="2.2111663902708678E-3"/>
                  <c:y val="8.19848975188781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0F-437B-8173-9C8CD2F583E7}"/>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Лист1!$B$2:$M$2</c:f>
              <c:numCache>
                <c:formatCode>General</c:formatCode>
                <c:ptCount val="12"/>
                <c:pt idx="0" formatCode="#,##0.00">
                  <c:v>15.561</c:v>
                </c:pt>
                <c:pt idx="1">
                  <c:v>15.993</c:v>
                </c:pt>
                <c:pt idx="2">
                  <c:v>23.231000000000005</c:v>
                </c:pt>
                <c:pt idx="3">
                  <c:v>20.856000000000005</c:v>
                </c:pt>
                <c:pt idx="4">
                  <c:v>29.123999999999999</c:v>
                </c:pt>
                <c:pt idx="5">
                  <c:v>56.872</c:v>
                </c:pt>
                <c:pt idx="6">
                  <c:v>51.256</c:v>
                </c:pt>
                <c:pt idx="7">
                  <c:v>48.2</c:v>
                </c:pt>
                <c:pt idx="8">
                  <c:v>54.3</c:v>
                </c:pt>
                <c:pt idx="9">
                  <c:v>30.5</c:v>
                </c:pt>
                <c:pt idx="10">
                  <c:v>28.9</c:v>
                </c:pt>
                <c:pt idx="11">
                  <c:v>62.8</c:v>
                </c:pt>
              </c:numCache>
            </c:numRef>
          </c:val>
          <c:extLst>
            <c:ext xmlns:c16="http://schemas.microsoft.com/office/drawing/2014/chart" uri="{C3380CC4-5D6E-409C-BE32-E72D297353CC}">
              <c16:uniqueId val="{00000006-810F-437B-8173-9C8CD2F583E7}"/>
            </c:ext>
          </c:extLst>
        </c:ser>
        <c:dLbls>
          <c:showLegendKey val="0"/>
          <c:showVal val="0"/>
          <c:showCatName val="0"/>
          <c:showSerName val="0"/>
          <c:showPercent val="0"/>
          <c:showBubbleSize val="0"/>
        </c:dLbls>
        <c:gapWidth val="113"/>
        <c:axId val="103333248"/>
        <c:axId val="103367808"/>
      </c:barChart>
      <c:lineChart>
        <c:grouping val="standard"/>
        <c:varyColors val="0"/>
        <c:ser>
          <c:idx val="2"/>
          <c:order val="2"/>
          <c:tx>
            <c:strRef>
              <c:f>Лист1!$A$4</c:f>
              <c:strCache>
                <c:ptCount val="1"/>
                <c:pt idx="0">
                  <c:v>средний уровень 2020 года</c:v>
                </c:pt>
              </c:strCache>
            </c:strRef>
          </c:tx>
          <c:spPr>
            <a:ln w="19050">
              <a:solidFill>
                <a:sysClr val="windowText" lastClr="000000"/>
              </a:solidFill>
            </a:ln>
          </c:spPr>
          <c:marker>
            <c:symbol val="none"/>
          </c:marker>
          <c:dLbls>
            <c:dLbl>
              <c:idx val="6"/>
              <c:layout>
                <c:manualLayout>
                  <c:x val="0.36083689013172421"/>
                  <c:y val="4.3819739513692862E-2"/>
                </c:manualLayout>
              </c:layout>
              <c:tx>
                <c:rich>
                  <a:bodyPr/>
                  <a:lstStyle/>
                  <a:p>
                    <a:r>
                      <a:rPr lang="en-US"/>
                      <a:t>24,7</a:t>
                    </a:r>
                  </a:p>
                </c:rich>
              </c:tx>
              <c:showLegendKey val="0"/>
              <c:showVal val="1"/>
              <c:showCatName val="0"/>
              <c:showSerName val="0"/>
              <c:showPercent val="0"/>
              <c:showBubbleSize val="0"/>
              <c:extLst>
                <c:ext xmlns:c15="http://schemas.microsoft.com/office/drawing/2012/chart" uri="{CE6537A1-D6FC-4f65-9D91-7224C49458BB}">
                  <c15:layout>
                    <c:manualLayout>
                      <c:w val="7.407407407407407E-2"/>
                      <c:h val="5.9483178937103844E-2"/>
                    </c:manualLayout>
                  </c15:layout>
                </c:ext>
                <c:ext xmlns:c16="http://schemas.microsoft.com/office/drawing/2014/chart" uri="{C3380CC4-5D6E-409C-BE32-E72D297353CC}">
                  <c16:uniqueId val="{00000007-810F-437B-8173-9C8CD2F583E7}"/>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General</c:formatCode>
                <c:ptCount val="12"/>
                <c:pt idx="0">
                  <c:v>24.664999999999999</c:v>
                </c:pt>
                <c:pt idx="1">
                  <c:v>24.664999999999999</c:v>
                </c:pt>
                <c:pt idx="2">
                  <c:v>24.664999999999999</c:v>
                </c:pt>
                <c:pt idx="3">
                  <c:v>24.664999999999999</c:v>
                </c:pt>
                <c:pt idx="4">
                  <c:v>24.664999999999999</c:v>
                </c:pt>
                <c:pt idx="5">
                  <c:v>24.664999999999999</c:v>
                </c:pt>
                <c:pt idx="6">
                  <c:v>24.664999999999999</c:v>
                </c:pt>
                <c:pt idx="7">
                  <c:v>24.664999999999999</c:v>
                </c:pt>
                <c:pt idx="8">
                  <c:v>24.664999999999999</c:v>
                </c:pt>
                <c:pt idx="9">
                  <c:v>24.664999999999999</c:v>
                </c:pt>
                <c:pt idx="10">
                  <c:v>24.664999999999999</c:v>
                </c:pt>
                <c:pt idx="11">
                  <c:v>24.664999999999999</c:v>
                </c:pt>
              </c:numCache>
            </c:numRef>
          </c:val>
          <c:smooth val="0"/>
          <c:extLst>
            <c:ext xmlns:c16="http://schemas.microsoft.com/office/drawing/2014/chart" uri="{C3380CC4-5D6E-409C-BE32-E72D297353CC}">
              <c16:uniqueId val="{00000008-810F-437B-8173-9C8CD2F583E7}"/>
            </c:ext>
          </c:extLst>
        </c:ser>
        <c:dLbls>
          <c:showLegendKey val="0"/>
          <c:showVal val="0"/>
          <c:showCatName val="0"/>
          <c:showSerName val="0"/>
          <c:showPercent val="0"/>
          <c:showBubbleSize val="0"/>
        </c:dLbls>
        <c:marker val="1"/>
        <c:smooth val="0"/>
        <c:axId val="103333248"/>
        <c:axId val="103367808"/>
      </c:lineChart>
      <c:lineChart>
        <c:grouping val="standard"/>
        <c:varyColors val="0"/>
        <c:ser>
          <c:idx val="1"/>
          <c:order val="1"/>
          <c:tx>
            <c:strRef>
              <c:f>Лист1!$A$3</c:f>
              <c:strCache>
                <c:ptCount val="1"/>
                <c:pt idx="0">
                  <c:v>для темпов</c:v>
                </c:pt>
              </c:strCache>
            </c:strRef>
          </c:tx>
          <c:spPr>
            <a:ln>
              <a:solidFill>
                <a:sysClr val="window" lastClr="FFFFFF">
                  <a:lumMod val="65000"/>
                </a:sysClr>
              </a:solidFill>
              <a:tailEnd type="triangle"/>
            </a:ln>
            <a:effectLst>
              <a:outerShdw blurRad="40000" dist="23000" dir="5400000" rotWithShape="0">
                <a:srgbClr val="000000">
                  <a:alpha val="35000"/>
                </a:srgbClr>
              </a:outerShdw>
            </a:effectLst>
          </c:spPr>
          <c:marker>
            <c:symbol val="none"/>
          </c:marker>
          <c:dPt>
            <c:idx val="2"/>
            <c:bubble3D val="0"/>
            <c:spPr>
              <a:ln>
                <a:solidFill>
                  <a:sysClr val="window" lastClr="FFFFFF">
                    <a:lumMod val="65000"/>
                  </a:sys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A-810F-437B-8173-9C8CD2F583E7}"/>
              </c:ext>
            </c:extLst>
          </c:dPt>
          <c:dLbls>
            <c:dLbl>
              <c:idx val="0"/>
              <c:delete val="1"/>
              <c:extLst>
                <c:ext xmlns:c15="http://schemas.microsoft.com/office/drawing/2012/chart" uri="{CE6537A1-D6FC-4f65-9D91-7224C49458BB}"/>
                <c:ext xmlns:c16="http://schemas.microsoft.com/office/drawing/2014/chart" uri="{C3380CC4-5D6E-409C-BE32-E72D297353CC}">
                  <c16:uniqueId val="{0000000B-810F-437B-8173-9C8CD2F583E7}"/>
                </c:ext>
              </c:extLst>
            </c:dLbl>
            <c:dLbl>
              <c:idx val="1"/>
              <c:layout>
                <c:manualLayout>
                  <c:x val="-0.10085172562384925"/>
                  <c:y val="5.1807444523979959E-3"/>
                </c:manualLayout>
              </c:layout>
              <c:tx>
                <c:rich>
                  <a:bodyPr/>
                  <a:lstStyle/>
                  <a:p>
                    <a:r>
                      <a:rPr lang="en-US"/>
                      <a:t>+2,8%</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C-810F-437B-8173-9C8CD2F583E7}"/>
                </c:ext>
              </c:extLst>
            </c:dLbl>
            <c:dLbl>
              <c:idx val="2"/>
              <c:layout>
                <c:manualLayout>
                  <c:x val="-9.6581345242292518E-2"/>
                  <c:y val="2.6859142607174116E-2"/>
                </c:manualLayout>
              </c:layout>
              <c:tx>
                <c:rich>
                  <a:bodyPr/>
                  <a:lstStyle/>
                  <a:p>
                    <a:r>
                      <a:rPr lang="en-US"/>
                      <a:t>+45,3%</a:t>
                    </a:r>
                  </a:p>
                </c:rich>
              </c:tx>
              <c:dLblPos val="r"/>
              <c:showLegendKey val="0"/>
              <c:showVal val="1"/>
              <c:showCatName val="0"/>
              <c:showSerName val="0"/>
              <c:showPercent val="0"/>
              <c:showBubbleSize val="0"/>
              <c:extLst>
                <c:ext xmlns:c15="http://schemas.microsoft.com/office/drawing/2012/chart" uri="{CE6537A1-D6FC-4f65-9D91-7224C49458BB}">
                  <c15:layout>
                    <c:manualLayout>
                      <c:w val="6.7653386610255814E-2"/>
                      <c:h val="5.4782470373021551E-2"/>
                    </c:manualLayout>
                  </c15:layout>
                </c:ext>
                <c:ext xmlns:c16="http://schemas.microsoft.com/office/drawing/2014/chart" uri="{C3380CC4-5D6E-409C-BE32-E72D297353CC}">
                  <c16:uniqueId val="{0000000A-810F-437B-8173-9C8CD2F583E7}"/>
                </c:ext>
              </c:extLst>
            </c:dLbl>
            <c:dLbl>
              <c:idx val="3"/>
              <c:layout>
                <c:manualLayout>
                  <c:x val="-9.4881498021702523E-2"/>
                  <c:y val="-1.6952994512049631E-3"/>
                </c:manualLayout>
              </c:layout>
              <c:tx>
                <c:rich>
                  <a:bodyPr/>
                  <a:lstStyle/>
                  <a:p>
                    <a:r>
                      <a:rPr lang="en-US"/>
                      <a:t>-10,2%</a:t>
                    </a:r>
                  </a:p>
                </c:rich>
              </c:tx>
              <c:dLblPos val="r"/>
              <c:showLegendKey val="0"/>
              <c:showVal val="1"/>
              <c:showCatName val="0"/>
              <c:showSerName val="0"/>
              <c:showPercent val="0"/>
              <c:showBubbleSize val="0"/>
              <c:extLst>
                <c:ext xmlns:c15="http://schemas.microsoft.com/office/drawing/2012/chart" uri="{CE6537A1-D6FC-4f65-9D91-7224C49458BB}">
                  <c15:layout>
                    <c:manualLayout>
                      <c:w val="6.7653386610255814E-2"/>
                      <c:h val="5.4782470373021551E-2"/>
                    </c:manualLayout>
                  </c15:layout>
                </c:ext>
                <c:ext xmlns:c16="http://schemas.microsoft.com/office/drawing/2014/chart" uri="{C3380CC4-5D6E-409C-BE32-E72D297353CC}">
                  <c16:uniqueId val="{0000000D-810F-437B-8173-9C8CD2F583E7}"/>
                </c:ext>
              </c:extLst>
            </c:dLbl>
            <c:dLbl>
              <c:idx val="4"/>
              <c:layout>
                <c:manualLayout>
                  <c:x val="-9.21534845457751E-2"/>
                  <c:y val="4.4867374532728876E-2"/>
                </c:manualLayout>
              </c:layout>
              <c:tx>
                <c:rich>
                  <a:bodyPr/>
                  <a:lstStyle/>
                  <a:p>
                    <a:r>
                      <a:rPr lang="en-US"/>
                      <a:t>+39,6%</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E-810F-437B-8173-9C8CD2F583E7}"/>
                </c:ext>
              </c:extLst>
            </c:dLbl>
            <c:dLbl>
              <c:idx val="5"/>
              <c:layout>
                <c:manualLayout>
                  <c:x val="-0.1175348881706744"/>
                  <c:y val="0.13784544789044231"/>
                </c:manualLayout>
              </c:layout>
              <c:tx>
                <c:rich>
                  <a:bodyPr/>
                  <a:lstStyle/>
                  <a:p>
                    <a:r>
                      <a:rPr lang="en-US"/>
                      <a:t>+95,3%</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F-810F-437B-8173-9C8CD2F583E7}"/>
                </c:ext>
              </c:extLst>
            </c:dLbl>
            <c:dLbl>
              <c:idx val="6"/>
              <c:layout>
                <c:manualLayout>
                  <c:x val="-0.10251694284483098"/>
                  <c:y val="-4.3401137357830286E-2"/>
                </c:manualLayout>
              </c:layout>
              <c:tx>
                <c:rich>
                  <a:bodyPr/>
                  <a:lstStyle/>
                  <a:p>
                    <a:r>
                      <a:rPr lang="en-US"/>
                      <a:t>-9,9%</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10-810F-437B-8173-9C8CD2F583E7}"/>
                </c:ext>
              </c:extLst>
            </c:dLbl>
            <c:dLbl>
              <c:idx val="7"/>
              <c:layout>
                <c:manualLayout>
                  <c:x val="-9.6023426176205601E-2"/>
                  <c:y val="-7.3136880617196047E-3"/>
                </c:manualLayout>
              </c:layout>
              <c:tx>
                <c:rich>
                  <a:bodyPr/>
                  <a:lstStyle/>
                  <a:p>
                    <a:r>
                      <a:rPr lang="en-US"/>
                      <a:t>-6,0%</a:t>
                    </a:r>
                  </a:p>
                </c:rich>
              </c:tx>
              <c:dLblPos val="r"/>
              <c:showLegendKey val="0"/>
              <c:showVal val="1"/>
              <c:showCatName val="0"/>
              <c:showSerName val="0"/>
              <c:showPercent val="0"/>
              <c:showBubbleSize val="0"/>
              <c:extLst>
                <c:ext xmlns:c15="http://schemas.microsoft.com/office/drawing/2012/chart" uri="{CE6537A1-D6FC-4f65-9D91-7224C49458BB}">
                  <c15:layout>
                    <c:manualLayout>
                      <c:w val="6.5578703703703708E-2"/>
                      <c:h val="5.4607508532423209E-2"/>
                    </c:manualLayout>
                  </c15:layout>
                </c:ext>
                <c:ext xmlns:c16="http://schemas.microsoft.com/office/drawing/2014/chart" uri="{C3380CC4-5D6E-409C-BE32-E72D297353CC}">
                  <c16:uniqueId val="{00000011-810F-437B-8173-9C8CD2F583E7}"/>
                </c:ext>
              </c:extLst>
            </c:dLbl>
            <c:dLbl>
              <c:idx val="8"/>
              <c:layout>
                <c:manualLayout>
                  <c:x val="-0.10039440790978782"/>
                  <c:y val="2.4356419733247623E-2"/>
                </c:manualLayout>
              </c:layout>
              <c:tx>
                <c:rich>
                  <a:bodyPr/>
                  <a:lstStyle/>
                  <a:p>
                    <a:r>
                      <a:rPr lang="en-US"/>
                      <a:t>+12,7%</a:t>
                    </a:r>
                  </a:p>
                </c:rich>
              </c:tx>
              <c:dLblPos val="r"/>
              <c:showLegendKey val="0"/>
              <c:showVal val="1"/>
              <c:showCatName val="0"/>
              <c:showSerName val="0"/>
              <c:showPercent val="0"/>
              <c:showBubbleSize val="0"/>
              <c:extLst>
                <c:ext xmlns:c15="http://schemas.microsoft.com/office/drawing/2012/chart" uri="{CE6537A1-D6FC-4f65-9D91-7224C49458BB}">
                  <c15:layout>
                    <c:manualLayout>
                      <c:w val="7.5463934678529687E-2"/>
                      <c:h val="5.5737318549467021E-2"/>
                    </c:manualLayout>
                  </c15:layout>
                </c:ext>
                <c:ext xmlns:c16="http://schemas.microsoft.com/office/drawing/2014/chart" uri="{C3380CC4-5D6E-409C-BE32-E72D297353CC}">
                  <c16:uniqueId val="{00000012-810F-437B-8173-9C8CD2F583E7}"/>
                </c:ext>
              </c:extLst>
            </c:dLbl>
            <c:dLbl>
              <c:idx val="9"/>
              <c:layout>
                <c:manualLayout>
                  <c:x val="-7.0787110406761902E-2"/>
                  <c:y val="-0.11791365365043656"/>
                </c:manualLayout>
              </c:layout>
              <c:tx>
                <c:rich>
                  <a:bodyPr/>
                  <a:lstStyle/>
                  <a:p>
                    <a:r>
                      <a:rPr lang="en-US"/>
                      <a:t>-43,9%</a:t>
                    </a:r>
                  </a:p>
                </c:rich>
              </c:tx>
              <c:dLblPos val="r"/>
              <c:showLegendKey val="0"/>
              <c:showVal val="1"/>
              <c:showCatName val="0"/>
              <c:showSerName val="0"/>
              <c:showPercent val="0"/>
              <c:showBubbleSize val="0"/>
              <c:extLst>
                <c:ext xmlns:c15="http://schemas.microsoft.com/office/drawing/2012/chart" uri="{CE6537A1-D6FC-4f65-9D91-7224C49458BB}">
                  <c15:layout>
                    <c:manualLayout>
                      <c:w val="7.6767036450079235E-2"/>
                      <c:h val="5.5328798185941032E-2"/>
                    </c:manualLayout>
                  </c15:layout>
                </c:ext>
                <c:ext xmlns:c16="http://schemas.microsoft.com/office/drawing/2014/chart" uri="{C3380CC4-5D6E-409C-BE32-E72D297353CC}">
                  <c16:uniqueId val="{00000013-810F-437B-8173-9C8CD2F583E7}"/>
                </c:ext>
              </c:extLst>
            </c:dLbl>
            <c:dLbl>
              <c:idx val="10"/>
              <c:layout>
                <c:manualLayout>
                  <c:x val="-8.9552238805970324E-2"/>
                  <c:y val="-5.3937432578209802E-3"/>
                </c:manualLayout>
              </c:layout>
              <c:tx>
                <c:rich>
                  <a:bodyPr/>
                  <a:lstStyle/>
                  <a:p>
                    <a:r>
                      <a:rPr lang="en-US"/>
                      <a:t>-5,0%</a:t>
                    </a:r>
                  </a:p>
                </c:rich>
              </c:tx>
              <c:dLblPos val="r"/>
              <c:showLegendKey val="0"/>
              <c:showVal val="1"/>
              <c:showCatName val="0"/>
              <c:showSerName val="0"/>
              <c:showPercent val="0"/>
              <c:showBubbleSize val="0"/>
              <c:extLst>
                <c:ext xmlns:c15="http://schemas.microsoft.com/office/drawing/2012/chart" uri="{CE6537A1-D6FC-4f65-9D91-7224C49458BB}">
                  <c15:layout>
                    <c:manualLayout>
                      <c:w val="7.1487009397457155E-2"/>
                      <c:h val="5.5016181229773461E-2"/>
                    </c:manualLayout>
                  </c15:layout>
                </c:ext>
                <c:ext xmlns:c16="http://schemas.microsoft.com/office/drawing/2014/chart" uri="{C3380CC4-5D6E-409C-BE32-E72D297353CC}">
                  <c16:uniqueId val="{00000014-810F-437B-8173-9C8CD2F583E7}"/>
                </c:ext>
              </c:extLst>
            </c:dLbl>
            <c:dLbl>
              <c:idx val="11"/>
              <c:layout>
                <c:manualLayout>
                  <c:x val="-6.7940552016985137E-2"/>
                  <c:y val="9.0909090909090939E-2"/>
                </c:manualLayout>
              </c:layout>
              <c:tx>
                <c:rich>
                  <a:bodyPr/>
                  <a:lstStyle/>
                  <a:p>
                    <a:r>
                      <a:rPr lang="en-US"/>
                      <a:t>+117,0%</a:t>
                    </a:r>
                  </a:p>
                </c:rich>
              </c:tx>
              <c:dLblPos val="r"/>
              <c:showLegendKey val="0"/>
              <c:showVal val="1"/>
              <c:showCatName val="0"/>
              <c:showSerName val="0"/>
              <c:showPercent val="0"/>
              <c:showBubbleSize val="0"/>
              <c:extLst>
                <c:ext xmlns:c15="http://schemas.microsoft.com/office/drawing/2012/chart" uri="{CE6537A1-D6FC-4f65-9D91-7224C49458BB}">
                  <c15:layout>
                    <c:manualLayout>
                      <c:w val="7.8927729575204372E-2"/>
                      <c:h val="5.1515151515151514E-2"/>
                    </c:manualLayout>
                  </c15:layout>
                </c:ext>
                <c:ext xmlns:c16="http://schemas.microsoft.com/office/drawing/2014/chart" uri="{C3380CC4-5D6E-409C-BE32-E72D297353CC}">
                  <c16:uniqueId val="{00000015-810F-437B-8173-9C8CD2F583E7}"/>
                </c:ext>
              </c:extLst>
            </c:dLbl>
            <c:numFmt formatCode="\+#,##0.0%_ ;\-#,##0.0%" sourceLinked="0"/>
            <c:spPr>
              <a:solidFill>
                <a:sysClr val="window" lastClr="FFFFFF"/>
              </a:solidFill>
              <a:ln>
                <a:solidFill>
                  <a:sysClr val="windowText" lastClr="000000">
                    <a:lumMod val="65000"/>
                    <a:lumOff val="35000"/>
                  </a:sysClr>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Лист1!$B$3:$M$3</c:f>
              <c:numCache>
                <c:formatCode>#,##0.00</c:formatCode>
                <c:ptCount val="12"/>
                <c:pt idx="0">
                  <c:v>30.561</c:v>
                </c:pt>
                <c:pt idx="1">
                  <c:v>30.993000000000002</c:v>
                </c:pt>
                <c:pt idx="2">
                  <c:v>38.231000000000002</c:v>
                </c:pt>
                <c:pt idx="3">
                  <c:v>35.855999999999995</c:v>
                </c:pt>
                <c:pt idx="4">
                  <c:v>44.124000000000009</c:v>
                </c:pt>
                <c:pt idx="5">
                  <c:v>71.871999999999986</c:v>
                </c:pt>
                <c:pt idx="6">
                  <c:v>66.256</c:v>
                </c:pt>
                <c:pt idx="7">
                  <c:v>63.2</c:v>
                </c:pt>
                <c:pt idx="8">
                  <c:v>69.3</c:v>
                </c:pt>
                <c:pt idx="9">
                  <c:v>45.5</c:v>
                </c:pt>
                <c:pt idx="10">
                  <c:v>43.9</c:v>
                </c:pt>
                <c:pt idx="11">
                  <c:v>77.8</c:v>
                </c:pt>
              </c:numCache>
            </c:numRef>
          </c:val>
          <c:smooth val="1"/>
          <c:extLst>
            <c:ext xmlns:c16="http://schemas.microsoft.com/office/drawing/2014/chart" uri="{C3380CC4-5D6E-409C-BE32-E72D297353CC}">
              <c16:uniqueId val="{00000016-810F-437B-8173-9C8CD2F583E7}"/>
            </c:ext>
          </c:extLst>
        </c:ser>
        <c:dLbls>
          <c:showLegendKey val="0"/>
          <c:showVal val="0"/>
          <c:showCatName val="0"/>
          <c:showSerName val="0"/>
          <c:showPercent val="0"/>
          <c:showBubbleSize val="0"/>
        </c:dLbls>
        <c:marker val="1"/>
        <c:smooth val="0"/>
        <c:axId val="103289216"/>
        <c:axId val="103369344"/>
      </c:lineChart>
      <c:catAx>
        <c:axId val="103333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367808"/>
        <c:crosses val="autoZero"/>
        <c:auto val="1"/>
        <c:lblAlgn val="ctr"/>
        <c:lblOffset val="100"/>
        <c:noMultiLvlLbl val="0"/>
      </c:catAx>
      <c:valAx>
        <c:axId val="103367808"/>
        <c:scaling>
          <c:orientation val="minMax"/>
        </c:scaling>
        <c:delete val="1"/>
        <c:axPos val="l"/>
        <c:majorGridlines>
          <c:spPr>
            <a:ln w="9525" cap="flat" cmpd="sng" algn="ctr">
              <a:noFill/>
              <a:round/>
            </a:ln>
            <a:effectLst/>
          </c:spPr>
        </c:majorGridlines>
        <c:numFmt formatCode="#,##0" sourceLinked="0"/>
        <c:majorTickMark val="none"/>
        <c:minorTickMark val="none"/>
        <c:tickLblPos val="nextTo"/>
        <c:crossAx val="103333248"/>
        <c:crosses val="autoZero"/>
        <c:crossBetween val="between"/>
      </c:valAx>
      <c:valAx>
        <c:axId val="103369344"/>
        <c:scaling>
          <c:orientation val="minMax"/>
          <c:min val="-0.30000000000000016"/>
        </c:scaling>
        <c:delete val="1"/>
        <c:axPos val="r"/>
        <c:numFmt formatCode="#,##0.00" sourceLinked="1"/>
        <c:majorTickMark val="out"/>
        <c:minorTickMark val="none"/>
        <c:tickLblPos val="nextTo"/>
        <c:crossAx val="103289216"/>
        <c:crosses val="max"/>
        <c:crossBetween val="between"/>
        <c:majorUnit val="0.1"/>
      </c:valAx>
      <c:catAx>
        <c:axId val="103289216"/>
        <c:scaling>
          <c:orientation val="minMax"/>
        </c:scaling>
        <c:delete val="1"/>
        <c:axPos val="b"/>
        <c:numFmt formatCode="General" sourceLinked="1"/>
        <c:majorTickMark val="out"/>
        <c:minorTickMark val="none"/>
        <c:tickLblPos val="nextTo"/>
        <c:crossAx val="103369344"/>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3">
  <a:schemeClr val="accent3"/>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3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0.81898</cdr:x>
      <cdr:y>0.87682</cdr:y>
    </cdr:from>
    <cdr:to>
      <cdr:x>0.88668</cdr:x>
      <cdr:y>0.87682</cdr:y>
    </cdr:to>
    <cdr:cxnSp macro="">
      <cdr:nvCxnSpPr>
        <cdr:cNvPr id="11" name="Прямая со стрелкой 10"/>
        <cdr:cNvCxnSpPr/>
      </cdr:nvCxnSpPr>
      <cdr:spPr>
        <a:xfrm xmlns:a="http://schemas.openxmlformats.org/drawingml/2006/main" flipH="1">
          <a:off x="5052839" y="2102413"/>
          <a:ext cx="417659"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0.88741</cdr:x>
      <cdr:y>0.21527</cdr:y>
    </cdr:from>
    <cdr:to>
      <cdr:x>0.88741</cdr:x>
      <cdr:y>0.87645</cdr:y>
    </cdr:to>
    <cdr:cxnSp macro="">
      <cdr:nvCxnSpPr>
        <cdr:cNvPr id="3" name="Прямая соединительная линия 2"/>
        <cdr:cNvCxnSpPr/>
      </cdr:nvCxnSpPr>
      <cdr:spPr>
        <a:xfrm xmlns:a="http://schemas.openxmlformats.org/drawingml/2006/main">
          <a:off x="5431638" y="512064"/>
          <a:ext cx="0" cy="157276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0.88956</cdr:x>
      <cdr:y>0.46765</cdr:y>
    </cdr:from>
    <cdr:to>
      <cdr:x>0.99181</cdr:x>
      <cdr:y>0.55182</cdr:y>
    </cdr:to>
    <cdr:grpSp>
      <cdr:nvGrpSpPr>
        <cdr:cNvPr id="8" name="Группа 7"/>
        <cdr:cNvGrpSpPr>
          <a:grpSpLocks xmlns:a="http://schemas.openxmlformats.org/drawingml/2006/main"/>
        </cdr:cNvGrpSpPr>
      </cdr:nvGrpSpPr>
      <cdr:grpSpPr bwMode="auto">
        <a:xfrm xmlns:a="http://schemas.openxmlformats.org/drawingml/2006/main">
          <a:off x="5444814" y="1112410"/>
          <a:ext cx="625822" cy="200213"/>
          <a:chOff x="-42278" y="-28964"/>
          <a:chExt cx="29" cy="10"/>
        </a:xfrm>
      </cdr:grpSpPr>
      <cdr:sp macro="" textlink="">
        <cdr:nvSpPr>
          <cdr:cNvPr id="9" name="Надпись 106"/>
          <cdr:cNvSpPr txBox="1">
            <a:spLocks xmlns:a="http://schemas.openxmlformats.org/drawingml/2006/main" noChangeArrowheads="1"/>
          </cdr:cNvSpPr>
        </cdr:nvSpPr>
        <cdr:spPr bwMode="auto">
          <a:xfrm xmlns:a="http://schemas.openxmlformats.org/drawingml/2006/main">
            <a:off x="-42278" y="-28964"/>
            <a:ext cx="29" cy="1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800">
                <a:effectLst/>
                <a:latin typeface="Times New Roman" panose="02020603050405020304" pitchFamily="18" charset="0"/>
                <a:ea typeface="Times New Roman" panose="02020603050405020304" pitchFamily="18" charset="0"/>
                <a:cs typeface="Times New Roman" panose="02020603050405020304" pitchFamily="18" charset="0"/>
              </a:rPr>
              <a:t>+4 697,2</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sp macro="" textlink="">
        <cdr:nvSpPr>
          <cdr:cNvPr id="10" name="Прямоугольник: скругленные углы 9"/>
          <cdr:cNvSpPr>
            <a:spLocks xmlns:a="http://schemas.openxmlformats.org/drawingml/2006/main" noChangeArrowheads="1"/>
          </cdr:cNvSpPr>
        </cdr:nvSpPr>
        <cdr:spPr bwMode="auto">
          <a:xfrm xmlns:a="http://schemas.openxmlformats.org/drawingml/2006/main">
            <a:off x="-42277" y="-28963"/>
            <a:ext cx="23" cy="9"/>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p xmlns:a="http://schemas.openxmlformats.org/drawingml/2006/main">
            <a:endParaRPr lang="ru-RU"/>
          </a:p>
        </cdr:txBody>
      </cdr:sp>
    </cdr:grpSp>
  </cdr:relSizeAnchor>
</c:userShapes>
</file>

<file path=word/drawings/drawing10.xml><?xml version="1.0" encoding="utf-8"?>
<c:userShapes xmlns:c="http://schemas.openxmlformats.org/drawingml/2006/chart">
  <cdr:relSizeAnchor xmlns:cdr="http://schemas.openxmlformats.org/drawingml/2006/chartDrawing">
    <cdr:from>
      <cdr:x>0.10992</cdr:x>
      <cdr:y>0.31623</cdr:y>
    </cdr:from>
    <cdr:to>
      <cdr:x>0.19607</cdr:x>
      <cdr:y>0.41815</cdr:y>
    </cdr:to>
    <cdr:grpSp>
      <cdr:nvGrpSpPr>
        <cdr:cNvPr id="13" name="Группа 12"/>
        <cdr:cNvGrpSpPr>
          <a:grpSpLocks xmlns:a="http://schemas.openxmlformats.org/drawingml/2006/main"/>
        </cdr:cNvGrpSpPr>
      </cdr:nvGrpSpPr>
      <cdr:grpSpPr bwMode="auto">
        <a:xfrm xmlns:a="http://schemas.openxmlformats.org/drawingml/2006/main">
          <a:off x="661696" y="737962"/>
          <a:ext cx="518606" cy="237843"/>
          <a:chOff x="-1485373" y="-1501450"/>
          <a:chExt cx="518435" cy="237573"/>
        </a:xfrm>
      </cdr:grpSpPr>
      <cdr:sp macro="" textlink="">
        <cdr:nvSpPr>
          <cdr:cNvPr id="14" name="Надпись 56"/>
          <cdr:cNvSpPr txBox="1">
            <a:spLocks xmlns:a="http://schemas.openxmlformats.org/drawingml/2006/main" noChangeArrowheads="1"/>
          </cdr:cNvSpPr>
        </cdr:nvSpPr>
        <cdr:spPr bwMode="auto">
          <a:xfrm xmlns:a="http://schemas.openxmlformats.org/drawingml/2006/main">
            <a:off x="-1485373" y="-1501450"/>
            <a:ext cx="518435" cy="2375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1000"/>
              </a:spcAft>
            </a:pPr>
            <a:r>
              <a:rPr lang="ru-RU" sz="800">
                <a:effectLst/>
                <a:latin typeface="Times New Roman" panose="02020603050405020304" pitchFamily="18" charset="0"/>
                <a:ea typeface="Times New Roman" panose="02020603050405020304" pitchFamily="18" charset="0"/>
                <a:cs typeface="Times New Roman" panose="02020603050405020304" pitchFamily="18" charset="0"/>
              </a:rPr>
              <a:t>-2,1</a:t>
            </a:r>
            <a:r>
              <a:rPr lang="en-US" sz="800">
                <a:effectLst/>
                <a:latin typeface="Times New Roman" panose="02020603050405020304" pitchFamily="18" charset="0"/>
                <a:ea typeface="Times New Roman" panose="02020603050405020304" pitchFamily="18" charset="0"/>
                <a:cs typeface="Times New Roman" panose="02020603050405020304" pitchFamily="18" charset="0"/>
              </a:rPr>
              <a:t>%</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sp macro="" textlink="">
        <cdr:nvSpPr>
          <cdr:cNvPr id="15" name="Прямоугольник: скругленные углы 14"/>
          <cdr:cNvSpPr>
            <a:spLocks xmlns:a="http://schemas.openxmlformats.org/drawingml/2006/main" noChangeArrowheads="1"/>
          </cdr:cNvSpPr>
        </cdr:nvSpPr>
        <cdr:spPr bwMode="auto">
          <a:xfrm xmlns:a="http://schemas.openxmlformats.org/drawingml/2006/main">
            <a:off x="-1400816" y="-1439374"/>
            <a:ext cx="358126" cy="123047"/>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p xmlns:a="http://schemas.openxmlformats.org/drawingml/2006/main">
            <a:endParaRPr lang="ru-RU"/>
          </a:p>
        </cdr:txBody>
      </cdr:sp>
    </cdr:grpSp>
  </cdr:relSizeAnchor>
  <cdr:relSizeAnchor xmlns:cdr="http://schemas.openxmlformats.org/drawingml/2006/chartDrawing">
    <cdr:from>
      <cdr:x>0.86646</cdr:x>
      <cdr:y>0.35114</cdr:y>
    </cdr:from>
    <cdr:to>
      <cdr:x>0.95261</cdr:x>
      <cdr:y>0.45306</cdr:y>
    </cdr:to>
    <cdr:grpSp>
      <cdr:nvGrpSpPr>
        <cdr:cNvPr id="19" name="Группа 18"/>
        <cdr:cNvGrpSpPr>
          <a:grpSpLocks xmlns:a="http://schemas.openxmlformats.org/drawingml/2006/main"/>
        </cdr:cNvGrpSpPr>
      </cdr:nvGrpSpPr>
      <cdr:grpSpPr bwMode="auto">
        <a:xfrm xmlns:a="http://schemas.openxmlformats.org/drawingml/2006/main">
          <a:off x="5224169" y="757219"/>
          <a:ext cx="519426" cy="219787"/>
          <a:chOff x="-1489183" y="-1500030"/>
          <a:chExt cx="518435" cy="237573"/>
        </a:xfrm>
      </cdr:grpSpPr>
      <cdr:sp macro="" textlink="">
        <cdr:nvSpPr>
          <cdr:cNvPr id="20" name="Надпись 56"/>
          <cdr:cNvSpPr txBox="1">
            <a:spLocks xmlns:a="http://schemas.openxmlformats.org/drawingml/2006/main" noChangeArrowheads="1"/>
          </cdr:cNvSpPr>
        </cdr:nvSpPr>
        <cdr:spPr bwMode="auto">
          <a:xfrm xmlns:a="http://schemas.openxmlformats.org/drawingml/2006/main">
            <a:off x="-1489183" y="-1500030"/>
            <a:ext cx="518435" cy="2375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1000"/>
              </a:spcAft>
            </a:pPr>
            <a:r>
              <a:rPr lang="ru-RU" sz="800">
                <a:effectLst/>
                <a:latin typeface="Times New Roman" panose="02020603050405020304" pitchFamily="18" charset="0"/>
                <a:ea typeface="Times New Roman" panose="02020603050405020304" pitchFamily="18" charset="0"/>
                <a:cs typeface="Times New Roman" panose="02020603050405020304" pitchFamily="18" charset="0"/>
              </a:rPr>
              <a:t>+5,7</a:t>
            </a:r>
            <a:r>
              <a:rPr lang="en-US" sz="800">
                <a:effectLst/>
                <a:latin typeface="Times New Roman" panose="02020603050405020304" pitchFamily="18" charset="0"/>
                <a:ea typeface="Times New Roman" panose="02020603050405020304" pitchFamily="18" charset="0"/>
                <a:cs typeface="Times New Roman" panose="02020603050405020304" pitchFamily="18" charset="0"/>
              </a:rPr>
              <a:t>%</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sp macro="" textlink="">
        <cdr:nvSpPr>
          <cdr:cNvPr id="21" name="Прямоугольник: скругленные углы 20"/>
          <cdr:cNvSpPr>
            <a:spLocks xmlns:a="http://schemas.openxmlformats.org/drawingml/2006/main" noChangeArrowheads="1"/>
          </cdr:cNvSpPr>
        </cdr:nvSpPr>
        <cdr:spPr bwMode="auto">
          <a:xfrm xmlns:a="http://schemas.openxmlformats.org/drawingml/2006/main">
            <a:off x="-1410338" y="-1435638"/>
            <a:ext cx="358126" cy="123047"/>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p xmlns:a="http://schemas.openxmlformats.org/drawingml/2006/main">
            <a:endParaRPr lang="ru-RU"/>
          </a:p>
        </cdr:txBody>
      </cdr:sp>
    </cdr:grpSp>
  </cdr:relSizeAnchor>
  <cdr:relSizeAnchor xmlns:cdr="http://schemas.openxmlformats.org/drawingml/2006/chartDrawing">
    <cdr:from>
      <cdr:x>0.30359</cdr:x>
      <cdr:y>0.45318</cdr:y>
    </cdr:from>
    <cdr:to>
      <cdr:x>0.38974</cdr:x>
      <cdr:y>0.5551</cdr:y>
    </cdr:to>
    <cdr:grpSp>
      <cdr:nvGrpSpPr>
        <cdr:cNvPr id="22" name="Группа 21"/>
        <cdr:cNvGrpSpPr>
          <a:grpSpLocks xmlns:a="http://schemas.openxmlformats.org/drawingml/2006/main"/>
        </cdr:cNvGrpSpPr>
      </cdr:nvGrpSpPr>
      <cdr:grpSpPr bwMode="auto">
        <a:xfrm xmlns:a="http://schemas.openxmlformats.org/drawingml/2006/main">
          <a:off x="1827551" y="1057552"/>
          <a:ext cx="518606" cy="237843"/>
          <a:chOff x="-1481565" y="-1500030"/>
          <a:chExt cx="518435" cy="237573"/>
        </a:xfrm>
      </cdr:grpSpPr>
      <cdr:sp macro="" textlink="">
        <cdr:nvSpPr>
          <cdr:cNvPr id="23" name="Надпись 56"/>
          <cdr:cNvSpPr txBox="1">
            <a:spLocks xmlns:a="http://schemas.openxmlformats.org/drawingml/2006/main" noChangeArrowheads="1"/>
          </cdr:cNvSpPr>
        </cdr:nvSpPr>
        <cdr:spPr bwMode="auto">
          <a:xfrm xmlns:a="http://schemas.openxmlformats.org/drawingml/2006/main">
            <a:off x="-1481565" y="-1500030"/>
            <a:ext cx="518435" cy="2375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1000"/>
              </a:spcAft>
            </a:pPr>
            <a:r>
              <a:rPr lang="ru-RU" sz="800">
                <a:effectLst/>
                <a:latin typeface="Times New Roman" panose="02020603050405020304" pitchFamily="18" charset="0"/>
                <a:ea typeface="Times New Roman" panose="02020603050405020304" pitchFamily="18" charset="0"/>
                <a:cs typeface="Times New Roman" panose="02020603050405020304" pitchFamily="18" charset="0"/>
              </a:rPr>
              <a:t>-1,5</a:t>
            </a:r>
            <a:r>
              <a:rPr lang="en-US" sz="800">
                <a:effectLst/>
                <a:latin typeface="Times New Roman" panose="02020603050405020304" pitchFamily="18" charset="0"/>
                <a:ea typeface="Times New Roman" panose="02020603050405020304" pitchFamily="18" charset="0"/>
                <a:cs typeface="Times New Roman" panose="02020603050405020304" pitchFamily="18" charset="0"/>
              </a:rPr>
              <a:t>%</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sp macro="" textlink="">
        <cdr:nvSpPr>
          <cdr:cNvPr id="24" name="Прямоугольник: скругленные углы 23"/>
          <cdr:cNvSpPr>
            <a:spLocks xmlns:a="http://schemas.openxmlformats.org/drawingml/2006/main" noChangeArrowheads="1"/>
          </cdr:cNvSpPr>
        </cdr:nvSpPr>
        <cdr:spPr bwMode="auto">
          <a:xfrm xmlns:a="http://schemas.openxmlformats.org/drawingml/2006/main">
            <a:off x="-1410338" y="-1435638"/>
            <a:ext cx="358126" cy="123047"/>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p xmlns:a="http://schemas.openxmlformats.org/drawingml/2006/main">
            <a:endParaRPr lang="ru-RU"/>
          </a:p>
        </cdr:txBody>
      </cdr:sp>
    </cdr:grpSp>
  </cdr:relSizeAnchor>
  <cdr:relSizeAnchor xmlns:cdr="http://schemas.openxmlformats.org/drawingml/2006/chartDrawing">
    <cdr:from>
      <cdr:x>0.6827</cdr:x>
      <cdr:y>0.05644</cdr:y>
    </cdr:from>
    <cdr:to>
      <cdr:x>0.76885</cdr:x>
      <cdr:y>0.15837</cdr:y>
    </cdr:to>
    <cdr:grpSp>
      <cdr:nvGrpSpPr>
        <cdr:cNvPr id="25" name="Группа 24"/>
        <cdr:cNvGrpSpPr>
          <a:grpSpLocks xmlns:a="http://schemas.openxmlformats.org/drawingml/2006/main"/>
        </cdr:cNvGrpSpPr>
      </cdr:nvGrpSpPr>
      <cdr:grpSpPr bwMode="auto">
        <a:xfrm xmlns:a="http://schemas.openxmlformats.org/drawingml/2006/main">
          <a:off x="4109717" y="131710"/>
          <a:ext cx="518606" cy="237866"/>
          <a:chOff x="-1485374" y="-1492419"/>
          <a:chExt cx="518435" cy="237573"/>
        </a:xfrm>
      </cdr:grpSpPr>
      <cdr:sp macro="" textlink="">
        <cdr:nvSpPr>
          <cdr:cNvPr id="26" name="Надпись 56"/>
          <cdr:cNvSpPr txBox="1">
            <a:spLocks xmlns:a="http://schemas.openxmlformats.org/drawingml/2006/main" noChangeArrowheads="1"/>
          </cdr:cNvSpPr>
        </cdr:nvSpPr>
        <cdr:spPr bwMode="auto">
          <a:xfrm xmlns:a="http://schemas.openxmlformats.org/drawingml/2006/main">
            <a:off x="-1485374" y="-1492419"/>
            <a:ext cx="518435" cy="2375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1000"/>
              </a:spcAft>
            </a:pPr>
            <a:r>
              <a:rPr lang="ru-RU" sz="800">
                <a:effectLst/>
                <a:latin typeface="Times New Roman" panose="02020603050405020304" pitchFamily="18" charset="0"/>
                <a:ea typeface="Times New Roman" panose="02020603050405020304" pitchFamily="18" charset="0"/>
                <a:cs typeface="Times New Roman" panose="02020603050405020304" pitchFamily="18" charset="0"/>
              </a:rPr>
              <a:t>+7,7</a:t>
            </a:r>
            <a:r>
              <a:rPr lang="en-US" sz="800">
                <a:effectLst/>
                <a:latin typeface="Times New Roman" panose="02020603050405020304" pitchFamily="18" charset="0"/>
                <a:ea typeface="Times New Roman" panose="02020603050405020304" pitchFamily="18" charset="0"/>
                <a:cs typeface="Times New Roman" panose="02020603050405020304" pitchFamily="18" charset="0"/>
              </a:rPr>
              <a:t>%</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sp macro="" textlink="">
        <cdr:nvSpPr>
          <cdr:cNvPr id="27" name="Прямоугольник: скругленные углы 26"/>
          <cdr:cNvSpPr>
            <a:spLocks xmlns:a="http://schemas.openxmlformats.org/drawingml/2006/main" noChangeArrowheads="1"/>
          </cdr:cNvSpPr>
        </cdr:nvSpPr>
        <cdr:spPr bwMode="auto">
          <a:xfrm xmlns:a="http://schemas.openxmlformats.org/drawingml/2006/main">
            <a:off x="-1410338" y="-1435638"/>
            <a:ext cx="358126" cy="123047"/>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p xmlns:a="http://schemas.openxmlformats.org/drawingml/2006/main">
            <a:endParaRPr lang="ru-RU"/>
          </a:p>
        </cdr:txBody>
      </cdr:sp>
    </cdr:grpSp>
  </cdr:relSizeAnchor>
  <cdr:relSizeAnchor xmlns:cdr="http://schemas.openxmlformats.org/drawingml/2006/chartDrawing">
    <cdr:from>
      <cdr:x>0.49142</cdr:x>
      <cdr:y>0.1454</cdr:y>
    </cdr:from>
    <cdr:to>
      <cdr:x>0.57758</cdr:x>
      <cdr:y>0.24732</cdr:y>
    </cdr:to>
    <cdr:grpSp>
      <cdr:nvGrpSpPr>
        <cdr:cNvPr id="28" name="Группа 27"/>
        <cdr:cNvGrpSpPr>
          <a:grpSpLocks xmlns:a="http://schemas.openxmlformats.org/drawingml/2006/main"/>
        </cdr:cNvGrpSpPr>
      </cdr:nvGrpSpPr>
      <cdr:grpSpPr bwMode="auto">
        <a:xfrm xmlns:a="http://schemas.openxmlformats.org/drawingml/2006/main">
          <a:off x="2962911" y="313540"/>
          <a:ext cx="519487" cy="219786"/>
          <a:chOff x="-1494896" y="-1492419"/>
          <a:chExt cx="518435" cy="237573"/>
        </a:xfrm>
      </cdr:grpSpPr>
      <cdr:sp macro="" textlink="">
        <cdr:nvSpPr>
          <cdr:cNvPr id="29" name="Надпись 56"/>
          <cdr:cNvSpPr txBox="1">
            <a:spLocks xmlns:a="http://schemas.openxmlformats.org/drawingml/2006/main" noChangeArrowheads="1"/>
          </cdr:cNvSpPr>
        </cdr:nvSpPr>
        <cdr:spPr bwMode="auto">
          <a:xfrm xmlns:a="http://schemas.openxmlformats.org/drawingml/2006/main">
            <a:off x="-1494896" y="-1492419"/>
            <a:ext cx="518435" cy="2375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1000"/>
              </a:spcAft>
            </a:pPr>
            <a:r>
              <a:rPr lang="ru-RU" sz="800">
                <a:effectLst/>
                <a:latin typeface="Times New Roman" panose="02020603050405020304" pitchFamily="18" charset="0"/>
                <a:ea typeface="Times New Roman" panose="02020603050405020304" pitchFamily="18" charset="0"/>
                <a:cs typeface="Times New Roman" panose="02020603050405020304" pitchFamily="18" charset="0"/>
              </a:rPr>
              <a:t>+9,2</a:t>
            </a:r>
            <a:r>
              <a:rPr lang="en-US" sz="800">
                <a:effectLst/>
                <a:latin typeface="Times New Roman" panose="02020603050405020304" pitchFamily="18" charset="0"/>
                <a:ea typeface="Times New Roman" panose="02020603050405020304" pitchFamily="18" charset="0"/>
                <a:cs typeface="Times New Roman" panose="02020603050405020304" pitchFamily="18" charset="0"/>
              </a:rPr>
              <a:t>%</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sp macro="" textlink="">
        <cdr:nvSpPr>
          <cdr:cNvPr id="30" name="Прямоугольник: скругленные углы 29"/>
          <cdr:cNvSpPr>
            <a:spLocks xmlns:a="http://schemas.openxmlformats.org/drawingml/2006/main" noChangeArrowheads="1"/>
          </cdr:cNvSpPr>
        </cdr:nvSpPr>
        <cdr:spPr bwMode="auto">
          <a:xfrm xmlns:a="http://schemas.openxmlformats.org/drawingml/2006/main">
            <a:off x="-1410338" y="-1435638"/>
            <a:ext cx="358126" cy="123047"/>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p xmlns:a="http://schemas.openxmlformats.org/drawingml/2006/main">
            <a:endParaRPr lang="ru-RU"/>
          </a:p>
        </cdr:txBody>
      </cdr:sp>
    </cdr:grpSp>
  </cdr:relSizeAnchor>
  <cdr:relSizeAnchor xmlns:cdr="http://schemas.openxmlformats.org/drawingml/2006/chartDrawing">
    <cdr:from>
      <cdr:x>0.50192</cdr:x>
      <cdr:y>0.2362</cdr:y>
    </cdr:from>
    <cdr:to>
      <cdr:x>0.50192</cdr:x>
      <cdr:y>0.32801</cdr:y>
    </cdr:to>
    <cdr:cxnSp macro="">
      <cdr:nvCxnSpPr>
        <cdr:cNvPr id="36" name="Прямая соединительная линия 35"/>
        <cdr:cNvCxnSpPr/>
      </cdr:nvCxnSpPr>
      <cdr:spPr>
        <a:xfrm xmlns:a="http://schemas.openxmlformats.org/drawingml/2006/main" flipV="1">
          <a:off x="3021480" y="551194"/>
          <a:ext cx="0" cy="21425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0.50158</cdr:x>
      <cdr:y>0.23673</cdr:y>
    </cdr:from>
    <cdr:to>
      <cdr:x>0.56329</cdr:x>
      <cdr:y>0.23673</cdr:y>
    </cdr:to>
    <cdr:cxnSp macro="">
      <cdr:nvCxnSpPr>
        <cdr:cNvPr id="42" name="Прямая соединительная линия 41"/>
        <cdr:cNvCxnSpPr/>
      </cdr:nvCxnSpPr>
      <cdr:spPr>
        <a:xfrm xmlns:a="http://schemas.openxmlformats.org/drawingml/2006/main">
          <a:off x="3019425" y="552450"/>
          <a:ext cx="37147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0.56281</cdr:x>
      <cdr:y>0.2355</cdr:y>
    </cdr:from>
    <cdr:to>
      <cdr:x>0.56281</cdr:x>
      <cdr:y>0.28856</cdr:y>
    </cdr:to>
    <cdr:cxnSp macro="">
      <cdr:nvCxnSpPr>
        <cdr:cNvPr id="46" name="Прямая со стрелкой 45"/>
        <cdr:cNvCxnSpPr/>
      </cdr:nvCxnSpPr>
      <cdr:spPr>
        <a:xfrm xmlns:a="http://schemas.openxmlformats.org/drawingml/2006/main">
          <a:off x="3387991" y="549571"/>
          <a:ext cx="0" cy="12382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0.87743</cdr:x>
      <cdr:y>0.44042</cdr:y>
    </cdr:from>
    <cdr:to>
      <cdr:x>0.93756</cdr:x>
      <cdr:y>0.44042</cdr:y>
    </cdr:to>
    <cdr:cxnSp macro="">
      <cdr:nvCxnSpPr>
        <cdr:cNvPr id="48" name="Прямая соединительная линия 47"/>
        <cdr:cNvCxnSpPr/>
      </cdr:nvCxnSpPr>
      <cdr:spPr>
        <a:xfrm xmlns:a="http://schemas.openxmlformats.org/drawingml/2006/main">
          <a:off x="5281956" y="1027786"/>
          <a:ext cx="361971" cy="0"/>
        </a:xfrm>
        <a:prstGeom xmlns:a="http://schemas.openxmlformats.org/drawingml/2006/main" prst="line">
          <a:avLst/>
        </a:prstGeom>
        <a:ln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0.93671</cdr:x>
      <cdr:y>0.44082</cdr:y>
    </cdr:from>
    <cdr:to>
      <cdr:x>0.93671</cdr:x>
      <cdr:y>0.5102</cdr:y>
    </cdr:to>
    <cdr:cxnSp macro="">
      <cdr:nvCxnSpPr>
        <cdr:cNvPr id="52" name="Прямая со стрелкой 51"/>
        <cdr:cNvCxnSpPr/>
      </cdr:nvCxnSpPr>
      <cdr:spPr>
        <a:xfrm xmlns:a="http://schemas.openxmlformats.org/drawingml/2006/main">
          <a:off x="5638800" y="1028700"/>
          <a:ext cx="0" cy="1619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0.10139</cdr:x>
      <cdr:y>0.20243</cdr:y>
    </cdr:from>
    <cdr:to>
      <cdr:x>0.10139</cdr:x>
      <cdr:y>0.3761</cdr:y>
    </cdr:to>
    <cdr:cxnSp macro="">
      <cdr:nvCxnSpPr>
        <cdr:cNvPr id="5" name="Прямая соединительная линия 4"/>
        <cdr:cNvCxnSpPr/>
      </cdr:nvCxnSpPr>
      <cdr:spPr>
        <a:xfrm xmlns:a="http://schemas.openxmlformats.org/drawingml/2006/main">
          <a:off x="627059" y="486011"/>
          <a:ext cx="0" cy="416971"/>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0.10139</cdr:x>
      <cdr:y>0.20276</cdr:y>
    </cdr:from>
    <cdr:to>
      <cdr:x>0.19842</cdr:x>
      <cdr:y>0.20276</cdr:y>
    </cdr:to>
    <cdr:cxnSp macro="">
      <cdr:nvCxnSpPr>
        <cdr:cNvPr id="9" name="Прямая соединительная линия 8"/>
        <cdr:cNvCxnSpPr/>
      </cdr:nvCxnSpPr>
      <cdr:spPr>
        <a:xfrm xmlns:a="http://schemas.openxmlformats.org/drawingml/2006/main" flipV="1">
          <a:off x="627059" y="486808"/>
          <a:ext cx="60012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0.19822</cdr:x>
      <cdr:y>0.20221</cdr:y>
    </cdr:from>
    <cdr:to>
      <cdr:x>0.19822</cdr:x>
      <cdr:y>0.26526</cdr:y>
    </cdr:to>
    <cdr:cxnSp macro="">
      <cdr:nvCxnSpPr>
        <cdr:cNvPr id="12" name="Прямая со стрелкой 11"/>
        <cdr:cNvCxnSpPr/>
      </cdr:nvCxnSpPr>
      <cdr:spPr>
        <a:xfrm xmlns:a="http://schemas.openxmlformats.org/drawingml/2006/main">
          <a:off x="1225958" y="445303"/>
          <a:ext cx="0" cy="138847"/>
        </a:xfrm>
        <a:prstGeom xmlns:a="http://schemas.openxmlformats.org/drawingml/2006/main" prst="straightConnector1">
          <a:avLst/>
        </a:prstGeom>
        <a:ln xmlns:a="http://schemas.openxmlformats.org/drawingml/2006/main" w="63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0.10163</cdr:x>
      <cdr:y>0.10433</cdr:y>
    </cdr:from>
    <cdr:to>
      <cdr:x>0.19558</cdr:x>
      <cdr:y>0.18546</cdr:y>
    </cdr:to>
    <cdr:sp macro="" textlink="">
      <cdr:nvSpPr>
        <cdr:cNvPr id="17" name="Надпись 16"/>
        <cdr:cNvSpPr txBox="1"/>
      </cdr:nvSpPr>
      <cdr:spPr>
        <a:xfrm xmlns:a="http://schemas.openxmlformats.org/drawingml/2006/main">
          <a:off x="628571" y="229753"/>
          <a:ext cx="581072" cy="178663"/>
        </a:xfrm>
        <a:prstGeom xmlns:a="http://schemas.openxmlformats.org/drawingml/2006/main" prst="roundRect">
          <a:avLst/>
        </a:prstGeom>
        <a:ln xmlns:a="http://schemas.openxmlformats.org/drawingml/2006/main" w="6350" cap="rnd"/>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+53,3%</a:t>
          </a:r>
        </a:p>
      </cdr:txBody>
    </cdr:sp>
  </cdr:relSizeAnchor>
  <cdr:relSizeAnchor xmlns:cdr="http://schemas.openxmlformats.org/drawingml/2006/chartDrawing">
    <cdr:from>
      <cdr:x>0.26687</cdr:x>
      <cdr:y>0.14207</cdr:y>
    </cdr:from>
    <cdr:to>
      <cdr:x>0.26687</cdr:x>
      <cdr:y>0.60551</cdr:y>
    </cdr:to>
    <cdr:cxnSp macro="">
      <cdr:nvCxnSpPr>
        <cdr:cNvPr id="23" name="Прямая соединительная линия 22"/>
        <cdr:cNvCxnSpPr/>
      </cdr:nvCxnSpPr>
      <cdr:spPr>
        <a:xfrm xmlns:a="http://schemas.openxmlformats.org/drawingml/2006/main">
          <a:off x="1650538" y="312867"/>
          <a:ext cx="0" cy="1020570"/>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0.75542</cdr:x>
      <cdr:y>0.15288</cdr:y>
    </cdr:from>
    <cdr:to>
      <cdr:x>0.75542</cdr:x>
      <cdr:y>0.6067</cdr:y>
    </cdr:to>
    <cdr:cxnSp macro="">
      <cdr:nvCxnSpPr>
        <cdr:cNvPr id="24" name="Прямая соединительная линия 23"/>
        <cdr:cNvCxnSpPr/>
      </cdr:nvCxnSpPr>
      <cdr:spPr>
        <a:xfrm xmlns:a="http://schemas.openxmlformats.org/drawingml/2006/main">
          <a:off x="4672200" y="336659"/>
          <a:ext cx="0" cy="999400"/>
        </a:xfrm>
        <a:prstGeom xmlns:a="http://schemas.openxmlformats.org/drawingml/2006/main" prst="line">
          <a:avLst/>
        </a:prstGeom>
        <a:ln xmlns:a="http://schemas.openxmlformats.org/drawingml/2006/main">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0.35524</cdr:x>
      <cdr:y>0.39848</cdr:y>
    </cdr:from>
    <cdr:to>
      <cdr:x>0.35524</cdr:x>
      <cdr:y>0.51455</cdr:y>
    </cdr:to>
    <cdr:cxnSp macro="">
      <cdr:nvCxnSpPr>
        <cdr:cNvPr id="31" name="Прямая соединительная линия 30"/>
        <cdr:cNvCxnSpPr/>
      </cdr:nvCxnSpPr>
      <cdr:spPr>
        <a:xfrm xmlns:a="http://schemas.openxmlformats.org/drawingml/2006/main">
          <a:off x="2197132" y="956721"/>
          <a:ext cx="0" cy="278676"/>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0.35421</cdr:x>
      <cdr:y>0.39881</cdr:y>
    </cdr:from>
    <cdr:to>
      <cdr:x>0.43429</cdr:x>
      <cdr:y>0.39881</cdr:y>
    </cdr:to>
    <cdr:cxnSp macro="">
      <cdr:nvCxnSpPr>
        <cdr:cNvPr id="36" name="Прямая соединительная линия 35"/>
        <cdr:cNvCxnSpPr/>
      </cdr:nvCxnSpPr>
      <cdr:spPr>
        <a:xfrm xmlns:a="http://schemas.openxmlformats.org/drawingml/2006/main">
          <a:off x="2190750" y="1276350"/>
          <a:ext cx="4953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0.5842</cdr:x>
      <cdr:y>0.32474</cdr:y>
    </cdr:from>
    <cdr:to>
      <cdr:x>0.5842</cdr:x>
      <cdr:y>0.44081</cdr:y>
    </cdr:to>
    <cdr:cxnSp macro="">
      <cdr:nvCxnSpPr>
        <cdr:cNvPr id="42" name="Прямая соединительная линия 41"/>
        <cdr:cNvCxnSpPr/>
      </cdr:nvCxnSpPr>
      <cdr:spPr>
        <a:xfrm xmlns:a="http://schemas.openxmlformats.org/drawingml/2006/main">
          <a:off x="3613234" y="779685"/>
          <a:ext cx="0" cy="278676"/>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0.58292</cdr:x>
      <cdr:y>0.32507</cdr:y>
    </cdr:from>
    <cdr:to>
      <cdr:x>0.67224</cdr:x>
      <cdr:y>0.32507</cdr:y>
    </cdr:to>
    <cdr:cxnSp macro="">
      <cdr:nvCxnSpPr>
        <cdr:cNvPr id="45" name="Прямая соединительная линия 44"/>
        <cdr:cNvCxnSpPr/>
      </cdr:nvCxnSpPr>
      <cdr:spPr>
        <a:xfrm xmlns:a="http://schemas.openxmlformats.org/drawingml/2006/main">
          <a:off x="3605282" y="780481"/>
          <a:ext cx="552435"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0.34872</cdr:x>
      <cdr:y>0.29858</cdr:y>
    </cdr:from>
    <cdr:to>
      <cdr:x>0.4441</cdr:x>
      <cdr:y>0.38085</cdr:y>
    </cdr:to>
    <cdr:sp macro="" textlink="">
      <cdr:nvSpPr>
        <cdr:cNvPr id="49" name="Надпись 48"/>
        <cdr:cNvSpPr txBox="1"/>
      </cdr:nvSpPr>
      <cdr:spPr>
        <a:xfrm xmlns:a="http://schemas.openxmlformats.org/drawingml/2006/main">
          <a:off x="2156798" y="657527"/>
          <a:ext cx="589932" cy="181173"/>
        </a:xfrm>
        <a:prstGeom xmlns:a="http://schemas.openxmlformats.org/drawingml/2006/main" prst="roundRect">
          <a:avLst/>
        </a:prstGeom>
        <a:ln xmlns:a="http://schemas.openxmlformats.org/drawingml/2006/main" w="6350" cap="rnd">
          <a:solidFill>
            <a:schemeClr val="tx1"/>
          </a:solidFill>
        </a:ln>
      </cdr:spPr>
      <cdr:txBody>
        <a:bodyPr xmlns:a="http://schemas.openxmlformats.org/drawingml/2006/main" vertOverflow="clip" wrap="square" rtlCol="0" anchor="ct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+48,3%</a:t>
          </a:r>
        </a:p>
      </cdr:txBody>
    </cdr:sp>
  </cdr:relSizeAnchor>
  <cdr:relSizeAnchor xmlns:cdr="http://schemas.openxmlformats.org/drawingml/2006/chartDrawing">
    <cdr:from>
      <cdr:x>0.58446</cdr:x>
      <cdr:y>0.22929</cdr:y>
    </cdr:from>
    <cdr:to>
      <cdr:x>0.67532</cdr:x>
      <cdr:y>0.30799</cdr:y>
    </cdr:to>
    <cdr:sp macro="" textlink="">
      <cdr:nvSpPr>
        <cdr:cNvPr id="50" name="Надпись 49"/>
        <cdr:cNvSpPr txBox="1"/>
      </cdr:nvSpPr>
      <cdr:spPr>
        <a:xfrm xmlns:a="http://schemas.openxmlformats.org/drawingml/2006/main">
          <a:off x="3614821" y="504938"/>
          <a:ext cx="561960" cy="173311"/>
        </a:xfrm>
        <a:prstGeom xmlns:a="http://schemas.openxmlformats.org/drawingml/2006/main" prst="roundRect">
          <a:avLst/>
        </a:prstGeom>
        <a:ln xmlns:a="http://schemas.openxmlformats.org/drawingml/2006/main" w="6350">
          <a:solidFill>
            <a:schemeClr val="tx1"/>
          </a:solidFill>
        </a:ln>
      </cdr:spPr>
      <cdr:txBody>
        <a:bodyPr xmlns:a="http://schemas.openxmlformats.org/drawingml/2006/main" vertOverflow="clip" wrap="square" rtlCol="0" anchor="ct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+56,4%</a:t>
          </a:r>
        </a:p>
      </cdr:txBody>
    </cdr:sp>
  </cdr:relSizeAnchor>
  <cdr:relSizeAnchor xmlns:cdr="http://schemas.openxmlformats.org/drawingml/2006/chartDrawing">
    <cdr:from>
      <cdr:x>0.4337</cdr:x>
      <cdr:y>0.39949</cdr:y>
    </cdr:from>
    <cdr:to>
      <cdr:x>0.4337</cdr:x>
      <cdr:y>0.46254</cdr:y>
    </cdr:to>
    <cdr:cxnSp macro="">
      <cdr:nvCxnSpPr>
        <cdr:cNvPr id="19" name="Прямая со стрелкой 18"/>
        <cdr:cNvCxnSpPr/>
      </cdr:nvCxnSpPr>
      <cdr:spPr>
        <a:xfrm xmlns:a="http://schemas.openxmlformats.org/drawingml/2006/main">
          <a:off x="2682378" y="879746"/>
          <a:ext cx="0" cy="138847"/>
        </a:xfrm>
        <a:prstGeom xmlns:a="http://schemas.openxmlformats.org/drawingml/2006/main" prst="straightConnector1">
          <a:avLst/>
        </a:prstGeom>
        <a:ln xmlns:a="http://schemas.openxmlformats.org/drawingml/2006/main" w="63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0.67185</cdr:x>
      <cdr:y>0.32433</cdr:y>
    </cdr:from>
    <cdr:to>
      <cdr:x>0.67185</cdr:x>
      <cdr:y>0.38738</cdr:y>
    </cdr:to>
    <cdr:cxnSp macro="">
      <cdr:nvCxnSpPr>
        <cdr:cNvPr id="20" name="Прямая со стрелкой 19"/>
        <cdr:cNvCxnSpPr/>
      </cdr:nvCxnSpPr>
      <cdr:spPr>
        <a:xfrm xmlns:a="http://schemas.openxmlformats.org/drawingml/2006/main">
          <a:off x="4155347" y="714244"/>
          <a:ext cx="0" cy="138847"/>
        </a:xfrm>
        <a:prstGeom xmlns:a="http://schemas.openxmlformats.org/drawingml/2006/main" prst="straightConnector1">
          <a:avLst/>
        </a:prstGeom>
        <a:ln xmlns:a="http://schemas.openxmlformats.org/drawingml/2006/main" w="63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0.79444</cdr:x>
      <cdr:y>0.10203</cdr:y>
    </cdr:from>
    <cdr:to>
      <cdr:x>1</cdr:x>
      <cdr:y>0.30566</cdr:y>
    </cdr:to>
    <cdr:sp macro="" textlink="">
      <cdr:nvSpPr>
        <cdr:cNvPr id="2" name="Надпись 1"/>
        <cdr:cNvSpPr txBox="1"/>
      </cdr:nvSpPr>
      <cdr:spPr>
        <a:xfrm xmlns:a="http://schemas.openxmlformats.org/drawingml/2006/main">
          <a:off x="4986670" y="286692"/>
          <a:ext cx="1290305" cy="572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 - </a:t>
          </a:r>
          <a:r>
            <a:rPr lang="ru-RU" sz="1000">
              <a:latin typeface="Times New Roman" panose="02020603050405020304" pitchFamily="18" charset="0"/>
              <a:cs typeface="Times New Roman" panose="02020603050405020304" pitchFamily="18" charset="0"/>
            </a:rPr>
            <a:t>удельный</a:t>
          </a:r>
          <a:r>
            <a:rPr lang="ru-RU" sz="1000" baseline="0">
              <a:latin typeface="Times New Roman" panose="02020603050405020304" pitchFamily="18" charset="0"/>
              <a:cs typeface="Times New Roman" panose="02020603050405020304" pitchFamily="18" charset="0"/>
            </a:rPr>
            <a:t> вес в общем объеме экспорта, %</a:t>
          </a:r>
          <a:endParaRPr lang="ru-RU" sz="1000">
            <a:latin typeface="Times New Roman" panose="02020603050405020304" pitchFamily="18"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0.02075</cdr:x>
      <cdr:y>0.87786</cdr:y>
    </cdr:from>
    <cdr:to>
      <cdr:x>0.72313</cdr:x>
      <cdr:y>1</cdr:y>
    </cdr:to>
    <cdr:sp macro="" textlink="">
      <cdr:nvSpPr>
        <cdr:cNvPr id="2" name="Надпись 1"/>
        <cdr:cNvSpPr txBox="1"/>
      </cdr:nvSpPr>
      <cdr:spPr>
        <a:xfrm xmlns:a="http://schemas.openxmlformats.org/drawingml/2006/main">
          <a:off x="130610" y="1847917"/>
          <a:ext cx="4420864" cy="2571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0">
              <a:latin typeface="Times New Roman" panose="02020603050405020304" pitchFamily="18" charset="0"/>
              <a:cs typeface="Times New Roman" panose="02020603050405020304" pitchFamily="18" charset="0"/>
            </a:rPr>
            <a:t>* - удельный вес в</a:t>
          </a:r>
          <a:r>
            <a:rPr lang="ru-RU" sz="1000" b="0" baseline="0">
              <a:latin typeface="Times New Roman" panose="02020603050405020304" pitchFamily="18" charset="0"/>
              <a:cs typeface="Times New Roman" panose="02020603050405020304" pitchFamily="18" charset="0"/>
            </a:rPr>
            <a:t> общем объеме экспорта, %</a:t>
          </a:r>
          <a:endParaRPr lang="ru-RU" sz="1000" b="0">
            <a:latin typeface="Times New Roman" panose="02020603050405020304" pitchFamily="18" charset="0"/>
            <a:cs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0.82157</cdr:x>
      <cdr:y>0.06878</cdr:y>
    </cdr:from>
    <cdr:to>
      <cdr:x>0.99418</cdr:x>
      <cdr:y>0.26446</cdr:y>
    </cdr:to>
    <cdr:sp macro="" textlink="">
      <cdr:nvSpPr>
        <cdr:cNvPr id="2" name="Надпись 1"/>
        <cdr:cNvSpPr txBox="1"/>
      </cdr:nvSpPr>
      <cdr:spPr>
        <a:xfrm xmlns:a="http://schemas.openxmlformats.org/drawingml/2006/main">
          <a:off x="5305646" y="193569"/>
          <a:ext cx="1114719" cy="5507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50">
              <a:latin typeface="Times New Roman" panose="02020603050405020304" pitchFamily="18" charset="0"/>
              <a:cs typeface="Times New Roman" panose="02020603050405020304" pitchFamily="18" charset="0"/>
            </a:rPr>
            <a:t>* - </a:t>
          </a:r>
          <a:r>
            <a:rPr lang="ru-RU" sz="950">
              <a:latin typeface="Times New Roman" panose="02020603050405020304" pitchFamily="18" charset="0"/>
              <a:cs typeface="Times New Roman" panose="02020603050405020304" pitchFamily="18" charset="0"/>
            </a:rPr>
            <a:t>удельный</a:t>
          </a:r>
          <a:r>
            <a:rPr lang="ru-RU" sz="950" baseline="0">
              <a:latin typeface="Times New Roman" panose="02020603050405020304" pitchFamily="18" charset="0"/>
              <a:cs typeface="Times New Roman" panose="02020603050405020304" pitchFamily="18" charset="0"/>
            </a:rPr>
            <a:t> вес в общем объеме импорта, %</a:t>
          </a:r>
          <a:endParaRPr lang="ru-RU" sz="950">
            <a:latin typeface="Times New Roman" panose="02020603050405020304" pitchFamily="18"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0.08186</cdr:x>
      <cdr:y>0.87561</cdr:y>
    </cdr:from>
    <cdr:to>
      <cdr:x>0.67521</cdr:x>
      <cdr:y>1</cdr:y>
    </cdr:to>
    <cdr:sp macro="" textlink="">
      <cdr:nvSpPr>
        <cdr:cNvPr id="2" name="Надпись 1"/>
        <cdr:cNvSpPr txBox="1"/>
      </cdr:nvSpPr>
      <cdr:spPr>
        <a:xfrm xmlns:a="http://schemas.openxmlformats.org/drawingml/2006/main">
          <a:off x="531684" y="1634684"/>
          <a:ext cx="3854054" cy="2322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50" b="0">
              <a:latin typeface="Times New Roman" panose="02020603050405020304" pitchFamily="18" charset="0"/>
              <a:cs typeface="Times New Roman" panose="02020603050405020304" pitchFamily="18" charset="0"/>
            </a:rPr>
            <a:t>*- удельный вес страны в общем импорте, %</a:t>
          </a:r>
        </a:p>
      </cdr:txBody>
    </cdr:sp>
  </cdr:relSizeAnchor>
</c:userShapes>
</file>

<file path=word/drawings/drawing16.xml><?xml version="1.0" encoding="utf-8"?>
<c:userShapes xmlns:c="http://schemas.openxmlformats.org/drawingml/2006/chart">
  <cdr:relSizeAnchor xmlns:cdr="http://schemas.openxmlformats.org/drawingml/2006/chartDrawing">
    <cdr:from>
      <cdr:x>0.08445</cdr:x>
      <cdr:y>0.92134</cdr:y>
    </cdr:from>
    <cdr:to>
      <cdr:x>0.97149</cdr:x>
      <cdr:y>0.99494</cdr:y>
    </cdr:to>
    <cdr:sp macro="" textlink="">
      <cdr:nvSpPr>
        <cdr:cNvPr id="2" name="TextBox 1"/>
        <cdr:cNvSpPr txBox="1"/>
      </cdr:nvSpPr>
      <cdr:spPr>
        <a:xfrm xmlns:a="http://schemas.openxmlformats.org/drawingml/2006/main">
          <a:off x="262238" y="2585913"/>
          <a:ext cx="2754392" cy="2065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0">
              <a:latin typeface="Times New Roman" pitchFamily="18" charset="0"/>
              <a:cs typeface="Times New Roman" pitchFamily="18" charset="0"/>
            </a:rPr>
            <a:t>*-  удельный вес в общем объеме инвестиций, %</a:t>
          </a:r>
        </a:p>
      </cdr:txBody>
    </cdr:sp>
  </cdr:relSizeAnchor>
  <cdr:relSizeAnchor xmlns:cdr="http://schemas.openxmlformats.org/drawingml/2006/chartDrawing">
    <cdr:from>
      <cdr:x>0.24427</cdr:x>
      <cdr:y>0</cdr:y>
    </cdr:from>
    <cdr:to>
      <cdr:x>0.98473</cdr:x>
      <cdr:y>0.07366</cdr:y>
    </cdr:to>
    <cdr:sp macro="" textlink="">
      <cdr:nvSpPr>
        <cdr:cNvPr id="3" name="TextBox 1"/>
        <cdr:cNvSpPr txBox="1"/>
      </cdr:nvSpPr>
      <cdr:spPr>
        <a:xfrm xmlns:a="http://schemas.openxmlformats.org/drawingml/2006/main">
          <a:off x="758495" y="0"/>
          <a:ext cx="2299239" cy="2067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ru-RU" sz="1400" b="1" i="1">
              <a:latin typeface="Times New Roman" pitchFamily="18" charset="0"/>
              <a:cs typeface="Times New Roman" pitchFamily="18" charset="0"/>
            </a:rPr>
            <a:t>Рисунок  28</a:t>
          </a:r>
        </a:p>
      </cdr:txBody>
    </cdr:sp>
  </cdr:relSizeAnchor>
  <cdr:relSizeAnchor xmlns:cdr="http://schemas.openxmlformats.org/drawingml/2006/chartDrawing">
    <cdr:from>
      <cdr:x>0.28213</cdr:x>
      <cdr:y>0.27673</cdr:y>
    </cdr:from>
    <cdr:to>
      <cdr:x>0.28213</cdr:x>
      <cdr:y>0.38722</cdr:y>
    </cdr:to>
    <cdr:cxnSp macro="">
      <cdr:nvCxnSpPr>
        <cdr:cNvPr id="6" name="Прямая соединительная линия 5"/>
        <cdr:cNvCxnSpPr/>
      </cdr:nvCxnSpPr>
      <cdr:spPr>
        <a:xfrm xmlns:a="http://schemas.openxmlformats.org/drawingml/2006/main">
          <a:off x="876069" y="776685"/>
          <a:ext cx="0" cy="31011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0.28096</cdr:x>
      <cdr:y>0.2752</cdr:y>
    </cdr:from>
    <cdr:to>
      <cdr:x>0.67848</cdr:x>
      <cdr:y>0.2752</cdr:y>
    </cdr:to>
    <cdr:cxnSp macro="">
      <cdr:nvCxnSpPr>
        <cdr:cNvPr id="9" name="Прямая соединительная линия 8"/>
        <cdr:cNvCxnSpPr/>
      </cdr:nvCxnSpPr>
      <cdr:spPr>
        <a:xfrm xmlns:a="http://schemas.openxmlformats.org/drawingml/2006/main">
          <a:off x="872412" y="772400"/>
          <a:ext cx="123436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0.36667</cdr:x>
      <cdr:y>0.21069</cdr:y>
    </cdr:from>
    <cdr:to>
      <cdr:x>0.54335</cdr:x>
      <cdr:y>0.27094</cdr:y>
    </cdr:to>
    <cdr:sp macro="" textlink="">
      <cdr:nvSpPr>
        <cdr:cNvPr id="13" name="Надпись 12"/>
        <cdr:cNvSpPr txBox="1"/>
      </cdr:nvSpPr>
      <cdr:spPr>
        <a:xfrm xmlns:a="http://schemas.openxmlformats.org/drawingml/2006/main">
          <a:off x="1138576" y="591331"/>
          <a:ext cx="548618" cy="169123"/>
        </a:xfrm>
        <a:prstGeom xmlns:a="http://schemas.openxmlformats.org/drawingml/2006/main" prst="roundRect">
          <a:avLst/>
        </a:prstGeom>
        <a:ln xmlns:a="http://schemas.openxmlformats.org/drawingml/2006/main">
          <a:solidFill>
            <a:schemeClr val="tx1"/>
          </a:solidFill>
        </a:ln>
        <a:effectLst xmlns:a="http://schemas.openxmlformats.org/drawingml/2006/main"/>
      </cdr:spPr>
      <cdr:txBody>
        <a:bodyPr xmlns:a="http://schemas.openxmlformats.org/drawingml/2006/main" vertOverflow="clip" wrap="square" rIns="36000" rtlCol="0" anchor="ct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+27, 4%</a:t>
          </a:r>
        </a:p>
      </cdr:txBody>
    </cdr:sp>
  </cdr:relSizeAnchor>
  <cdr:relSizeAnchor xmlns:cdr="http://schemas.openxmlformats.org/drawingml/2006/chartDrawing">
    <cdr:from>
      <cdr:x>0.67737</cdr:x>
      <cdr:y>0.27504</cdr:y>
    </cdr:from>
    <cdr:to>
      <cdr:x>0.67737</cdr:x>
      <cdr:y>0.31674</cdr:y>
    </cdr:to>
    <cdr:cxnSp macro="">
      <cdr:nvCxnSpPr>
        <cdr:cNvPr id="8" name="Прямая со стрелкой 7"/>
        <cdr:cNvCxnSpPr/>
      </cdr:nvCxnSpPr>
      <cdr:spPr>
        <a:xfrm xmlns:a="http://schemas.openxmlformats.org/drawingml/2006/main">
          <a:off x="2103328" y="771961"/>
          <a:ext cx="0" cy="117043"/>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0.49285</cdr:x>
      <cdr:y>0.63134</cdr:y>
    </cdr:from>
    <cdr:to>
      <cdr:x>0.49285</cdr:x>
      <cdr:y>0.85594</cdr:y>
    </cdr:to>
    <cdr:cxnSp macro="">
      <cdr:nvCxnSpPr>
        <cdr:cNvPr id="7" name="Прямая соединительная линия 6"/>
        <cdr:cNvCxnSpPr/>
      </cdr:nvCxnSpPr>
      <cdr:spPr>
        <a:xfrm xmlns:a="http://schemas.openxmlformats.org/drawingml/2006/main">
          <a:off x="2924617" y="1316956"/>
          <a:ext cx="0" cy="46851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0.30198</cdr:x>
      <cdr:y>0.86892</cdr:y>
    </cdr:from>
    <cdr:to>
      <cdr:x>0.41315</cdr:x>
      <cdr:y>0.96313</cdr:y>
    </cdr:to>
    <cdr:sp macro="" textlink="">
      <cdr:nvSpPr>
        <cdr:cNvPr id="6" name="Надпись 1"/>
        <cdr:cNvSpPr txBox="1">
          <a:spLocks xmlns:a="http://schemas.openxmlformats.org/drawingml/2006/main" noChangeArrowheads="1"/>
        </cdr:cNvSpPr>
      </cdr:nvSpPr>
      <cdr:spPr bwMode="auto">
        <a:xfrm xmlns:a="http://schemas.openxmlformats.org/drawingml/2006/main">
          <a:off x="1793875" y="2020570"/>
          <a:ext cx="660400" cy="21907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spcAft>
              <a:spcPts val="0"/>
            </a:spcAft>
          </a:pPr>
          <a:r>
            <a:rPr lang="ru-RU" sz="900" b="0">
              <a:effectLst/>
              <a:latin typeface="Times New Roman" panose="02020603050405020304" pitchFamily="18" charset="0"/>
              <a:ea typeface="Times New Roman" panose="02020603050405020304" pitchFamily="18" charset="0"/>
            </a:rPr>
            <a:t>2020 год</a:t>
          </a:r>
          <a:endParaRPr lang="ru-RU" sz="1200" b="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0.72528</cdr:x>
      <cdr:y>0.86073</cdr:y>
    </cdr:from>
    <cdr:to>
      <cdr:x>0.83645</cdr:x>
      <cdr:y>0.95494</cdr:y>
    </cdr:to>
    <cdr:sp macro="" textlink="">
      <cdr:nvSpPr>
        <cdr:cNvPr id="8" name="Надпись 1"/>
        <cdr:cNvSpPr txBox="1">
          <a:spLocks xmlns:a="http://schemas.openxmlformats.org/drawingml/2006/main" noChangeArrowheads="1"/>
        </cdr:cNvSpPr>
      </cdr:nvSpPr>
      <cdr:spPr bwMode="auto">
        <a:xfrm xmlns:a="http://schemas.openxmlformats.org/drawingml/2006/main">
          <a:off x="4308475" y="2001520"/>
          <a:ext cx="660400" cy="21907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spcAft>
              <a:spcPts val="0"/>
            </a:spcAft>
          </a:pPr>
          <a:r>
            <a:rPr lang="ru-RU" sz="900" b="0">
              <a:effectLst/>
              <a:latin typeface="Times New Roman" panose="02020603050405020304" pitchFamily="18" charset="0"/>
              <a:ea typeface="Times New Roman" panose="02020603050405020304" pitchFamily="18" charset="0"/>
            </a:rPr>
            <a:t>2021 год</a:t>
          </a:r>
          <a:endParaRPr lang="ru-RU" sz="1200" b="0">
            <a:effectLst/>
            <a:latin typeface="Times New Roman" panose="02020603050405020304" pitchFamily="18" charset="0"/>
            <a:ea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0.47623</cdr:x>
      <cdr:y>0.69312</cdr:y>
    </cdr:from>
    <cdr:to>
      <cdr:x>0.47623</cdr:x>
      <cdr:y>0.91772</cdr:y>
    </cdr:to>
    <cdr:cxnSp macro="">
      <cdr:nvCxnSpPr>
        <cdr:cNvPr id="7" name="Прямая соединительная линия 6"/>
        <cdr:cNvCxnSpPr/>
      </cdr:nvCxnSpPr>
      <cdr:spPr>
        <a:xfrm xmlns:a="http://schemas.openxmlformats.org/drawingml/2006/main">
          <a:off x="2998346" y="1683504"/>
          <a:ext cx="0" cy="54552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0.74787</cdr:x>
      <cdr:y>0.04935</cdr:y>
    </cdr:from>
    <cdr:to>
      <cdr:x>0.8016</cdr:x>
      <cdr:y>0.08469</cdr:y>
    </cdr:to>
    <cdr:sp macro="" textlink="">
      <cdr:nvSpPr>
        <cdr:cNvPr id="2" name="Прямоугольник: скругленные углы 1"/>
        <cdr:cNvSpPr>
          <a:spLocks xmlns:a="http://schemas.openxmlformats.org/drawingml/2006/main" noChangeArrowheads="1"/>
        </cdr:cNvSpPr>
      </cdr:nvSpPr>
      <cdr:spPr bwMode="auto">
        <a:xfrm xmlns:a="http://schemas.openxmlformats.org/drawingml/2006/main">
          <a:off x="4521477" y="170161"/>
          <a:ext cx="324843" cy="121854"/>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0.44182</cdr:x>
      <cdr:y>0.15027</cdr:y>
    </cdr:from>
    <cdr:to>
      <cdr:x>0.49555</cdr:x>
      <cdr:y>0.18561</cdr:y>
    </cdr:to>
    <cdr:sp macro="" textlink="">
      <cdr:nvSpPr>
        <cdr:cNvPr id="3" name="Прямоугольник: скругленные углы 2"/>
        <cdr:cNvSpPr>
          <a:spLocks xmlns:a="http://schemas.openxmlformats.org/drawingml/2006/main" noChangeArrowheads="1"/>
        </cdr:cNvSpPr>
      </cdr:nvSpPr>
      <cdr:spPr bwMode="auto">
        <a:xfrm xmlns:a="http://schemas.openxmlformats.org/drawingml/2006/main">
          <a:off x="2671176" y="518147"/>
          <a:ext cx="324843" cy="121854"/>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0.59882</cdr:x>
      <cdr:y>0.09566</cdr:y>
    </cdr:from>
    <cdr:to>
      <cdr:x>0.65255</cdr:x>
      <cdr:y>0.13099</cdr:y>
    </cdr:to>
    <cdr:sp macro="" textlink="">
      <cdr:nvSpPr>
        <cdr:cNvPr id="4" name="Прямоугольник: скругленные углы 3"/>
        <cdr:cNvSpPr>
          <a:spLocks xmlns:a="http://schemas.openxmlformats.org/drawingml/2006/main" noChangeArrowheads="1"/>
        </cdr:cNvSpPr>
      </cdr:nvSpPr>
      <cdr:spPr bwMode="auto">
        <a:xfrm xmlns:a="http://schemas.openxmlformats.org/drawingml/2006/main">
          <a:off x="3620339" y="329840"/>
          <a:ext cx="324843" cy="12182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0.93244</cdr:x>
      <cdr:y>0.24665</cdr:y>
    </cdr:from>
    <cdr:to>
      <cdr:x>0.98617</cdr:x>
      <cdr:y>0.28198</cdr:y>
    </cdr:to>
    <cdr:sp macro="" textlink="">
      <cdr:nvSpPr>
        <cdr:cNvPr id="5" name="Прямоугольник: скругленные углы 4"/>
        <cdr:cNvSpPr>
          <a:spLocks xmlns:a="http://schemas.openxmlformats.org/drawingml/2006/main" noChangeArrowheads="1"/>
        </cdr:cNvSpPr>
      </cdr:nvSpPr>
      <cdr:spPr bwMode="auto">
        <a:xfrm xmlns:a="http://schemas.openxmlformats.org/drawingml/2006/main">
          <a:off x="5637351" y="850470"/>
          <a:ext cx="324843" cy="12182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0.61497</cdr:x>
      <cdr:y>0.19478</cdr:y>
    </cdr:from>
    <cdr:to>
      <cdr:x>0.6687</cdr:x>
      <cdr:y>0.23012</cdr:y>
    </cdr:to>
    <cdr:sp macro="" textlink="">
      <cdr:nvSpPr>
        <cdr:cNvPr id="6" name="Прямоугольник: скругленные углы 5"/>
        <cdr:cNvSpPr>
          <a:spLocks xmlns:a="http://schemas.openxmlformats.org/drawingml/2006/main" noChangeArrowheads="1"/>
        </cdr:cNvSpPr>
      </cdr:nvSpPr>
      <cdr:spPr bwMode="auto">
        <a:xfrm xmlns:a="http://schemas.openxmlformats.org/drawingml/2006/main">
          <a:off x="4087047" y="693871"/>
          <a:ext cx="357084" cy="125893"/>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0.60972</cdr:x>
      <cdr:y>0.34852</cdr:y>
    </cdr:from>
    <cdr:to>
      <cdr:x>0.66345</cdr:x>
      <cdr:y>0.38385</cdr:y>
    </cdr:to>
    <cdr:sp macro="" textlink="">
      <cdr:nvSpPr>
        <cdr:cNvPr id="7" name="Прямоугольник: скругленные углы 6"/>
        <cdr:cNvSpPr>
          <a:spLocks xmlns:a="http://schemas.openxmlformats.org/drawingml/2006/main" noChangeArrowheads="1"/>
        </cdr:cNvSpPr>
      </cdr:nvSpPr>
      <cdr:spPr bwMode="auto">
        <a:xfrm xmlns:a="http://schemas.openxmlformats.org/drawingml/2006/main">
          <a:off x="4052137" y="1241548"/>
          <a:ext cx="357084" cy="125858"/>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0.66006</cdr:x>
      <cdr:y>0.29403</cdr:y>
    </cdr:from>
    <cdr:to>
      <cdr:x>0.71379</cdr:x>
      <cdr:y>0.32937</cdr:y>
    </cdr:to>
    <cdr:sp macro="" textlink="">
      <cdr:nvSpPr>
        <cdr:cNvPr id="8" name="Прямоугольник: скругленные углы 7"/>
        <cdr:cNvSpPr>
          <a:spLocks xmlns:a="http://schemas.openxmlformats.org/drawingml/2006/main" noChangeArrowheads="1"/>
        </cdr:cNvSpPr>
      </cdr:nvSpPr>
      <cdr:spPr bwMode="auto">
        <a:xfrm xmlns:a="http://schemas.openxmlformats.org/drawingml/2006/main">
          <a:off x="3990619" y="1013847"/>
          <a:ext cx="324843" cy="12182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0.49319</cdr:x>
      <cdr:y>0.44543</cdr:y>
    </cdr:from>
    <cdr:to>
      <cdr:x>0.54692</cdr:x>
      <cdr:y>0.48076</cdr:y>
    </cdr:to>
    <cdr:sp macro="" textlink="">
      <cdr:nvSpPr>
        <cdr:cNvPr id="9" name="Прямоугольник: скругленные углы 8"/>
        <cdr:cNvSpPr>
          <a:spLocks xmlns:a="http://schemas.openxmlformats.org/drawingml/2006/main" noChangeArrowheads="1"/>
        </cdr:cNvSpPr>
      </cdr:nvSpPr>
      <cdr:spPr bwMode="auto">
        <a:xfrm xmlns:a="http://schemas.openxmlformats.org/drawingml/2006/main">
          <a:off x="2981724" y="1535857"/>
          <a:ext cx="324842" cy="121819"/>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0.60892</cdr:x>
      <cdr:y>0.40407</cdr:y>
    </cdr:from>
    <cdr:to>
      <cdr:x>0.66265</cdr:x>
      <cdr:y>0.43941</cdr:y>
    </cdr:to>
    <cdr:sp macro="" textlink="">
      <cdr:nvSpPr>
        <cdr:cNvPr id="10" name="Прямоугольник: скругленные углы 9"/>
        <cdr:cNvSpPr>
          <a:spLocks xmlns:a="http://schemas.openxmlformats.org/drawingml/2006/main" noChangeArrowheads="1"/>
        </cdr:cNvSpPr>
      </cdr:nvSpPr>
      <cdr:spPr bwMode="auto">
        <a:xfrm xmlns:a="http://schemas.openxmlformats.org/drawingml/2006/main">
          <a:off x="3681424" y="1393245"/>
          <a:ext cx="324843" cy="121854"/>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0.58648</cdr:x>
      <cdr:y>0.59926</cdr:y>
    </cdr:from>
    <cdr:to>
      <cdr:x>0.64021</cdr:x>
      <cdr:y>0.6346</cdr:y>
    </cdr:to>
    <cdr:sp macro="" textlink="">
      <cdr:nvSpPr>
        <cdr:cNvPr id="11" name="Прямоугольник: скругленные углы 10"/>
        <cdr:cNvSpPr>
          <a:spLocks xmlns:a="http://schemas.openxmlformats.org/drawingml/2006/main" noChangeArrowheads="1"/>
        </cdr:cNvSpPr>
      </cdr:nvSpPr>
      <cdr:spPr bwMode="auto">
        <a:xfrm xmlns:a="http://schemas.openxmlformats.org/drawingml/2006/main">
          <a:off x="3545734" y="2066278"/>
          <a:ext cx="324843" cy="121855"/>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0.62378</cdr:x>
      <cdr:y>0.54488</cdr:y>
    </cdr:from>
    <cdr:to>
      <cdr:x>0.67751</cdr:x>
      <cdr:y>0.58022</cdr:y>
    </cdr:to>
    <cdr:sp macro="" textlink="">
      <cdr:nvSpPr>
        <cdr:cNvPr id="12" name="Прямоугольник: скругленные углы 11"/>
        <cdr:cNvSpPr>
          <a:spLocks xmlns:a="http://schemas.openxmlformats.org/drawingml/2006/main" noChangeArrowheads="1"/>
        </cdr:cNvSpPr>
      </cdr:nvSpPr>
      <cdr:spPr bwMode="auto">
        <a:xfrm xmlns:a="http://schemas.openxmlformats.org/drawingml/2006/main">
          <a:off x="3771249" y="1878782"/>
          <a:ext cx="324843" cy="121854"/>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0.5049</cdr:x>
      <cdr:y>0.64844</cdr:y>
    </cdr:from>
    <cdr:to>
      <cdr:x>0.55863</cdr:x>
      <cdr:y>0.68377</cdr:y>
    </cdr:to>
    <cdr:sp macro="" textlink="">
      <cdr:nvSpPr>
        <cdr:cNvPr id="13" name="Прямоугольник: скругленные углы 12"/>
        <cdr:cNvSpPr>
          <a:spLocks xmlns:a="http://schemas.openxmlformats.org/drawingml/2006/main" noChangeArrowheads="1"/>
        </cdr:cNvSpPr>
      </cdr:nvSpPr>
      <cdr:spPr bwMode="auto">
        <a:xfrm xmlns:a="http://schemas.openxmlformats.org/drawingml/2006/main">
          <a:off x="3355501" y="2309975"/>
          <a:ext cx="357084" cy="125858"/>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0.47907</cdr:x>
      <cdr:y>0.69817</cdr:y>
    </cdr:from>
    <cdr:to>
      <cdr:x>0.5328</cdr:x>
      <cdr:y>0.73351</cdr:y>
    </cdr:to>
    <cdr:sp macro="" textlink="">
      <cdr:nvSpPr>
        <cdr:cNvPr id="14" name="Прямоугольник: скругленные углы 13"/>
        <cdr:cNvSpPr>
          <a:spLocks xmlns:a="http://schemas.openxmlformats.org/drawingml/2006/main" noChangeArrowheads="1"/>
        </cdr:cNvSpPr>
      </cdr:nvSpPr>
      <cdr:spPr bwMode="auto">
        <a:xfrm xmlns:a="http://schemas.openxmlformats.org/drawingml/2006/main">
          <a:off x="3183870" y="2487141"/>
          <a:ext cx="357085" cy="125893"/>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0.8027</cdr:x>
      <cdr:y>0.85055</cdr:y>
    </cdr:from>
    <cdr:to>
      <cdr:x>0.85644</cdr:x>
      <cdr:y>0.88588</cdr:y>
    </cdr:to>
    <cdr:sp macro="" textlink="">
      <cdr:nvSpPr>
        <cdr:cNvPr id="15" name="Прямоугольник: скругленные углы 14"/>
        <cdr:cNvSpPr>
          <a:spLocks xmlns:a="http://schemas.openxmlformats.org/drawingml/2006/main" noChangeArrowheads="1"/>
        </cdr:cNvSpPr>
      </cdr:nvSpPr>
      <cdr:spPr bwMode="auto">
        <a:xfrm xmlns:a="http://schemas.openxmlformats.org/drawingml/2006/main">
          <a:off x="5334664" y="3029942"/>
          <a:ext cx="357151" cy="125858"/>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0.58</cdr:x>
      <cdr:y>0.48829</cdr:y>
    </cdr:from>
    <cdr:to>
      <cdr:x>0.63374</cdr:x>
      <cdr:y>0.52363</cdr:y>
    </cdr:to>
    <cdr:sp macro="" textlink="">
      <cdr:nvSpPr>
        <cdr:cNvPr id="17" name="Прямоугольник: скругленные углы 16"/>
        <cdr:cNvSpPr>
          <a:spLocks xmlns:a="http://schemas.openxmlformats.org/drawingml/2006/main" noChangeArrowheads="1"/>
        </cdr:cNvSpPr>
      </cdr:nvSpPr>
      <cdr:spPr bwMode="auto">
        <a:xfrm xmlns:a="http://schemas.openxmlformats.org/drawingml/2006/main">
          <a:off x="3506563" y="1683640"/>
          <a:ext cx="324903" cy="121854"/>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0.85764</cdr:x>
      <cdr:y>0.79529</cdr:y>
    </cdr:from>
    <cdr:to>
      <cdr:x>0.91138</cdr:x>
      <cdr:y>0.83062</cdr:y>
    </cdr:to>
    <cdr:sp macro="" textlink="">
      <cdr:nvSpPr>
        <cdr:cNvPr id="18" name="Прямоугольник: скругленные углы 17"/>
        <cdr:cNvSpPr>
          <a:spLocks xmlns:a="http://schemas.openxmlformats.org/drawingml/2006/main" noChangeArrowheads="1"/>
        </cdr:cNvSpPr>
      </cdr:nvSpPr>
      <cdr:spPr bwMode="auto">
        <a:xfrm xmlns:a="http://schemas.openxmlformats.org/drawingml/2006/main">
          <a:off x="5699789" y="2833092"/>
          <a:ext cx="357151" cy="125858"/>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0.674</cdr:x>
      <cdr:y>0.74052</cdr:y>
    </cdr:from>
    <cdr:to>
      <cdr:x>0.72773</cdr:x>
      <cdr:y>0.77585</cdr:y>
    </cdr:to>
    <cdr:sp macro="" textlink="">
      <cdr:nvSpPr>
        <cdr:cNvPr id="19" name="Прямоугольник: скругленные углы 18"/>
        <cdr:cNvSpPr>
          <a:spLocks xmlns:a="http://schemas.openxmlformats.org/drawingml/2006/main" noChangeArrowheads="1"/>
        </cdr:cNvSpPr>
      </cdr:nvSpPr>
      <cdr:spPr bwMode="auto">
        <a:xfrm xmlns:a="http://schemas.openxmlformats.org/drawingml/2006/main">
          <a:off x="4074892" y="2553354"/>
          <a:ext cx="324843" cy="121819"/>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0.87954</cdr:x>
      <cdr:y>0.07841</cdr:y>
    </cdr:from>
    <cdr:to>
      <cdr:x>0.87954</cdr:x>
      <cdr:y>0.91027</cdr:y>
    </cdr:to>
    <cdr:cxnSp macro="">
      <cdr:nvCxnSpPr>
        <cdr:cNvPr id="5" name="Прямая соединительная линия 4"/>
        <cdr:cNvCxnSpPr/>
      </cdr:nvCxnSpPr>
      <cdr:spPr>
        <a:xfrm xmlns:a="http://schemas.openxmlformats.org/drawingml/2006/main">
          <a:off x="5370612" y="255685"/>
          <a:ext cx="0" cy="271245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0.81798</cdr:x>
      <cdr:y>0.91049</cdr:y>
    </cdr:from>
    <cdr:to>
      <cdr:x>0.87942</cdr:x>
      <cdr:y>0.91049</cdr:y>
    </cdr:to>
    <cdr:cxnSp macro="">
      <cdr:nvCxnSpPr>
        <cdr:cNvPr id="11" name="Прямая со стрелкой 10"/>
        <cdr:cNvCxnSpPr/>
      </cdr:nvCxnSpPr>
      <cdr:spPr>
        <a:xfrm xmlns:a="http://schemas.openxmlformats.org/drawingml/2006/main" flipH="1">
          <a:off x="4994732" y="2968844"/>
          <a:ext cx="375162"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0.70318</cdr:x>
      <cdr:y>0.07818</cdr:y>
    </cdr:from>
    <cdr:to>
      <cdr:x>0.87851</cdr:x>
      <cdr:y>0.07818</cdr:y>
    </cdr:to>
    <cdr:cxnSp macro="">
      <cdr:nvCxnSpPr>
        <cdr:cNvPr id="6" name="Прямая соединительная линия 5"/>
        <cdr:cNvCxnSpPr/>
      </cdr:nvCxnSpPr>
      <cdr:spPr>
        <a:xfrm xmlns:a="http://schemas.openxmlformats.org/drawingml/2006/main">
          <a:off x="4293730" y="254929"/>
          <a:ext cx="107059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0.74466</cdr:x>
      <cdr:y>0.04554</cdr:y>
    </cdr:from>
    <cdr:to>
      <cdr:x>0.79839</cdr:x>
      <cdr:y>0.08088</cdr:y>
    </cdr:to>
    <cdr:sp macro="" textlink="">
      <cdr:nvSpPr>
        <cdr:cNvPr id="2" name="Прямоугольник: скругленные углы 1"/>
        <cdr:cNvSpPr>
          <a:spLocks xmlns:a="http://schemas.openxmlformats.org/drawingml/2006/main" noChangeArrowheads="1"/>
        </cdr:cNvSpPr>
      </cdr:nvSpPr>
      <cdr:spPr bwMode="auto">
        <a:xfrm xmlns:a="http://schemas.openxmlformats.org/drawingml/2006/main">
          <a:off x="4501627" y="151763"/>
          <a:ext cx="324809" cy="117769"/>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0.5549</cdr:x>
      <cdr:y>0.14936</cdr:y>
    </cdr:from>
    <cdr:to>
      <cdr:x>0.60863</cdr:x>
      <cdr:y>0.1847</cdr:y>
    </cdr:to>
    <cdr:sp macro="" textlink="">
      <cdr:nvSpPr>
        <cdr:cNvPr id="3" name="Прямоугольник: скругленные углы 2"/>
        <cdr:cNvSpPr>
          <a:spLocks xmlns:a="http://schemas.openxmlformats.org/drawingml/2006/main" noChangeArrowheads="1"/>
        </cdr:cNvSpPr>
      </cdr:nvSpPr>
      <cdr:spPr bwMode="auto">
        <a:xfrm xmlns:a="http://schemas.openxmlformats.org/drawingml/2006/main">
          <a:off x="3354497" y="497740"/>
          <a:ext cx="324808" cy="117769"/>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0.67357</cdr:x>
      <cdr:y>0.09579</cdr:y>
    </cdr:from>
    <cdr:to>
      <cdr:x>0.7273</cdr:x>
      <cdr:y>0.13113</cdr:y>
    </cdr:to>
    <cdr:sp macro="" textlink="">
      <cdr:nvSpPr>
        <cdr:cNvPr id="4" name="Прямоугольник: скругленные углы 3"/>
        <cdr:cNvSpPr>
          <a:spLocks xmlns:a="http://schemas.openxmlformats.org/drawingml/2006/main" noChangeArrowheads="1"/>
        </cdr:cNvSpPr>
      </cdr:nvSpPr>
      <cdr:spPr bwMode="auto">
        <a:xfrm xmlns:a="http://schemas.openxmlformats.org/drawingml/2006/main">
          <a:off x="4071876" y="319218"/>
          <a:ext cx="324809" cy="11777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0.85301</cdr:x>
      <cdr:y>0.24277</cdr:y>
    </cdr:from>
    <cdr:to>
      <cdr:x>0.90674</cdr:x>
      <cdr:y>0.2781</cdr:y>
    </cdr:to>
    <cdr:sp macro="" textlink="">
      <cdr:nvSpPr>
        <cdr:cNvPr id="5" name="Прямоугольник: скругленные углы 4"/>
        <cdr:cNvSpPr>
          <a:spLocks xmlns:a="http://schemas.openxmlformats.org/drawingml/2006/main" noChangeArrowheads="1"/>
        </cdr:cNvSpPr>
      </cdr:nvSpPr>
      <cdr:spPr bwMode="auto">
        <a:xfrm xmlns:a="http://schemas.openxmlformats.org/drawingml/2006/main">
          <a:off x="5156590" y="809038"/>
          <a:ext cx="324808" cy="117736"/>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0.66018</cdr:x>
      <cdr:y>0.1993</cdr:y>
    </cdr:from>
    <cdr:to>
      <cdr:x>0.71391</cdr:x>
      <cdr:y>0.23464</cdr:y>
    </cdr:to>
    <cdr:sp macro="" textlink="">
      <cdr:nvSpPr>
        <cdr:cNvPr id="6" name="Прямоугольник: скругленные углы 5"/>
        <cdr:cNvSpPr>
          <a:spLocks xmlns:a="http://schemas.openxmlformats.org/drawingml/2006/main" noChangeArrowheads="1"/>
        </cdr:cNvSpPr>
      </cdr:nvSpPr>
      <cdr:spPr bwMode="auto">
        <a:xfrm xmlns:a="http://schemas.openxmlformats.org/drawingml/2006/main">
          <a:off x="3990905" y="664155"/>
          <a:ext cx="324808" cy="11777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0.65983</cdr:x>
      <cdr:y>0.34804</cdr:y>
    </cdr:from>
    <cdr:to>
      <cdr:x>0.71356</cdr:x>
      <cdr:y>0.38337</cdr:y>
    </cdr:to>
    <cdr:sp macro="" textlink="">
      <cdr:nvSpPr>
        <cdr:cNvPr id="7" name="Прямоугольник: скругленные углы 6"/>
        <cdr:cNvSpPr>
          <a:spLocks xmlns:a="http://schemas.openxmlformats.org/drawingml/2006/main" noChangeArrowheads="1"/>
        </cdr:cNvSpPr>
      </cdr:nvSpPr>
      <cdr:spPr bwMode="auto">
        <a:xfrm xmlns:a="http://schemas.openxmlformats.org/drawingml/2006/main">
          <a:off x="3988782" y="1159847"/>
          <a:ext cx="324809" cy="117736"/>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0.68282</cdr:x>
      <cdr:y>0.29434</cdr:y>
    </cdr:from>
    <cdr:to>
      <cdr:x>0.73655</cdr:x>
      <cdr:y>0.32967</cdr:y>
    </cdr:to>
    <cdr:sp macro="" textlink="">
      <cdr:nvSpPr>
        <cdr:cNvPr id="8" name="Прямоугольник: скругленные углы 7"/>
        <cdr:cNvSpPr>
          <a:spLocks xmlns:a="http://schemas.openxmlformats.org/drawingml/2006/main" noChangeArrowheads="1"/>
        </cdr:cNvSpPr>
      </cdr:nvSpPr>
      <cdr:spPr bwMode="auto">
        <a:xfrm xmlns:a="http://schemas.openxmlformats.org/drawingml/2006/main">
          <a:off x="4127789" y="980882"/>
          <a:ext cx="324808" cy="117737"/>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0.73401</cdr:x>
      <cdr:y>0.44552</cdr:y>
    </cdr:from>
    <cdr:to>
      <cdr:x>0.78774</cdr:x>
      <cdr:y>0.48085</cdr:y>
    </cdr:to>
    <cdr:sp macro="" textlink="">
      <cdr:nvSpPr>
        <cdr:cNvPr id="9" name="Прямоугольник: скругленные углы 8"/>
        <cdr:cNvSpPr>
          <a:spLocks xmlns:a="http://schemas.openxmlformats.org/drawingml/2006/main" noChangeArrowheads="1"/>
        </cdr:cNvSpPr>
      </cdr:nvSpPr>
      <cdr:spPr bwMode="auto">
        <a:xfrm xmlns:a="http://schemas.openxmlformats.org/drawingml/2006/main">
          <a:off x="4437263" y="1484686"/>
          <a:ext cx="324809" cy="117737"/>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0.66114</cdr:x>
      <cdr:y>0.39209</cdr:y>
    </cdr:from>
    <cdr:to>
      <cdr:x>0.71487</cdr:x>
      <cdr:y>0.42743</cdr:y>
    </cdr:to>
    <cdr:sp macro="" textlink="">
      <cdr:nvSpPr>
        <cdr:cNvPr id="10" name="Прямоугольник: скругленные углы 9"/>
        <cdr:cNvSpPr>
          <a:spLocks xmlns:a="http://schemas.openxmlformats.org/drawingml/2006/main" noChangeArrowheads="1"/>
        </cdr:cNvSpPr>
      </cdr:nvSpPr>
      <cdr:spPr bwMode="auto">
        <a:xfrm xmlns:a="http://schemas.openxmlformats.org/drawingml/2006/main">
          <a:off x="3996708" y="1306640"/>
          <a:ext cx="324809" cy="11777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0.65346</cdr:x>
      <cdr:y>0.59686</cdr:y>
    </cdr:from>
    <cdr:to>
      <cdr:x>0.70719</cdr:x>
      <cdr:y>0.6322</cdr:y>
    </cdr:to>
    <cdr:sp macro="" textlink="">
      <cdr:nvSpPr>
        <cdr:cNvPr id="11" name="Прямоугольник: скругленные углы 10"/>
        <cdr:cNvSpPr>
          <a:spLocks xmlns:a="http://schemas.openxmlformats.org/drawingml/2006/main" noChangeArrowheads="1"/>
        </cdr:cNvSpPr>
      </cdr:nvSpPr>
      <cdr:spPr bwMode="auto">
        <a:xfrm xmlns:a="http://schemas.openxmlformats.org/drawingml/2006/main">
          <a:off x="3950304" y="1989030"/>
          <a:ext cx="324809" cy="11777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0.70948</cdr:x>
      <cdr:y>0.54055</cdr:y>
    </cdr:from>
    <cdr:to>
      <cdr:x>0.76321</cdr:x>
      <cdr:y>0.57589</cdr:y>
    </cdr:to>
    <cdr:sp macro="" textlink="">
      <cdr:nvSpPr>
        <cdr:cNvPr id="12" name="Прямоугольник: скругленные углы 11"/>
        <cdr:cNvSpPr>
          <a:spLocks xmlns:a="http://schemas.openxmlformats.org/drawingml/2006/main" noChangeArrowheads="1"/>
        </cdr:cNvSpPr>
      </cdr:nvSpPr>
      <cdr:spPr bwMode="auto">
        <a:xfrm xmlns:a="http://schemas.openxmlformats.org/drawingml/2006/main">
          <a:off x="4288954" y="1801380"/>
          <a:ext cx="324808" cy="11777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0.59678</cdr:x>
      <cdr:y>0.63605</cdr:y>
    </cdr:from>
    <cdr:to>
      <cdr:x>0.65051</cdr:x>
      <cdr:y>0.67138</cdr:y>
    </cdr:to>
    <cdr:sp macro="" textlink="">
      <cdr:nvSpPr>
        <cdr:cNvPr id="13" name="Прямоугольник: скругленные углы 12"/>
        <cdr:cNvSpPr>
          <a:spLocks xmlns:a="http://schemas.openxmlformats.org/drawingml/2006/main" noChangeArrowheads="1"/>
        </cdr:cNvSpPr>
      </cdr:nvSpPr>
      <cdr:spPr bwMode="auto">
        <a:xfrm xmlns:a="http://schemas.openxmlformats.org/drawingml/2006/main">
          <a:off x="3607647" y="2119630"/>
          <a:ext cx="324808" cy="117736"/>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0.93598</cdr:x>
      <cdr:y>0.66865</cdr:y>
    </cdr:from>
    <cdr:to>
      <cdr:x>0.98971</cdr:x>
      <cdr:y>0.70399</cdr:y>
    </cdr:to>
    <cdr:sp macro="" textlink="">
      <cdr:nvSpPr>
        <cdr:cNvPr id="14" name="Прямоугольник: скругленные углы 13"/>
        <cdr:cNvSpPr>
          <a:spLocks xmlns:a="http://schemas.openxmlformats.org/drawingml/2006/main" noChangeArrowheads="1"/>
        </cdr:cNvSpPr>
      </cdr:nvSpPr>
      <cdr:spPr bwMode="auto">
        <a:xfrm xmlns:a="http://schemas.openxmlformats.org/drawingml/2006/main">
          <a:off x="5658179" y="2228263"/>
          <a:ext cx="324808" cy="11777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0.78032</cdr:x>
      <cdr:y>0.79161</cdr:y>
    </cdr:from>
    <cdr:to>
      <cdr:x>0.83406</cdr:x>
      <cdr:y>0.82694</cdr:y>
    </cdr:to>
    <cdr:sp macro="" textlink="">
      <cdr:nvSpPr>
        <cdr:cNvPr id="15" name="Прямоугольник: скругленные углы 14"/>
        <cdr:cNvSpPr>
          <a:spLocks xmlns:a="http://schemas.openxmlformats.org/drawingml/2006/main" noChangeArrowheads="1"/>
        </cdr:cNvSpPr>
      </cdr:nvSpPr>
      <cdr:spPr bwMode="auto">
        <a:xfrm xmlns:a="http://schemas.openxmlformats.org/drawingml/2006/main">
          <a:off x="4717168" y="2638024"/>
          <a:ext cx="324869" cy="117737"/>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0.79713</cdr:x>
      <cdr:y>0.74528</cdr:y>
    </cdr:from>
    <cdr:to>
      <cdr:x>0.85087</cdr:x>
      <cdr:y>0.78062</cdr:y>
    </cdr:to>
    <cdr:sp macro="" textlink="">
      <cdr:nvSpPr>
        <cdr:cNvPr id="16" name="Прямоугольник: скругленные углы 15"/>
        <cdr:cNvSpPr>
          <a:spLocks xmlns:a="http://schemas.openxmlformats.org/drawingml/2006/main" noChangeArrowheads="1"/>
        </cdr:cNvSpPr>
      </cdr:nvSpPr>
      <cdr:spPr bwMode="auto">
        <a:xfrm xmlns:a="http://schemas.openxmlformats.org/drawingml/2006/main">
          <a:off x="4818791" y="2483625"/>
          <a:ext cx="324870" cy="11777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0.6678</cdr:x>
      <cdr:y>0.49256</cdr:y>
    </cdr:from>
    <cdr:to>
      <cdr:x>0.72154</cdr:x>
      <cdr:y>0.5279</cdr:y>
    </cdr:to>
    <cdr:sp macro="" textlink="">
      <cdr:nvSpPr>
        <cdr:cNvPr id="17" name="Прямоугольник: скругленные углы 16"/>
        <cdr:cNvSpPr>
          <a:spLocks xmlns:a="http://schemas.openxmlformats.org/drawingml/2006/main" noChangeArrowheads="1"/>
        </cdr:cNvSpPr>
      </cdr:nvSpPr>
      <cdr:spPr bwMode="auto">
        <a:xfrm xmlns:a="http://schemas.openxmlformats.org/drawingml/2006/main">
          <a:off x="4036969" y="1641438"/>
          <a:ext cx="324869" cy="11777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userShapes>
</file>

<file path=word/drawings/drawing21.xml><?xml version="1.0" encoding="utf-8"?>
<c:userShapes xmlns:c="http://schemas.openxmlformats.org/drawingml/2006/chart">
  <cdr:relSizeAnchor xmlns:cdr="http://schemas.openxmlformats.org/drawingml/2006/chartDrawing">
    <cdr:from>
      <cdr:x>0.73884</cdr:x>
      <cdr:y>0.06306</cdr:y>
    </cdr:from>
    <cdr:to>
      <cdr:x>0.79257</cdr:x>
      <cdr:y>0.0984</cdr:y>
    </cdr:to>
    <cdr:sp macro="" textlink="">
      <cdr:nvSpPr>
        <cdr:cNvPr id="2" name="Прямоугольник: скругленные углы 1"/>
        <cdr:cNvSpPr>
          <a:spLocks xmlns:a="http://schemas.openxmlformats.org/drawingml/2006/main" noChangeArrowheads="1"/>
        </cdr:cNvSpPr>
      </cdr:nvSpPr>
      <cdr:spPr bwMode="auto">
        <a:xfrm xmlns:a="http://schemas.openxmlformats.org/drawingml/2006/main">
          <a:off x="4910266" y="219107"/>
          <a:ext cx="357085" cy="122796"/>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0.66082</cdr:x>
      <cdr:y>0.22995</cdr:y>
    </cdr:from>
    <cdr:to>
      <cdr:x>0.71455</cdr:x>
      <cdr:y>0.26529</cdr:y>
    </cdr:to>
    <cdr:sp macro="" textlink="">
      <cdr:nvSpPr>
        <cdr:cNvPr id="3" name="Прямоугольник: скругленные углы 2"/>
        <cdr:cNvSpPr>
          <a:spLocks xmlns:a="http://schemas.openxmlformats.org/drawingml/2006/main" noChangeArrowheads="1"/>
        </cdr:cNvSpPr>
      </cdr:nvSpPr>
      <cdr:spPr bwMode="auto">
        <a:xfrm xmlns:a="http://schemas.openxmlformats.org/drawingml/2006/main">
          <a:off x="4391746" y="799005"/>
          <a:ext cx="357084" cy="122797"/>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0.80506</cdr:x>
      <cdr:y>0.14558</cdr:y>
    </cdr:from>
    <cdr:to>
      <cdr:x>0.85879</cdr:x>
      <cdr:y>0.18092</cdr:y>
    </cdr:to>
    <cdr:sp macro="" textlink="">
      <cdr:nvSpPr>
        <cdr:cNvPr id="4" name="Прямоугольник: скругленные углы 3"/>
        <cdr:cNvSpPr>
          <a:spLocks xmlns:a="http://schemas.openxmlformats.org/drawingml/2006/main" noChangeArrowheads="1"/>
        </cdr:cNvSpPr>
      </cdr:nvSpPr>
      <cdr:spPr bwMode="auto">
        <a:xfrm xmlns:a="http://schemas.openxmlformats.org/drawingml/2006/main">
          <a:off x="5350356" y="435211"/>
          <a:ext cx="357085" cy="105652"/>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0.64698</cdr:x>
      <cdr:y>0.38877</cdr:y>
    </cdr:from>
    <cdr:to>
      <cdr:x>0.70071</cdr:x>
      <cdr:y>0.4241</cdr:y>
    </cdr:to>
    <cdr:sp macro="" textlink="">
      <cdr:nvSpPr>
        <cdr:cNvPr id="7" name="Прямоугольник: скругленные углы 6"/>
        <cdr:cNvSpPr>
          <a:spLocks xmlns:a="http://schemas.openxmlformats.org/drawingml/2006/main" noChangeArrowheads="1"/>
        </cdr:cNvSpPr>
      </cdr:nvSpPr>
      <cdr:spPr bwMode="auto">
        <a:xfrm xmlns:a="http://schemas.openxmlformats.org/drawingml/2006/main">
          <a:off x="4299771" y="1162264"/>
          <a:ext cx="357085" cy="105622"/>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0.70134</cdr:x>
      <cdr:y>0.29847</cdr:y>
    </cdr:from>
    <cdr:to>
      <cdr:x>0.75507</cdr:x>
      <cdr:y>0.3338</cdr:y>
    </cdr:to>
    <cdr:sp macro="" textlink="">
      <cdr:nvSpPr>
        <cdr:cNvPr id="8" name="Прямоугольник: скругленные углы 7"/>
        <cdr:cNvSpPr>
          <a:spLocks xmlns:a="http://schemas.openxmlformats.org/drawingml/2006/main" noChangeArrowheads="1"/>
        </cdr:cNvSpPr>
      </cdr:nvSpPr>
      <cdr:spPr bwMode="auto">
        <a:xfrm xmlns:a="http://schemas.openxmlformats.org/drawingml/2006/main">
          <a:off x="4661043" y="892305"/>
          <a:ext cx="357084" cy="105622"/>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0.67908</cdr:x>
      <cdr:y>0.45471</cdr:y>
    </cdr:from>
    <cdr:to>
      <cdr:x>0.73281</cdr:x>
      <cdr:y>0.49004</cdr:y>
    </cdr:to>
    <cdr:sp macro="" textlink="">
      <cdr:nvSpPr>
        <cdr:cNvPr id="9" name="Прямоугольник: скругленные углы 8"/>
        <cdr:cNvSpPr>
          <a:spLocks xmlns:a="http://schemas.openxmlformats.org/drawingml/2006/main" noChangeArrowheads="1"/>
        </cdr:cNvSpPr>
      </cdr:nvSpPr>
      <cdr:spPr bwMode="auto">
        <a:xfrm xmlns:a="http://schemas.openxmlformats.org/drawingml/2006/main">
          <a:off x="4513126" y="1359379"/>
          <a:ext cx="357085" cy="105622"/>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0.6494</cdr:x>
      <cdr:y>0.60772</cdr:y>
    </cdr:from>
    <cdr:to>
      <cdr:x>0.70313</cdr:x>
      <cdr:y>0.64306</cdr:y>
    </cdr:to>
    <cdr:sp macro="" textlink="">
      <cdr:nvSpPr>
        <cdr:cNvPr id="11" name="Прямоугольник: скругленные углы 10"/>
        <cdr:cNvSpPr>
          <a:spLocks xmlns:a="http://schemas.openxmlformats.org/drawingml/2006/main" noChangeArrowheads="1"/>
        </cdr:cNvSpPr>
      </cdr:nvSpPr>
      <cdr:spPr bwMode="auto">
        <a:xfrm xmlns:a="http://schemas.openxmlformats.org/drawingml/2006/main">
          <a:off x="4315833" y="1816838"/>
          <a:ext cx="357084" cy="105652"/>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0.63265</cdr:x>
      <cdr:y>0.52923</cdr:y>
    </cdr:from>
    <cdr:to>
      <cdr:x>0.69141</cdr:x>
      <cdr:y>0.57373</cdr:y>
    </cdr:to>
    <cdr:sp macro="" textlink="">
      <cdr:nvSpPr>
        <cdr:cNvPr id="12" name="Прямоугольник: скругленные углы 11"/>
        <cdr:cNvSpPr>
          <a:spLocks xmlns:a="http://schemas.openxmlformats.org/drawingml/2006/main" noChangeArrowheads="1"/>
        </cdr:cNvSpPr>
      </cdr:nvSpPr>
      <cdr:spPr bwMode="auto">
        <a:xfrm xmlns:a="http://schemas.openxmlformats.org/drawingml/2006/main">
          <a:off x="3923731" y="1542197"/>
          <a:ext cx="364425" cy="129653"/>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0.64805</cdr:x>
      <cdr:y>0.67911</cdr:y>
    </cdr:from>
    <cdr:to>
      <cdr:x>0.70417</cdr:x>
      <cdr:y>0.71892</cdr:y>
    </cdr:to>
    <cdr:sp macro="" textlink="">
      <cdr:nvSpPr>
        <cdr:cNvPr id="14" name="Прямоугольник: скругленные углы 13"/>
        <cdr:cNvSpPr>
          <a:spLocks xmlns:a="http://schemas.openxmlformats.org/drawingml/2006/main" noChangeArrowheads="1"/>
        </cdr:cNvSpPr>
      </cdr:nvSpPr>
      <cdr:spPr bwMode="auto">
        <a:xfrm xmlns:a="http://schemas.openxmlformats.org/drawingml/2006/main">
          <a:off x="4019266" y="1978926"/>
          <a:ext cx="348018" cy="116005"/>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0.58185</cdr:x>
      <cdr:y>0.76398</cdr:y>
    </cdr:from>
    <cdr:to>
      <cdr:x>0.63559</cdr:x>
      <cdr:y>0.79932</cdr:y>
    </cdr:to>
    <cdr:sp macro="" textlink="">
      <cdr:nvSpPr>
        <cdr:cNvPr id="16" name="Прямоугольник: скругленные углы 15"/>
        <cdr:cNvSpPr>
          <a:spLocks xmlns:a="http://schemas.openxmlformats.org/drawingml/2006/main" noChangeArrowheads="1"/>
        </cdr:cNvSpPr>
      </cdr:nvSpPr>
      <cdr:spPr bwMode="auto">
        <a:xfrm xmlns:a="http://schemas.openxmlformats.org/drawingml/2006/main">
          <a:off x="3866944" y="2283972"/>
          <a:ext cx="357151" cy="105652"/>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userShapes>
</file>

<file path=word/drawings/drawing22.xml><?xml version="1.0" encoding="utf-8"?>
<c:userShapes xmlns:c="http://schemas.openxmlformats.org/drawingml/2006/chart">
  <cdr:relSizeAnchor xmlns:cdr="http://schemas.openxmlformats.org/drawingml/2006/chartDrawing">
    <cdr:from>
      <cdr:x>0.55403</cdr:x>
      <cdr:y>0.19156</cdr:y>
    </cdr:from>
    <cdr:to>
      <cdr:x>0.60894</cdr:x>
      <cdr:y>0.22671</cdr:y>
    </cdr:to>
    <cdr:sp macro="" textlink="">
      <cdr:nvSpPr>
        <cdr:cNvPr id="2" name="Прямоугольник: скругленные углы 1"/>
        <cdr:cNvSpPr>
          <a:spLocks xmlns:a="http://schemas.openxmlformats.org/drawingml/2006/main" noChangeArrowheads="1"/>
        </cdr:cNvSpPr>
      </cdr:nvSpPr>
      <cdr:spPr bwMode="auto">
        <a:xfrm xmlns:a="http://schemas.openxmlformats.org/drawingml/2006/main">
          <a:off x="3308792" y="668050"/>
          <a:ext cx="327932" cy="122583"/>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0.93341</cdr:x>
      <cdr:y>0.10523</cdr:y>
    </cdr:from>
    <cdr:to>
      <cdr:x>0.98832</cdr:x>
      <cdr:y>0.14038</cdr:y>
    </cdr:to>
    <cdr:sp macro="" textlink="">
      <cdr:nvSpPr>
        <cdr:cNvPr id="3" name="Прямоугольник: скругленные углы 2"/>
        <cdr:cNvSpPr>
          <a:spLocks xmlns:a="http://schemas.openxmlformats.org/drawingml/2006/main" noChangeArrowheads="1"/>
        </cdr:cNvSpPr>
      </cdr:nvSpPr>
      <cdr:spPr bwMode="auto">
        <a:xfrm xmlns:a="http://schemas.openxmlformats.org/drawingml/2006/main">
          <a:off x="6090175" y="368866"/>
          <a:ext cx="358250" cy="12319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0.64566</cdr:x>
      <cdr:y>0.05841</cdr:y>
    </cdr:from>
    <cdr:to>
      <cdr:x>0.70057</cdr:x>
      <cdr:y>0.09356</cdr:y>
    </cdr:to>
    <cdr:sp macro="" textlink="">
      <cdr:nvSpPr>
        <cdr:cNvPr id="4" name="Прямоугольник: скругленные углы 3"/>
        <cdr:cNvSpPr>
          <a:spLocks xmlns:a="http://schemas.openxmlformats.org/drawingml/2006/main" noChangeArrowheads="1"/>
        </cdr:cNvSpPr>
      </cdr:nvSpPr>
      <cdr:spPr bwMode="auto">
        <a:xfrm xmlns:a="http://schemas.openxmlformats.org/drawingml/2006/main">
          <a:off x="3856023" y="203700"/>
          <a:ext cx="327932" cy="122583"/>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0.78498</cdr:x>
      <cdr:y>0.32353</cdr:y>
    </cdr:from>
    <cdr:to>
      <cdr:x>0.83988</cdr:x>
      <cdr:y>0.35868</cdr:y>
    </cdr:to>
    <cdr:sp macro="" textlink="">
      <cdr:nvSpPr>
        <cdr:cNvPr id="5" name="Прямоугольник: скругленные углы 4"/>
        <cdr:cNvSpPr>
          <a:spLocks xmlns:a="http://schemas.openxmlformats.org/drawingml/2006/main" noChangeArrowheads="1"/>
        </cdr:cNvSpPr>
      </cdr:nvSpPr>
      <cdr:spPr bwMode="auto">
        <a:xfrm xmlns:a="http://schemas.openxmlformats.org/drawingml/2006/main">
          <a:off x="5121689" y="1134037"/>
          <a:ext cx="358202" cy="123208"/>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0.63023</cdr:x>
      <cdr:y>0.25894</cdr:y>
    </cdr:from>
    <cdr:to>
      <cdr:x>0.68514</cdr:x>
      <cdr:y>0.29409</cdr:y>
    </cdr:to>
    <cdr:sp macro="" textlink="">
      <cdr:nvSpPr>
        <cdr:cNvPr id="6" name="Прямоугольник: скругленные углы 5"/>
        <cdr:cNvSpPr>
          <a:spLocks xmlns:a="http://schemas.openxmlformats.org/drawingml/2006/main" noChangeArrowheads="1"/>
        </cdr:cNvSpPr>
      </cdr:nvSpPr>
      <cdr:spPr bwMode="auto">
        <a:xfrm xmlns:a="http://schemas.openxmlformats.org/drawingml/2006/main">
          <a:off x="4112003" y="907647"/>
          <a:ext cx="358268" cy="123208"/>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0.63106</cdr:x>
      <cdr:y>0.45632</cdr:y>
    </cdr:from>
    <cdr:to>
      <cdr:x>0.68597</cdr:x>
      <cdr:y>0.49147</cdr:y>
    </cdr:to>
    <cdr:sp macro="" textlink="">
      <cdr:nvSpPr>
        <cdr:cNvPr id="7" name="Прямоугольник: скругленные углы 6"/>
        <cdr:cNvSpPr>
          <a:spLocks xmlns:a="http://schemas.openxmlformats.org/drawingml/2006/main" noChangeArrowheads="1"/>
        </cdr:cNvSpPr>
      </cdr:nvSpPr>
      <cdr:spPr bwMode="auto">
        <a:xfrm xmlns:a="http://schemas.openxmlformats.org/drawingml/2006/main">
          <a:off x="4117411" y="1599507"/>
          <a:ext cx="358268" cy="123208"/>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0.80129</cdr:x>
      <cdr:y>0.52121</cdr:y>
    </cdr:from>
    <cdr:to>
      <cdr:x>0.8562</cdr:x>
      <cdr:y>0.55635</cdr:y>
    </cdr:to>
    <cdr:sp macro="" textlink="">
      <cdr:nvSpPr>
        <cdr:cNvPr id="8" name="Прямоугольник: скругленные углы 7"/>
        <cdr:cNvSpPr>
          <a:spLocks xmlns:a="http://schemas.openxmlformats.org/drawingml/2006/main" noChangeArrowheads="1"/>
        </cdr:cNvSpPr>
      </cdr:nvSpPr>
      <cdr:spPr bwMode="auto">
        <a:xfrm xmlns:a="http://schemas.openxmlformats.org/drawingml/2006/main">
          <a:off x="5228137" y="1826944"/>
          <a:ext cx="358268" cy="123172"/>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0.68484</cdr:x>
      <cdr:y>0.39059</cdr:y>
    </cdr:from>
    <cdr:to>
      <cdr:x>0.73975</cdr:x>
      <cdr:y>0.42573</cdr:y>
    </cdr:to>
    <cdr:sp macro="" textlink="">
      <cdr:nvSpPr>
        <cdr:cNvPr id="9" name="Прямоугольник: скругленные углы 8"/>
        <cdr:cNvSpPr>
          <a:spLocks xmlns:a="http://schemas.openxmlformats.org/drawingml/2006/main" noChangeArrowheads="1"/>
        </cdr:cNvSpPr>
      </cdr:nvSpPr>
      <cdr:spPr bwMode="auto">
        <a:xfrm xmlns:a="http://schemas.openxmlformats.org/drawingml/2006/main">
          <a:off x="4090012" y="1362160"/>
          <a:ext cx="327932" cy="122548"/>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0.61935</cdr:x>
      <cdr:y>0.64869</cdr:y>
    </cdr:from>
    <cdr:to>
      <cdr:x>0.67426</cdr:x>
      <cdr:y>0.68383</cdr:y>
    </cdr:to>
    <cdr:sp macro="" textlink="">
      <cdr:nvSpPr>
        <cdr:cNvPr id="10" name="Прямоугольник: скругленные углы 9"/>
        <cdr:cNvSpPr>
          <a:spLocks xmlns:a="http://schemas.openxmlformats.org/drawingml/2006/main" noChangeArrowheads="1"/>
        </cdr:cNvSpPr>
      </cdr:nvSpPr>
      <cdr:spPr bwMode="auto">
        <a:xfrm xmlns:a="http://schemas.openxmlformats.org/drawingml/2006/main">
          <a:off x="3698896" y="2262246"/>
          <a:ext cx="327932" cy="122548"/>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0.66396</cdr:x>
      <cdr:y>0.59596</cdr:y>
    </cdr:from>
    <cdr:to>
      <cdr:x>0.71887</cdr:x>
      <cdr:y>0.63111</cdr:y>
    </cdr:to>
    <cdr:sp macro="" textlink="">
      <cdr:nvSpPr>
        <cdr:cNvPr id="11" name="Прямоугольник: скругленные углы 10"/>
        <cdr:cNvSpPr>
          <a:spLocks xmlns:a="http://schemas.openxmlformats.org/drawingml/2006/main" noChangeArrowheads="1"/>
        </cdr:cNvSpPr>
      </cdr:nvSpPr>
      <cdr:spPr bwMode="auto">
        <a:xfrm xmlns:a="http://schemas.openxmlformats.org/drawingml/2006/main">
          <a:off x="3965284" y="2078363"/>
          <a:ext cx="327932" cy="122583"/>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0.64924</cdr:x>
      <cdr:y>0.7882</cdr:y>
    </cdr:from>
    <cdr:to>
      <cdr:x>0.70415</cdr:x>
      <cdr:y>0.82335</cdr:y>
    </cdr:to>
    <cdr:sp macro="" textlink="">
      <cdr:nvSpPr>
        <cdr:cNvPr id="13" name="Прямоугольник: скругленные углы 12"/>
        <cdr:cNvSpPr>
          <a:spLocks xmlns:a="http://schemas.openxmlformats.org/drawingml/2006/main" noChangeArrowheads="1"/>
        </cdr:cNvSpPr>
      </cdr:nvSpPr>
      <cdr:spPr bwMode="auto">
        <a:xfrm xmlns:a="http://schemas.openxmlformats.org/drawingml/2006/main">
          <a:off x="4236066" y="2762799"/>
          <a:ext cx="358267" cy="123207"/>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0.6495</cdr:x>
      <cdr:y>0.71484</cdr:y>
    </cdr:from>
    <cdr:to>
      <cdr:x>0.70441</cdr:x>
      <cdr:y>0.74998</cdr:y>
    </cdr:to>
    <cdr:sp macro="" textlink="">
      <cdr:nvSpPr>
        <cdr:cNvPr id="14" name="Прямоугольник: скругленные углы 13"/>
        <cdr:cNvSpPr>
          <a:spLocks xmlns:a="http://schemas.openxmlformats.org/drawingml/2006/main" noChangeArrowheads="1"/>
        </cdr:cNvSpPr>
      </cdr:nvSpPr>
      <cdr:spPr bwMode="auto">
        <a:xfrm xmlns:a="http://schemas.openxmlformats.org/drawingml/2006/main">
          <a:off x="4237759" y="2505657"/>
          <a:ext cx="358267" cy="123173"/>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userShapes>
</file>

<file path=word/drawings/drawing23.xml><?xml version="1.0" encoding="utf-8"?>
<c:userShapes xmlns:c="http://schemas.openxmlformats.org/drawingml/2006/chart">
  <cdr:relSizeAnchor xmlns:cdr="http://schemas.openxmlformats.org/drawingml/2006/chartDrawing">
    <cdr:from>
      <cdr:x>0.20765</cdr:x>
      <cdr:y>0.1635</cdr:y>
    </cdr:from>
    <cdr:to>
      <cdr:x>0.20765</cdr:x>
      <cdr:y>0.33717</cdr:y>
    </cdr:to>
    <cdr:cxnSp macro="">
      <cdr:nvCxnSpPr>
        <cdr:cNvPr id="5" name="Прямая соединительная линия 4"/>
        <cdr:cNvCxnSpPr/>
      </cdr:nvCxnSpPr>
      <cdr:spPr>
        <a:xfrm xmlns:a="http://schemas.openxmlformats.org/drawingml/2006/main">
          <a:off x="1284312" y="360062"/>
          <a:ext cx="0" cy="382453"/>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0.20765</cdr:x>
      <cdr:y>0.16383</cdr:y>
    </cdr:from>
    <cdr:to>
      <cdr:x>0.30468</cdr:x>
      <cdr:y>0.16383</cdr:y>
    </cdr:to>
    <cdr:cxnSp macro="">
      <cdr:nvCxnSpPr>
        <cdr:cNvPr id="9" name="Прямая соединительная линия 8"/>
        <cdr:cNvCxnSpPr/>
      </cdr:nvCxnSpPr>
      <cdr:spPr>
        <a:xfrm xmlns:a="http://schemas.openxmlformats.org/drawingml/2006/main" flipV="1">
          <a:off x="1284312" y="360789"/>
          <a:ext cx="60012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0.21559</cdr:x>
      <cdr:y>0.06055</cdr:y>
    </cdr:from>
    <cdr:to>
      <cdr:x>0.30031</cdr:x>
      <cdr:y>0.13841</cdr:y>
    </cdr:to>
    <cdr:sp macro="" textlink="">
      <cdr:nvSpPr>
        <cdr:cNvPr id="17" name="Надпись 16"/>
        <cdr:cNvSpPr txBox="1"/>
      </cdr:nvSpPr>
      <cdr:spPr>
        <a:xfrm xmlns:a="http://schemas.openxmlformats.org/drawingml/2006/main">
          <a:off x="1333421" y="133350"/>
          <a:ext cx="523954" cy="171449"/>
        </a:xfrm>
        <a:prstGeom xmlns:a="http://schemas.openxmlformats.org/drawingml/2006/main" prst="roundRect">
          <a:avLst/>
        </a:prstGeom>
        <a:ln xmlns:a="http://schemas.openxmlformats.org/drawingml/2006/main" w="6350" cap="rnd"/>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+3,5%</a:t>
          </a:r>
        </a:p>
      </cdr:txBody>
    </cdr:sp>
  </cdr:relSizeAnchor>
  <cdr:relSizeAnchor xmlns:cdr="http://schemas.openxmlformats.org/drawingml/2006/chartDrawing">
    <cdr:from>
      <cdr:x>0.70432</cdr:x>
      <cdr:y>0.32439</cdr:y>
    </cdr:from>
    <cdr:to>
      <cdr:x>0.70432</cdr:x>
      <cdr:y>0.50569</cdr:y>
    </cdr:to>
    <cdr:cxnSp macro="">
      <cdr:nvCxnSpPr>
        <cdr:cNvPr id="42" name="Прямая соединительная линия 41"/>
        <cdr:cNvCxnSpPr/>
      </cdr:nvCxnSpPr>
      <cdr:spPr>
        <a:xfrm xmlns:a="http://schemas.openxmlformats.org/drawingml/2006/main">
          <a:off x="4356169" y="714375"/>
          <a:ext cx="0" cy="399243"/>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0.70458</cdr:x>
      <cdr:y>0.32507</cdr:y>
    </cdr:from>
    <cdr:to>
      <cdr:x>0.7939</cdr:x>
      <cdr:y>0.32507</cdr:y>
    </cdr:to>
    <cdr:cxnSp macro="">
      <cdr:nvCxnSpPr>
        <cdr:cNvPr id="45" name="Прямая соединительная линия 44"/>
        <cdr:cNvCxnSpPr/>
      </cdr:nvCxnSpPr>
      <cdr:spPr>
        <a:xfrm xmlns:a="http://schemas.openxmlformats.org/drawingml/2006/main">
          <a:off x="4357777" y="715863"/>
          <a:ext cx="552435"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0.70612</cdr:x>
      <cdr:y>0.19036</cdr:y>
    </cdr:from>
    <cdr:to>
      <cdr:x>0.79312</cdr:x>
      <cdr:y>0.26384</cdr:y>
    </cdr:to>
    <cdr:sp macro="" textlink="">
      <cdr:nvSpPr>
        <cdr:cNvPr id="50" name="Надпись 49"/>
        <cdr:cNvSpPr txBox="1"/>
      </cdr:nvSpPr>
      <cdr:spPr>
        <a:xfrm xmlns:a="http://schemas.openxmlformats.org/drawingml/2006/main">
          <a:off x="4367302" y="419213"/>
          <a:ext cx="538073" cy="161812"/>
        </a:xfrm>
        <a:prstGeom xmlns:a="http://schemas.openxmlformats.org/drawingml/2006/main" prst="roundRect">
          <a:avLst/>
        </a:prstGeom>
        <a:ln xmlns:a="http://schemas.openxmlformats.org/drawingml/2006/main" w="6350">
          <a:solidFill>
            <a:schemeClr val="tx1"/>
          </a:solidFill>
        </a:ln>
      </cdr:spPr>
      <cdr:txBody>
        <a:bodyPr xmlns:a="http://schemas.openxmlformats.org/drawingml/2006/main" vertOverflow="clip" wrap="square" rtlCol="0" anchor="ct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+3,4%</a:t>
          </a:r>
        </a:p>
      </cdr:txBody>
    </cdr:sp>
  </cdr:relSizeAnchor>
  <cdr:relSizeAnchor xmlns:cdr="http://schemas.openxmlformats.org/drawingml/2006/chartDrawing">
    <cdr:from>
      <cdr:x>0.79659</cdr:x>
      <cdr:y>0.32866</cdr:y>
    </cdr:from>
    <cdr:to>
      <cdr:x>0.79659</cdr:x>
      <cdr:y>0.39171</cdr:y>
    </cdr:to>
    <cdr:cxnSp macro="">
      <cdr:nvCxnSpPr>
        <cdr:cNvPr id="20" name="Прямая со стрелкой 19"/>
        <cdr:cNvCxnSpPr/>
      </cdr:nvCxnSpPr>
      <cdr:spPr>
        <a:xfrm xmlns:a="http://schemas.openxmlformats.org/drawingml/2006/main">
          <a:off x="4926850" y="723758"/>
          <a:ext cx="0" cy="138847"/>
        </a:xfrm>
        <a:prstGeom xmlns:a="http://schemas.openxmlformats.org/drawingml/2006/main" prst="straightConnector1">
          <a:avLst/>
        </a:prstGeom>
        <a:ln xmlns:a="http://schemas.openxmlformats.org/drawingml/2006/main" w="63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0.30493</cdr:x>
      <cdr:y>0.16436</cdr:y>
    </cdr:from>
    <cdr:to>
      <cdr:x>0.30493</cdr:x>
      <cdr:y>0.22924</cdr:y>
    </cdr:to>
    <cdr:cxnSp macro="">
      <cdr:nvCxnSpPr>
        <cdr:cNvPr id="6" name="Прямая со стрелкой 5"/>
        <cdr:cNvCxnSpPr/>
      </cdr:nvCxnSpPr>
      <cdr:spPr>
        <a:xfrm xmlns:a="http://schemas.openxmlformats.org/drawingml/2006/main">
          <a:off x="1885950" y="361950"/>
          <a:ext cx="0" cy="14287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4.xml><?xml version="1.0" encoding="utf-8"?>
<c:userShapes xmlns:c="http://schemas.openxmlformats.org/drawingml/2006/chart">
  <cdr:relSizeAnchor xmlns:cdr="http://schemas.openxmlformats.org/drawingml/2006/chartDrawing">
    <cdr:from>
      <cdr:x>0.19346</cdr:x>
      <cdr:y>0.26231</cdr:y>
    </cdr:from>
    <cdr:to>
      <cdr:x>0.25241</cdr:x>
      <cdr:y>0.31181</cdr:y>
    </cdr:to>
    <cdr:sp macro="" textlink="">
      <cdr:nvSpPr>
        <cdr:cNvPr id="2" name="Прямоугольник: скругленные углы 1"/>
        <cdr:cNvSpPr>
          <a:spLocks xmlns:a="http://schemas.openxmlformats.org/drawingml/2006/main" noChangeArrowheads="1"/>
        </cdr:cNvSpPr>
      </cdr:nvSpPr>
      <cdr:spPr bwMode="auto">
        <a:xfrm xmlns:a="http://schemas.openxmlformats.org/drawingml/2006/main">
          <a:off x="1149248" y="654096"/>
          <a:ext cx="350189" cy="123436"/>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0.02714</cdr:x>
      <cdr:y>0.31757</cdr:y>
    </cdr:from>
    <cdr:to>
      <cdr:x>0.08608</cdr:x>
      <cdr:y>0.36707</cdr:y>
    </cdr:to>
    <cdr:sp macro="" textlink="">
      <cdr:nvSpPr>
        <cdr:cNvPr id="3" name="Прямоугольник: скругленные углы 2"/>
        <cdr:cNvSpPr>
          <a:spLocks xmlns:a="http://schemas.openxmlformats.org/drawingml/2006/main" noChangeArrowheads="1"/>
        </cdr:cNvSpPr>
      </cdr:nvSpPr>
      <cdr:spPr bwMode="auto">
        <a:xfrm xmlns:a="http://schemas.openxmlformats.org/drawingml/2006/main">
          <a:off x="161234" y="791911"/>
          <a:ext cx="350129" cy="123435"/>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0.60993</cdr:x>
      <cdr:y>0.42399</cdr:y>
    </cdr:from>
    <cdr:to>
      <cdr:x>0.66888</cdr:x>
      <cdr:y>0.47349</cdr:y>
    </cdr:to>
    <cdr:sp macro="" textlink="">
      <cdr:nvSpPr>
        <cdr:cNvPr id="4" name="Прямоугольник: скругленные углы 3"/>
        <cdr:cNvSpPr>
          <a:spLocks xmlns:a="http://schemas.openxmlformats.org/drawingml/2006/main" noChangeArrowheads="1"/>
        </cdr:cNvSpPr>
      </cdr:nvSpPr>
      <cdr:spPr bwMode="auto">
        <a:xfrm xmlns:a="http://schemas.openxmlformats.org/drawingml/2006/main">
          <a:off x="3623260" y="1057277"/>
          <a:ext cx="350188" cy="123435"/>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0.09743</cdr:x>
      <cdr:y>0.29715</cdr:y>
    </cdr:from>
    <cdr:to>
      <cdr:x>0.15637</cdr:x>
      <cdr:y>0.34665</cdr:y>
    </cdr:to>
    <cdr:sp macro="" textlink="">
      <cdr:nvSpPr>
        <cdr:cNvPr id="5" name="Прямоугольник: скругленные углы 4"/>
        <cdr:cNvSpPr>
          <a:spLocks xmlns:a="http://schemas.openxmlformats.org/drawingml/2006/main" noChangeArrowheads="1"/>
        </cdr:cNvSpPr>
      </cdr:nvSpPr>
      <cdr:spPr bwMode="auto">
        <a:xfrm xmlns:a="http://schemas.openxmlformats.org/drawingml/2006/main">
          <a:off x="578749" y="740975"/>
          <a:ext cx="350128" cy="123436"/>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0.44122</cdr:x>
      <cdr:y>0.28851</cdr:y>
    </cdr:from>
    <cdr:to>
      <cdr:x>0.50017</cdr:x>
      <cdr:y>0.33801</cdr:y>
    </cdr:to>
    <cdr:sp macro="" textlink="">
      <cdr:nvSpPr>
        <cdr:cNvPr id="6" name="Прямоугольник: скругленные углы 5"/>
        <cdr:cNvSpPr>
          <a:spLocks xmlns:a="http://schemas.openxmlformats.org/drawingml/2006/main" noChangeArrowheads="1"/>
        </cdr:cNvSpPr>
      </cdr:nvSpPr>
      <cdr:spPr bwMode="auto">
        <a:xfrm xmlns:a="http://schemas.openxmlformats.org/drawingml/2006/main">
          <a:off x="2621014" y="719446"/>
          <a:ext cx="350188" cy="123435"/>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0.35884</cdr:x>
      <cdr:y>0.45158</cdr:y>
    </cdr:from>
    <cdr:to>
      <cdr:x>0.41779</cdr:x>
      <cdr:y>0.50108</cdr:y>
    </cdr:to>
    <cdr:sp macro="" textlink="">
      <cdr:nvSpPr>
        <cdr:cNvPr id="7" name="Прямоугольник: скругленные углы 6"/>
        <cdr:cNvSpPr>
          <a:spLocks xmlns:a="http://schemas.openxmlformats.org/drawingml/2006/main" noChangeArrowheads="1"/>
        </cdr:cNvSpPr>
      </cdr:nvSpPr>
      <cdr:spPr bwMode="auto">
        <a:xfrm xmlns:a="http://schemas.openxmlformats.org/drawingml/2006/main">
          <a:off x="2131677" y="1126084"/>
          <a:ext cx="350188" cy="123435"/>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0.27961</cdr:x>
      <cdr:y>0.38033</cdr:y>
    </cdr:from>
    <cdr:to>
      <cdr:x>0.33856</cdr:x>
      <cdr:y>0.42983</cdr:y>
    </cdr:to>
    <cdr:sp macro="" textlink="">
      <cdr:nvSpPr>
        <cdr:cNvPr id="8" name="Прямоугольник: скругленные углы 7"/>
        <cdr:cNvSpPr>
          <a:spLocks xmlns:a="http://schemas.openxmlformats.org/drawingml/2006/main" noChangeArrowheads="1"/>
        </cdr:cNvSpPr>
      </cdr:nvSpPr>
      <cdr:spPr bwMode="auto">
        <a:xfrm xmlns:a="http://schemas.openxmlformats.org/drawingml/2006/main">
          <a:off x="1660993" y="948400"/>
          <a:ext cx="350188" cy="123435"/>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0.77317</cdr:x>
      <cdr:y>0.47451</cdr:y>
    </cdr:from>
    <cdr:to>
      <cdr:x>0.83211</cdr:x>
      <cdr:y>0.52402</cdr:y>
    </cdr:to>
    <cdr:sp macro="" textlink="">
      <cdr:nvSpPr>
        <cdr:cNvPr id="10" name="Прямоугольник: скругленные углы 9"/>
        <cdr:cNvSpPr>
          <a:spLocks xmlns:a="http://schemas.openxmlformats.org/drawingml/2006/main" noChangeArrowheads="1"/>
        </cdr:cNvSpPr>
      </cdr:nvSpPr>
      <cdr:spPr bwMode="auto">
        <a:xfrm xmlns:a="http://schemas.openxmlformats.org/drawingml/2006/main">
          <a:off x="4592941" y="1183256"/>
          <a:ext cx="350129" cy="12346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0.68926</cdr:x>
      <cdr:y>0.45693</cdr:y>
    </cdr:from>
    <cdr:to>
      <cdr:x>0.74821</cdr:x>
      <cdr:y>0.50643</cdr:y>
    </cdr:to>
    <cdr:sp macro="" textlink="">
      <cdr:nvSpPr>
        <cdr:cNvPr id="11" name="Прямоугольник: скругленные углы 10"/>
        <cdr:cNvSpPr>
          <a:spLocks xmlns:a="http://schemas.openxmlformats.org/drawingml/2006/main" noChangeArrowheads="1"/>
        </cdr:cNvSpPr>
      </cdr:nvSpPr>
      <cdr:spPr bwMode="auto">
        <a:xfrm xmlns:a="http://schemas.openxmlformats.org/drawingml/2006/main">
          <a:off x="4094492" y="1139427"/>
          <a:ext cx="350188" cy="123436"/>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0.52451</cdr:x>
      <cdr:y>0.36806</cdr:y>
    </cdr:from>
    <cdr:to>
      <cdr:x>0.58345</cdr:x>
      <cdr:y>0.41756</cdr:y>
    </cdr:to>
    <cdr:sp macro="" textlink="">
      <cdr:nvSpPr>
        <cdr:cNvPr id="12" name="Прямоугольник: скругленные углы 11"/>
        <cdr:cNvSpPr>
          <a:spLocks xmlns:a="http://schemas.openxmlformats.org/drawingml/2006/main" noChangeArrowheads="1"/>
        </cdr:cNvSpPr>
      </cdr:nvSpPr>
      <cdr:spPr bwMode="auto">
        <a:xfrm xmlns:a="http://schemas.openxmlformats.org/drawingml/2006/main">
          <a:off x="3115817" y="917816"/>
          <a:ext cx="350128" cy="123436"/>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0.93572</cdr:x>
      <cdr:y>0.41845</cdr:y>
    </cdr:from>
    <cdr:to>
      <cdr:x>0.99467</cdr:x>
      <cdr:y>0.46795</cdr:y>
    </cdr:to>
    <cdr:sp macro="" textlink="">
      <cdr:nvSpPr>
        <cdr:cNvPr id="13" name="Прямоугольник: скругленные углы 12"/>
        <cdr:cNvSpPr>
          <a:spLocks xmlns:a="http://schemas.openxmlformats.org/drawingml/2006/main" noChangeArrowheads="1"/>
        </cdr:cNvSpPr>
      </cdr:nvSpPr>
      <cdr:spPr bwMode="auto">
        <a:xfrm xmlns:a="http://schemas.openxmlformats.org/drawingml/2006/main">
          <a:off x="5558550" y="1043461"/>
          <a:ext cx="350188" cy="123435"/>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0.85393</cdr:x>
      <cdr:y>0.44579</cdr:y>
    </cdr:from>
    <cdr:to>
      <cdr:x>0.91287</cdr:x>
      <cdr:y>0.4953</cdr:y>
    </cdr:to>
    <cdr:sp macro="" textlink="">
      <cdr:nvSpPr>
        <cdr:cNvPr id="14" name="Прямоугольник: скругленные углы 13"/>
        <cdr:cNvSpPr>
          <a:spLocks xmlns:a="http://schemas.openxmlformats.org/drawingml/2006/main" noChangeArrowheads="1"/>
        </cdr:cNvSpPr>
      </cdr:nvSpPr>
      <cdr:spPr bwMode="auto">
        <a:xfrm xmlns:a="http://schemas.openxmlformats.org/drawingml/2006/main">
          <a:off x="5072680" y="1111634"/>
          <a:ext cx="350128" cy="12346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userShapes>
</file>

<file path=word/drawings/drawing25.xml><?xml version="1.0" encoding="utf-8"?>
<c:userShapes xmlns:c="http://schemas.openxmlformats.org/drawingml/2006/chart">
  <cdr:relSizeAnchor xmlns:cdr="http://schemas.openxmlformats.org/drawingml/2006/chartDrawing">
    <cdr:from>
      <cdr:x>0.70588</cdr:x>
      <cdr:y>0.21054</cdr:y>
    </cdr:from>
    <cdr:to>
      <cdr:x>0.76479</cdr:x>
      <cdr:y>0.25134</cdr:y>
    </cdr:to>
    <cdr:sp macro="" textlink="">
      <cdr:nvSpPr>
        <cdr:cNvPr id="2" name="Прямоугольник: скругленные углы 1"/>
        <cdr:cNvSpPr>
          <a:spLocks xmlns:a="http://schemas.openxmlformats.org/drawingml/2006/main" noChangeArrowheads="1"/>
        </cdr:cNvSpPr>
      </cdr:nvSpPr>
      <cdr:spPr bwMode="auto">
        <a:xfrm xmlns:a="http://schemas.openxmlformats.org/drawingml/2006/main">
          <a:off x="4292741" y="635566"/>
          <a:ext cx="358250" cy="12319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0.93169</cdr:x>
      <cdr:y>0.04733</cdr:y>
    </cdr:from>
    <cdr:to>
      <cdr:x>0.9906</cdr:x>
      <cdr:y>0.08814</cdr:y>
    </cdr:to>
    <cdr:sp macro="" textlink="">
      <cdr:nvSpPr>
        <cdr:cNvPr id="3" name="Прямоугольник: скругленные углы 2"/>
        <cdr:cNvSpPr>
          <a:spLocks xmlns:a="http://schemas.openxmlformats.org/drawingml/2006/main" noChangeArrowheads="1"/>
        </cdr:cNvSpPr>
      </cdr:nvSpPr>
      <cdr:spPr bwMode="auto">
        <a:xfrm xmlns:a="http://schemas.openxmlformats.org/drawingml/2006/main">
          <a:off x="5665995" y="142875"/>
          <a:ext cx="358250" cy="12319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0.60721</cdr:x>
      <cdr:y>0.34937</cdr:y>
    </cdr:from>
    <cdr:to>
      <cdr:x>0.66612</cdr:x>
      <cdr:y>0.39017</cdr:y>
    </cdr:to>
    <cdr:sp macro="" textlink="">
      <cdr:nvSpPr>
        <cdr:cNvPr id="4" name="Прямоугольник: скругленные углы 3"/>
        <cdr:cNvSpPr>
          <a:spLocks xmlns:a="http://schemas.openxmlformats.org/drawingml/2006/main" noChangeArrowheads="1"/>
        </cdr:cNvSpPr>
      </cdr:nvSpPr>
      <cdr:spPr bwMode="auto">
        <a:xfrm xmlns:a="http://schemas.openxmlformats.org/drawingml/2006/main">
          <a:off x="3692666" y="1054666"/>
          <a:ext cx="358250" cy="12319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0.35974</cdr:x>
      <cdr:y>0.47873</cdr:y>
    </cdr:from>
    <cdr:to>
      <cdr:x>0.41865</cdr:x>
      <cdr:y>0.51954</cdr:y>
    </cdr:to>
    <cdr:sp macro="" textlink="">
      <cdr:nvSpPr>
        <cdr:cNvPr id="5" name="Прямоугольник: скругленные углы 4"/>
        <cdr:cNvSpPr>
          <a:spLocks xmlns:a="http://schemas.openxmlformats.org/drawingml/2006/main" noChangeArrowheads="1"/>
        </cdr:cNvSpPr>
      </cdr:nvSpPr>
      <cdr:spPr bwMode="auto">
        <a:xfrm xmlns:a="http://schemas.openxmlformats.org/drawingml/2006/main">
          <a:off x="2187716" y="1445191"/>
          <a:ext cx="358250" cy="12319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0.42709</cdr:x>
      <cdr:y>0.6081</cdr:y>
    </cdr:from>
    <cdr:to>
      <cdr:x>0.486</cdr:x>
      <cdr:y>0.6489</cdr:y>
    </cdr:to>
    <cdr:sp macro="" textlink="">
      <cdr:nvSpPr>
        <cdr:cNvPr id="6" name="Прямоугольник: скругленные углы 5"/>
        <cdr:cNvSpPr>
          <a:spLocks xmlns:a="http://schemas.openxmlformats.org/drawingml/2006/main" noChangeArrowheads="1"/>
        </cdr:cNvSpPr>
      </cdr:nvSpPr>
      <cdr:spPr bwMode="auto">
        <a:xfrm xmlns:a="http://schemas.openxmlformats.org/drawingml/2006/main">
          <a:off x="2597291" y="1835716"/>
          <a:ext cx="358250" cy="12319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0.3895</cdr:x>
      <cdr:y>0.74062</cdr:y>
    </cdr:from>
    <cdr:to>
      <cdr:x>0.44841</cdr:x>
      <cdr:y>0.78142</cdr:y>
    </cdr:to>
    <cdr:sp macro="" textlink="">
      <cdr:nvSpPr>
        <cdr:cNvPr id="7" name="Прямоугольник: скругленные углы 6"/>
        <cdr:cNvSpPr>
          <a:spLocks xmlns:a="http://schemas.openxmlformats.org/drawingml/2006/main" noChangeArrowheads="1"/>
        </cdr:cNvSpPr>
      </cdr:nvSpPr>
      <cdr:spPr bwMode="auto">
        <a:xfrm xmlns:a="http://schemas.openxmlformats.org/drawingml/2006/main">
          <a:off x="2368691" y="2235766"/>
          <a:ext cx="358250" cy="123190"/>
        </a:xfrm>
        <a:prstGeom xmlns:a="http://schemas.openxmlformats.org/drawingml/2006/main" prst="roundRect">
          <a:avLst>
            <a:gd name="adj" fmla="val 16667"/>
          </a:avLst>
        </a:prstGeom>
        <a:noFill xmlns:a="http://schemas.openxmlformats.org/drawingml/2006/main"/>
        <a:ln xmlns:a="http://schemas.openxmlformats.org/drawingml/2006/main" w="6350">
          <a:solidFill>
            <a:schemeClr val="tx1">
              <a:lumMod val="100000"/>
              <a:lumOff val="0"/>
            </a:schemeClr>
          </a:solidFill>
          <a:round/>
          <a:headEnd/>
          <a:tailEnd/>
        </a:ln>
        <a:extLst xmlns:a="http://schemas.openxmlformats.org/drawingml/2006/main">
          <a:ext uri="{909E8E84-426E-40DD-AFC4-6F175D3DCCD1}">
            <a14:hiddenFill xmlns:a14="http://schemas.microsoft.com/office/drawing/2010/main">
              <a:solidFill>
                <a:srgbClr val="FFFFFF"/>
              </a:solidFill>
            </a14:hiddenFill>
          </a:ext>
        </a:extLst>
      </cdr:spPr>
      <cdr:txBody>
        <a:bodyPr xmlns:a="http://schemas.openxmlformats.org/drawingml/2006/main" rot="0" vert="horz" wrap="square" lIns="91440" tIns="45720" rIns="91440" bIns="4572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0.81729</cdr:x>
      <cdr:y>0.29556</cdr:y>
    </cdr:from>
    <cdr:to>
      <cdr:x>0.84058</cdr:x>
      <cdr:y>0.33287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37891" y="1083851"/>
          <a:ext cx="146412" cy="136820"/>
        </a:xfrm>
        <a:prstGeom xmlns:a="http://schemas.openxmlformats.org/drawingml/2006/main" prst="rect">
          <a:avLst/>
        </a:prstGeom>
      </cdr:spPr>
    </cdr:pic>
  </cdr:relSizeAnchor>
  <cdr:relSizeAnchor xmlns:cdr="http://schemas.openxmlformats.org/drawingml/2006/chartDrawing">
    <cdr:from>
      <cdr:x>0.83362</cdr:x>
      <cdr:y>0.27985</cdr:y>
    </cdr:from>
    <cdr:to>
      <cdr:x>0.94394</cdr:x>
      <cdr:y>0.34637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240549" y="1026253"/>
          <a:ext cx="693526" cy="243938"/>
        </a:xfrm>
        <a:prstGeom xmlns:a="http://schemas.openxmlformats.org/drawingml/2006/main" prst="rect">
          <a:avLst/>
        </a:prstGeom>
      </cdr:spPr>
    </cdr:pic>
  </cdr:relSizeAnchor>
  <cdr:relSizeAnchor xmlns:cdr="http://schemas.openxmlformats.org/drawingml/2006/chartDrawing">
    <cdr:from>
      <cdr:x>0.35308</cdr:x>
      <cdr:y>0.21602</cdr:y>
    </cdr:from>
    <cdr:to>
      <cdr:x>0.94773</cdr:x>
      <cdr:y>0.84736</cdr:y>
    </cdr:to>
    <cdr:pic>
      <cdr:nvPicPr>
        <cdr:cNvPr id="6" name="chart"/>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219666" y="792167"/>
          <a:ext cx="3738263" cy="2315202"/>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0.55556</cdr:x>
      <cdr:y>0.88225</cdr:y>
    </cdr:from>
    <cdr:to>
      <cdr:x>0.95104</cdr:x>
      <cdr:y>0.97075</cdr:y>
    </cdr:to>
    <cdr:sp macro="" textlink="">
      <cdr:nvSpPr>
        <cdr:cNvPr id="2" name="Надпись 11"/>
        <cdr:cNvSpPr txBox="1">
          <a:spLocks xmlns:a="http://schemas.openxmlformats.org/drawingml/2006/main"/>
        </cdr:cNvSpPr>
      </cdr:nvSpPr>
      <cdr:spPr>
        <a:xfrm xmlns:a="http://schemas.openxmlformats.org/drawingml/2006/main">
          <a:off x="3048000" y="2298065"/>
          <a:ext cx="2169795" cy="230505"/>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lnSpc>
              <a:spcPct val="115000"/>
            </a:lnSpc>
            <a:spcAft>
              <a:spcPts val="0"/>
            </a:spcAft>
          </a:pPr>
          <a:r>
            <a:rPr lang="ru-RU" sz="900" i="1">
              <a:effectLst/>
              <a:latin typeface="Times New Roman" panose="02020603050405020304" pitchFamily="18" charset="0"/>
              <a:ea typeface="Times New Roman" panose="02020603050405020304" pitchFamily="18" charset="0"/>
              <a:cs typeface="Times New Roman" panose="02020603050405020304" pitchFamily="18" charset="0"/>
            </a:rPr>
            <a:t>темпы прироста в текущих ценах</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0.58844</cdr:x>
      <cdr:y>0.88351</cdr:y>
    </cdr:from>
    <cdr:to>
      <cdr:x>0.96832</cdr:x>
      <cdr:y>0.96842</cdr:y>
    </cdr:to>
    <cdr:sp macro="" textlink="">
      <cdr:nvSpPr>
        <cdr:cNvPr id="2" name="Надпись 11"/>
        <cdr:cNvSpPr txBox="1">
          <a:spLocks xmlns:a="http://schemas.openxmlformats.org/drawingml/2006/main"/>
        </cdr:cNvSpPr>
      </cdr:nvSpPr>
      <cdr:spPr>
        <a:xfrm xmlns:a="http://schemas.openxmlformats.org/drawingml/2006/main">
          <a:off x="3361055" y="2398395"/>
          <a:ext cx="2169795" cy="230505"/>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lnSpc>
              <a:spcPct val="115000"/>
            </a:lnSpc>
            <a:spcAft>
              <a:spcPts val="0"/>
            </a:spcAft>
          </a:pPr>
          <a:r>
            <a:rPr lang="ru-RU" sz="900" i="1">
              <a:effectLst/>
              <a:latin typeface="Times New Roman" panose="02020603050405020304" pitchFamily="18" charset="0"/>
              <a:ea typeface="Times New Roman" panose="02020603050405020304" pitchFamily="18" charset="0"/>
              <a:cs typeface="Times New Roman" panose="02020603050405020304" pitchFamily="18" charset="0"/>
            </a:rPr>
            <a:t>темпы прироста в текущих ценах</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0.54699</cdr:x>
      <cdr:y>0.87238</cdr:y>
    </cdr:from>
    <cdr:to>
      <cdr:x>0.92044</cdr:x>
      <cdr:y>0.94921</cdr:y>
    </cdr:to>
    <cdr:sp macro="" textlink="">
      <cdr:nvSpPr>
        <cdr:cNvPr id="2" name="Надпись 11"/>
        <cdr:cNvSpPr txBox="1">
          <a:spLocks xmlns:a="http://schemas.openxmlformats.org/drawingml/2006/main"/>
        </cdr:cNvSpPr>
      </cdr:nvSpPr>
      <cdr:spPr>
        <a:xfrm xmlns:a="http://schemas.openxmlformats.org/drawingml/2006/main">
          <a:off x="3178175" y="2617470"/>
          <a:ext cx="2169795" cy="230505"/>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lnSpc>
              <a:spcPct val="115000"/>
            </a:lnSpc>
            <a:spcAft>
              <a:spcPts val="0"/>
            </a:spcAft>
          </a:pPr>
          <a:r>
            <a:rPr lang="ru-RU" sz="900" i="1">
              <a:effectLst/>
              <a:latin typeface="Times New Roman" panose="02020603050405020304" pitchFamily="18" charset="0"/>
              <a:ea typeface="Times New Roman" panose="02020603050405020304" pitchFamily="18" charset="0"/>
              <a:cs typeface="Times New Roman" panose="02020603050405020304" pitchFamily="18" charset="0"/>
            </a:rPr>
            <a:t>темпы прироста в текущих ценах</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0.57462</cdr:x>
      <cdr:y>0.87181</cdr:y>
    </cdr:from>
    <cdr:to>
      <cdr:x>0.95492</cdr:x>
      <cdr:y>0.96525</cdr:y>
    </cdr:to>
    <cdr:sp macro="" textlink="">
      <cdr:nvSpPr>
        <cdr:cNvPr id="2" name="Надпись 11"/>
        <cdr:cNvSpPr txBox="1">
          <a:spLocks xmlns:a="http://schemas.openxmlformats.org/drawingml/2006/main"/>
        </cdr:cNvSpPr>
      </cdr:nvSpPr>
      <cdr:spPr>
        <a:xfrm xmlns:a="http://schemas.openxmlformats.org/drawingml/2006/main">
          <a:off x="3278505" y="2150745"/>
          <a:ext cx="2169795" cy="230505"/>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lnSpc>
              <a:spcPct val="115000"/>
            </a:lnSpc>
            <a:spcAft>
              <a:spcPts val="0"/>
            </a:spcAft>
          </a:pPr>
          <a:r>
            <a:rPr lang="ru-RU" sz="900" i="1">
              <a:effectLst/>
              <a:latin typeface="Times New Roman" panose="02020603050405020304" pitchFamily="18" charset="0"/>
              <a:ea typeface="Times New Roman" panose="02020603050405020304" pitchFamily="18" charset="0"/>
              <a:cs typeface="Times New Roman" panose="02020603050405020304" pitchFamily="18" charset="0"/>
            </a:rPr>
            <a:t>темпы прироста в текущих ценах</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0.57083</cdr:x>
      <cdr:y>0.88446</cdr:y>
    </cdr:from>
    <cdr:to>
      <cdr:x>0.9359</cdr:x>
      <cdr:y>0.96622</cdr:y>
    </cdr:to>
    <cdr:sp macro="" textlink="">
      <cdr:nvSpPr>
        <cdr:cNvPr id="2" name="Надпись 11"/>
        <cdr:cNvSpPr txBox="1">
          <a:spLocks xmlns:a="http://schemas.openxmlformats.org/drawingml/2006/main"/>
        </cdr:cNvSpPr>
      </cdr:nvSpPr>
      <cdr:spPr>
        <a:xfrm xmlns:a="http://schemas.openxmlformats.org/drawingml/2006/main">
          <a:off x="3392805" y="2493645"/>
          <a:ext cx="2169795" cy="230505"/>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lnSpc>
              <a:spcPct val="115000"/>
            </a:lnSpc>
            <a:spcAft>
              <a:spcPts val="0"/>
            </a:spcAft>
          </a:pPr>
          <a:r>
            <a:rPr lang="ru-RU" sz="900" i="1">
              <a:effectLst/>
              <a:latin typeface="Times New Roman" panose="02020603050405020304" pitchFamily="18" charset="0"/>
              <a:ea typeface="Times New Roman" panose="02020603050405020304" pitchFamily="18" charset="0"/>
              <a:cs typeface="Times New Roman" panose="02020603050405020304" pitchFamily="18" charset="0"/>
            </a:rPr>
            <a:t>темпы прироста в текущих ценах</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0.78222</cdr:x>
      <cdr:y>0.26286</cdr:y>
    </cdr:from>
    <cdr:to>
      <cdr:x>0.78222</cdr:x>
      <cdr:y>0.49605</cdr:y>
    </cdr:to>
    <cdr:cxnSp macro="">
      <cdr:nvCxnSpPr>
        <cdr:cNvPr id="5" name="Прямая соединительная линия 4"/>
        <cdr:cNvCxnSpPr/>
      </cdr:nvCxnSpPr>
      <cdr:spPr>
        <a:xfrm xmlns:a="http://schemas.openxmlformats.org/drawingml/2006/main" flipV="1">
          <a:off x="4783798" y="558343"/>
          <a:ext cx="0" cy="4953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0.78123</cdr:x>
      <cdr:y>0.26547</cdr:y>
    </cdr:from>
    <cdr:to>
      <cdr:x>0.89274</cdr:x>
      <cdr:y>0.26547</cdr:y>
    </cdr:to>
    <cdr:cxnSp macro="">
      <cdr:nvCxnSpPr>
        <cdr:cNvPr id="8" name="Прямая соединительная линия 7"/>
        <cdr:cNvCxnSpPr/>
      </cdr:nvCxnSpPr>
      <cdr:spPr>
        <a:xfrm xmlns:a="http://schemas.openxmlformats.org/drawingml/2006/main">
          <a:off x="4777740" y="563880"/>
          <a:ext cx="68199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0.89334</cdr:x>
      <cdr:y>0.26325</cdr:y>
    </cdr:from>
    <cdr:to>
      <cdr:x>0.89334</cdr:x>
      <cdr:y>0.34997</cdr:y>
    </cdr:to>
    <cdr:cxnSp macro="">
      <cdr:nvCxnSpPr>
        <cdr:cNvPr id="11" name="Прямая со стрелкой 10"/>
        <cdr:cNvCxnSpPr/>
      </cdr:nvCxnSpPr>
      <cdr:spPr>
        <a:xfrm xmlns:a="http://schemas.openxmlformats.org/drawingml/2006/main">
          <a:off x="5463376" y="559166"/>
          <a:ext cx="0" cy="184195"/>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B7576-2D19-4DDA-81E3-B03B6D7CF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79</Pages>
  <Words>22180</Words>
  <Characters>126429</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Апостолова Наталья Юрьевна</dc:creator>
  <cp:keywords/>
  <dc:description/>
  <cp:lastModifiedBy>Апостолова Наталья Юрьевна</cp:lastModifiedBy>
  <cp:revision>110</cp:revision>
  <cp:lastPrinted>2022-04-21T13:49:00Z</cp:lastPrinted>
  <dcterms:created xsi:type="dcterms:W3CDTF">2022-04-19T06:55:00Z</dcterms:created>
  <dcterms:modified xsi:type="dcterms:W3CDTF">2022-04-21T13:50:00Z</dcterms:modified>
</cp:coreProperties>
</file>