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2D" w:rsidRPr="00B35B59" w:rsidRDefault="00CA2D2D" w:rsidP="00504105">
      <w:pPr>
        <w:pStyle w:val="1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35B59">
        <w:rPr>
          <w:rFonts w:ascii="Times New Roman" w:hAnsi="Times New Roman"/>
          <w:sz w:val="28"/>
          <w:szCs w:val="28"/>
        </w:rPr>
        <w:t>Краткие и</w:t>
      </w:r>
      <w:r w:rsidR="00504105" w:rsidRPr="00B35B59">
        <w:rPr>
          <w:rFonts w:ascii="Times New Roman" w:hAnsi="Times New Roman"/>
          <w:sz w:val="28"/>
          <w:szCs w:val="28"/>
        </w:rPr>
        <w:t xml:space="preserve">тоги </w:t>
      </w:r>
      <w:r w:rsidRPr="00B35B59">
        <w:rPr>
          <w:rFonts w:ascii="Times New Roman" w:hAnsi="Times New Roman"/>
          <w:sz w:val="28"/>
          <w:szCs w:val="28"/>
        </w:rPr>
        <w:t xml:space="preserve">развития отдельных секторов экономики </w:t>
      </w:r>
    </w:p>
    <w:p w:rsidR="00504105" w:rsidRPr="00B35B59" w:rsidRDefault="00504105" w:rsidP="00504105">
      <w:pPr>
        <w:pStyle w:val="1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35B59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504105" w:rsidRPr="00B35B59" w:rsidRDefault="00F768DB" w:rsidP="00504105">
      <w:pPr>
        <w:pStyle w:val="1"/>
        <w:tabs>
          <w:tab w:val="left" w:pos="993"/>
        </w:tabs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35B59">
        <w:rPr>
          <w:rFonts w:ascii="Times New Roman" w:hAnsi="Times New Roman"/>
          <w:sz w:val="28"/>
          <w:szCs w:val="28"/>
        </w:rPr>
        <w:t>в</w:t>
      </w:r>
      <w:r w:rsidR="00504105" w:rsidRPr="00B35B59">
        <w:rPr>
          <w:rFonts w:ascii="Times New Roman" w:hAnsi="Times New Roman"/>
          <w:sz w:val="28"/>
          <w:szCs w:val="28"/>
        </w:rPr>
        <w:t xml:space="preserve"> январ</w:t>
      </w:r>
      <w:r w:rsidRPr="00B35B59">
        <w:rPr>
          <w:rFonts w:ascii="Times New Roman" w:hAnsi="Times New Roman"/>
          <w:sz w:val="28"/>
          <w:szCs w:val="28"/>
        </w:rPr>
        <w:t>е</w:t>
      </w:r>
      <w:r w:rsidR="00504105" w:rsidRPr="00B35B59">
        <w:rPr>
          <w:rFonts w:ascii="Times New Roman" w:hAnsi="Times New Roman"/>
          <w:sz w:val="28"/>
          <w:szCs w:val="28"/>
        </w:rPr>
        <w:t>-сентябр</w:t>
      </w:r>
      <w:r w:rsidRPr="00B35B59">
        <w:rPr>
          <w:rFonts w:ascii="Times New Roman" w:hAnsi="Times New Roman"/>
          <w:sz w:val="28"/>
          <w:szCs w:val="28"/>
        </w:rPr>
        <w:t>е</w:t>
      </w:r>
      <w:r w:rsidR="00504105" w:rsidRPr="00B35B59">
        <w:rPr>
          <w:rFonts w:ascii="Times New Roman" w:hAnsi="Times New Roman"/>
          <w:sz w:val="28"/>
          <w:szCs w:val="28"/>
        </w:rPr>
        <w:t xml:space="preserve"> 2019 года</w:t>
      </w:r>
    </w:p>
    <w:p w:rsidR="00B35B59" w:rsidRPr="00B35B59" w:rsidRDefault="00B35B59" w:rsidP="00B35B59">
      <w:pPr>
        <w:rPr>
          <w:rFonts w:ascii="Times New Roman" w:hAnsi="Times New Roman" w:cs="Times New Roman"/>
          <w:sz w:val="28"/>
          <w:szCs w:val="28"/>
        </w:rPr>
      </w:pPr>
    </w:p>
    <w:p w:rsidR="0060033E" w:rsidRPr="00B35B59" w:rsidRDefault="00AF4E59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ВВП</w:t>
      </w:r>
    </w:p>
    <w:p w:rsidR="00F768DB" w:rsidRPr="00B35B59" w:rsidRDefault="00F768DB" w:rsidP="00F768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Ухудшение конъюнктуры мировых рынков на фоне активного применения в международной торговле протекционистских и </w:t>
      </w:r>
      <w:proofErr w:type="spellStart"/>
      <w:r w:rsidRPr="00B35B59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B35B59">
        <w:rPr>
          <w:rFonts w:ascii="Times New Roman" w:hAnsi="Times New Roman" w:cs="Times New Roman"/>
          <w:sz w:val="28"/>
          <w:szCs w:val="28"/>
        </w:rPr>
        <w:t xml:space="preserve"> мер в совокупности с влиянием сезонного фактора в сельском хозяйстве стали основными факторами, определившими динамику ключевого показателя результативности экономики</w:t>
      </w:r>
      <w:r w:rsidR="002234B0">
        <w:rPr>
          <w:rFonts w:ascii="Times New Roman" w:hAnsi="Times New Roman" w:cs="Times New Roman"/>
          <w:sz w:val="28"/>
          <w:szCs w:val="28"/>
        </w:rPr>
        <w:t xml:space="preserve"> Приднестровья</w:t>
      </w:r>
      <w:r w:rsidRPr="00B35B59">
        <w:rPr>
          <w:rFonts w:ascii="Times New Roman" w:hAnsi="Times New Roman" w:cs="Times New Roman"/>
          <w:sz w:val="28"/>
          <w:szCs w:val="28"/>
        </w:rPr>
        <w:t>.</w:t>
      </w:r>
    </w:p>
    <w:p w:rsidR="00F768DB" w:rsidRPr="00B35B59" w:rsidRDefault="00F768DB" w:rsidP="00F768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Объём валового внутреннего продукта, созданного в республике </w:t>
      </w:r>
      <w:r w:rsidRPr="00B35B59">
        <w:rPr>
          <w:rFonts w:ascii="Times New Roman" w:hAnsi="Times New Roman" w:cs="Times New Roman"/>
          <w:b/>
          <w:sz w:val="28"/>
          <w:szCs w:val="28"/>
        </w:rPr>
        <w:t>за шесть месяцев 2019 года</w:t>
      </w:r>
      <w:r w:rsidRPr="00B35B59">
        <w:rPr>
          <w:rFonts w:ascii="Times New Roman" w:hAnsi="Times New Roman" w:cs="Times New Roman"/>
          <w:sz w:val="28"/>
          <w:szCs w:val="28"/>
        </w:rPr>
        <w:t xml:space="preserve">, по данным Государственной службы статистики ПМР, составил </w:t>
      </w:r>
      <w:r w:rsidR="00C12793" w:rsidRPr="00B35B59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 xml:space="preserve">4 666,6 млн руб. и в номинальном выражении на 3,6% превысил базовую отметку </w:t>
      </w:r>
      <w:r w:rsidR="002234B0">
        <w:rPr>
          <w:rFonts w:ascii="Times New Roman" w:hAnsi="Times New Roman" w:cs="Times New Roman"/>
          <w:sz w:val="28"/>
          <w:szCs w:val="28"/>
        </w:rPr>
        <w:t>предыдущего</w:t>
      </w:r>
      <w:r w:rsidRPr="00B35B59">
        <w:rPr>
          <w:rFonts w:ascii="Times New Roman" w:hAnsi="Times New Roman" w:cs="Times New Roman"/>
          <w:sz w:val="28"/>
          <w:szCs w:val="28"/>
        </w:rPr>
        <w:t xml:space="preserve"> года. В долларовом эквиваленте показатель соответствовал </w:t>
      </w:r>
      <w:r w:rsidR="002234B0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 xml:space="preserve">289,8 млн долл. Реальный ВВП (в сопоставимых ценах) под влиянием отдельных негативных факторов, носящих как внутренний, так и внешний характер, в январе-июне текущего года </w:t>
      </w:r>
      <w:r w:rsidR="002234B0">
        <w:rPr>
          <w:rFonts w:ascii="Times New Roman" w:hAnsi="Times New Roman" w:cs="Times New Roman"/>
          <w:sz w:val="28"/>
          <w:szCs w:val="28"/>
        </w:rPr>
        <w:t>сформировался на уровне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99,2%</w:t>
      </w:r>
      <w:r w:rsidR="002234B0">
        <w:rPr>
          <w:rFonts w:ascii="Times New Roman" w:hAnsi="Times New Roman" w:cs="Times New Roman"/>
          <w:sz w:val="28"/>
          <w:szCs w:val="28"/>
        </w:rPr>
        <w:t xml:space="preserve"> от прошлогоднего значения</w:t>
      </w:r>
      <w:r w:rsidRPr="00B35B59">
        <w:rPr>
          <w:rFonts w:ascii="Times New Roman" w:hAnsi="Times New Roman" w:cs="Times New Roman"/>
          <w:sz w:val="28"/>
          <w:szCs w:val="28"/>
        </w:rPr>
        <w:t>.</w:t>
      </w:r>
    </w:p>
    <w:p w:rsidR="00F768DB" w:rsidRPr="00B35B59" w:rsidRDefault="00B35B59" w:rsidP="00F768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Индекс-дефлятор ВВП</w:t>
      </w:r>
      <w:r w:rsidR="00F768DB" w:rsidRPr="00B35B59">
        <w:rPr>
          <w:rFonts w:ascii="Times New Roman" w:hAnsi="Times New Roman" w:cs="Times New Roman"/>
          <w:sz w:val="28"/>
          <w:szCs w:val="28"/>
        </w:rPr>
        <w:t xml:space="preserve"> сложился на уровне 1,0447 (1,0570 в январе-июне 2018 года).</w:t>
      </w:r>
    </w:p>
    <w:p w:rsidR="00F768DB" w:rsidRPr="00B35B59" w:rsidRDefault="00F768DB" w:rsidP="00F768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9">
        <w:rPr>
          <w:rFonts w:ascii="Times New Roman" w:hAnsi="Times New Roman" w:cs="Times New Roman"/>
          <w:sz w:val="28"/>
          <w:szCs w:val="28"/>
        </w:rPr>
        <w:t>Отрицательные тенденции, сконцентрированные в начале года в индустрии и в сельском хозяйстве, несмотря на восходящий тренд показателей, характеризующих деятельность строительного комплекса (результативность в отрасли выросла на 42,3%), определили сжатие показателей материальной сферы и привели к снижению ее удельного веса в структуре совокупного показателя функционирования экономики в первой половине года до 20,48% (-4,0 п.п.).</w:t>
      </w:r>
      <w:proofErr w:type="gramEnd"/>
      <w:r w:rsidRPr="00B35B59">
        <w:rPr>
          <w:rFonts w:ascii="Times New Roman" w:hAnsi="Times New Roman" w:cs="Times New Roman"/>
          <w:sz w:val="28"/>
          <w:szCs w:val="28"/>
        </w:rPr>
        <w:t xml:space="preserve"> Сфера услуг на этом фоне выступила компенсирующим фактором (+11,0% до 3 600,4 млн руб.), расширив свое представительство в структуре ВВП до 77,2% (+5,1 п.п.). </w:t>
      </w:r>
      <w:proofErr w:type="gramStart"/>
      <w:r w:rsidRPr="00B35B59">
        <w:rPr>
          <w:rFonts w:ascii="Times New Roman" w:eastAsia="Times New Roman" w:hAnsi="Times New Roman" w:cs="Times New Roman"/>
          <w:sz w:val="28"/>
          <w:szCs w:val="28"/>
        </w:rPr>
        <w:t xml:space="preserve">При этом увеличение субсидирования товаров и услуг (+16,2%) на фоне падения объема налогов на продукты и импорт (-2,5%) предопределили сокращение фискальной составляющей (чистые налоги на продукты и на импорт (за минусом субсидий) на 29,0% </w:t>
      </w:r>
      <w:r w:rsidR="00B744B6" w:rsidRPr="00B35B59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666C16" w:rsidRPr="00B35B59">
        <w:rPr>
          <w:rFonts w:ascii="Times New Roman" w:eastAsia="Times New Roman" w:hAnsi="Times New Roman" w:cs="Times New Roman"/>
          <w:sz w:val="28"/>
          <w:szCs w:val="28"/>
        </w:rPr>
        <w:t>110,7 млн руб.</w:t>
      </w:r>
      <w:r w:rsidR="00B744B6" w:rsidRPr="00B35B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5B59">
        <w:rPr>
          <w:rFonts w:ascii="Times New Roman" w:eastAsia="Times New Roman" w:hAnsi="Times New Roman" w:cs="Times New Roman"/>
          <w:sz w:val="28"/>
          <w:szCs w:val="28"/>
        </w:rPr>
        <w:t>и сужение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долевого представления в структуре формирования валового внутреннего продукта на 1,</w:t>
      </w:r>
      <w:r w:rsidR="00C12793" w:rsidRPr="00B35B59">
        <w:rPr>
          <w:rFonts w:ascii="Times New Roman" w:hAnsi="Times New Roman" w:cs="Times New Roman"/>
          <w:sz w:val="28"/>
          <w:szCs w:val="28"/>
        </w:rPr>
        <w:t>1</w:t>
      </w:r>
      <w:r w:rsidRPr="00B35B59">
        <w:rPr>
          <w:rFonts w:ascii="Times New Roman" w:hAnsi="Times New Roman" w:cs="Times New Roman"/>
          <w:sz w:val="28"/>
          <w:szCs w:val="28"/>
        </w:rPr>
        <w:t xml:space="preserve"> п.п. до 2,4%.</w:t>
      </w:r>
      <w:proofErr w:type="gramEnd"/>
    </w:p>
    <w:p w:rsidR="00AF4E59" w:rsidRPr="00B35B59" w:rsidRDefault="00AF4E59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4105" w:rsidRPr="00B35B59" w:rsidRDefault="00CA2D2D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Промышленность</w:t>
      </w:r>
    </w:p>
    <w:p w:rsidR="00504105" w:rsidRPr="00B35B59" w:rsidRDefault="009424FF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9">
        <w:rPr>
          <w:rFonts w:ascii="Times New Roman" w:hAnsi="Times New Roman" w:cs="Times New Roman"/>
          <w:sz w:val="28"/>
          <w:szCs w:val="28"/>
        </w:rPr>
        <w:t>П</w:t>
      </w:r>
      <w:r w:rsidR="00504105" w:rsidRPr="00B35B59">
        <w:rPr>
          <w:rFonts w:ascii="Times New Roman" w:hAnsi="Times New Roman" w:cs="Times New Roman"/>
          <w:sz w:val="28"/>
          <w:szCs w:val="28"/>
        </w:rPr>
        <w:t xml:space="preserve">о итогам девяти месяцев 2019 года </w:t>
      </w:r>
      <w:r w:rsidR="00504105" w:rsidRPr="00B35B59">
        <w:rPr>
          <w:rFonts w:ascii="Times New Roman" w:hAnsi="Times New Roman" w:cs="Times New Roman"/>
          <w:b/>
          <w:sz w:val="28"/>
          <w:szCs w:val="28"/>
        </w:rPr>
        <w:t>п</w:t>
      </w:r>
      <w:r w:rsidR="00504105" w:rsidRPr="00B35B59">
        <w:rPr>
          <w:rFonts w:ascii="Times New Roman" w:hAnsi="Times New Roman" w:cs="Times New Roman"/>
          <w:b/>
          <w:snapToGrid w:val="0"/>
          <w:sz w:val="28"/>
          <w:szCs w:val="28"/>
        </w:rPr>
        <w:t>ромышленный выпуск</w:t>
      </w:r>
      <w:r w:rsidR="00B35B5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по крупным предприятиям республики</w:t>
      </w:r>
      <w:r w:rsidR="00504105" w:rsidRPr="00B35B5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04105" w:rsidRPr="00B35B59">
        <w:rPr>
          <w:rFonts w:ascii="Times New Roman" w:hAnsi="Times New Roman" w:cs="Times New Roman"/>
          <w:sz w:val="28"/>
          <w:szCs w:val="28"/>
        </w:rPr>
        <w:t>сложился на отметке 9 353,4 млн руб. Отставание от базисного показателя 2018 года как в текущих ценах (-5,3%) так и в реальном выражении (-4,6%) является следствием общемировых тенденций, жесткой конкуренции на основных товарно-сырьевых рынках, усугубленных проблемами с транспортировкой отечественных грузов, блокированием банковских счетов ряда предприятий и прочими ограничительными</w:t>
      </w:r>
      <w:proofErr w:type="gramEnd"/>
      <w:r w:rsidR="00504105" w:rsidRPr="00B35B59">
        <w:rPr>
          <w:rFonts w:ascii="Times New Roman" w:hAnsi="Times New Roman" w:cs="Times New Roman"/>
          <w:sz w:val="28"/>
          <w:szCs w:val="28"/>
        </w:rPr>
        <w:t xml:space="preserve"> мерами в отношении приднестровских экономических агентов. Вместе с тем, без учета показателей черной металлургии, отмечен рост промышленного производства на 9,5% в текущих и на 3,2% в сопоставимых ценах.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В отраслевом разрезе сложившаяся конъюнктура обеспечила превышение выпуска в</w:t>
      </w:r>
      <w:r w:rsidRPr="00B35B59">
        <w:rPr>
          <w:rFonts w:ascii="Times New Roman" w:hAnsi="Times New Roman" w:cs="Times New Roman"/>
          <w:b/>
          <w:sz w:val="28"/>
          <w:szCs w:val="28"/>
        </w:rPr>
        <w:t xml:space="preserve"> энергетическом комплексе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на 16,6% до 3 081,6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руб.</w:t>
      </w:r>
      <w:r w:rsidRPr="00B35B59">
        <w:rPr>
          <w:rFonts w:ascii="Times New Roman" w:hAnsi="Times New Roman" w:cs="Times New Roman"/>
          <w:sz w:val="28"/>
          <w:szCs w:val="28"/>
        </w:rPr>
        <w:t xml:space="preserve"> (+5,0% в </w:t>
      </w:r>
      <w:r w:rsidRPr="00B35B59">
        <w:rPr>
          <w:rFonts w:ascii="Times New Roman" w:hAnsi="Times New Roman" w:cs="Times New Roman"/>
          <w:sz w:val="28"/>
          <w:szCs w:val="28"/>
        </w:rPr>
        <w:lastRenderedPageBreak/>
        <w:t>сопоставимой оценке)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, что соответствует 32,9% долевого представления отрасли в совокупном объеме индустриального выпуска против 26,8% – в январе-сентябре 2018 года.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натуральном выражении выработка электроэнергии достигла </w:t>
      </w:r>
      <w:r w:rsidR="00C840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3 530,0 млн кВт/</w:t>
      </w:r>
      <w:proofErr w:type="gramStart"/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(+5,5% к уровню января-сентября 2018 года).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В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чёрной металлургии</w:t>
      </w:r>
      <w:r w:rsidR="009424FF" w:rsidRPr="00B35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t xml:space="preserve">несмотря на ряд препятствий для полноценной реализации финансово-хозяйственной деятельности, прирост в </w:t>
      </w:r>
      <w:r w:rsidRPr="00B35B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5B59">
        <w:rPr>
          <w:rFonts w:ascii="Times New Roman" w:hAnsi="Times New Roman" w:cs="Times New Roman"/>
          <w:sz w:val="28"/>
          <w:szCs w:val="28"/>
        </w:rPr>
        <w:t xml:space="preserve"> квартале относительно второго квартала текущего года составил 22,7%, а относительно первого – 52,5%. В целом за девять месяцев отраслевой выпуск, в условиях проводимых антидемпинговых расследований и перестроения логистики </w:t>
      </w:r>
      <w:proofErr w:type="gramStart"/>
      <w:r w:rsidRPr="00B35B59">
        <w:rPr>
          <w:rFonts w:ascii="Times New Roman" w:hAnsi="Times New Roman" w:cs="Times New Roman"/>
          <w:sz w:val="28"/>
          <w:szCs w:val="28"/>
        </w:rPr>
        <w:t>поставок</w:t>
      </w:r>
      <w:proofErr w:type="gramEnd"/>
      <w:r w:rsidRPr="00B35B59">
        <w:rPr>
          <w:rFonts w:ascii="Times New Roman" w:hAnsi="Times New Roman" w:cs="Times New Roman"/>
          <w:sz w:val="28"/>
          <w:szCs w:val="28"/>
        </w:rPr>
        <w:t xml:space="preserve"> как сырья, так и готовой продукции, сложился в пределах 2 510,8 млн руб. (69,1% к уровню аналогичного периода прошлого года в текущих и 78,0% в сопоставимых ценах), сформировав 26,8% совокупного объема индустриального производства. В натуральном выражении производство проката черных металлов составило </w:t>
      </w:r>
      <w:r w:rsidR="00C840CD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>287,9 тыс. тонн. (-25,0%).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5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химической промышленности </w:t>
      </w:r>
      <w:r w:rsidR="009424FF"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девяти месяцев 2019 года отраслевой выпуск на фоне увеличения производства синтетических смол и пластмасс (+23,0%) составил 219,4 млн руб., превысив базисный параметр</w:t>
      </w:r>
      <w:r w:rsidRPr="00B35B59">
        <w:rPr>
          <w:rFonts w:ascii="Times New Roman" w:hAnsi="Times New Roman" w:cs="Times New Roman"/>
          <w:sz w:val="28"/>
          <w:szCs w:val="28"/>
        </w:rPr>
        <w:t xml:space="preserve"> на 7,1% (+12,9% в реальном выражении).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В январе-сентябре 2019 года выпуск </w:t>
      </w:r>
      <w:r w:rsidR="00C840CD" w:rsidRPr="00B35B5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C840CD" w:rsidRPr="00B35B59">
        <w:rPr>
          <w:rFonts w:ascii="Times New Roman" w:hAnsi="Times New Roman" w:cs="Times New Roman"/>
          <w:b/>
          <w:sz w:val="28"/>
          <w:szCs w:val="28"/>
        </w:rPr>
        <w:t>машиностроения и металлообработки</w:t>
      </w:r>
      <w:r w:rsidR="00C840CD"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t>расширился на 17,8% и достиг 339,7 млн руб. (+21,4% в сопоставимых ценах), обеспечив 3,6% совокупного показателя индустрии против 2,9% годом ранее.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Сохранение благоприятных факторов, сформировавших положительную тенденцию развития </w:t>
      </w:r>
      <w:r w:rsidR="009424FF" w:rsidRPr="00B35B59">
        <w:rPr>
          <w:rFonts w:ascii="Times New Roman" w:hAnsi="Times New Roman" w:cs="Times New Roman"/>
          <w:b/>
          <w:sz w:val="28"/>
          <w:szCs w:val="28"/>
        </w:rPr>
        <w:t>электротехнической промышленности</w:t>
      </w:r>
      <w:r w:rsidR="00C840CD">
        <w:rPr>
          <w:rFonts w:ascii="Times New Roman" w:hAnsi="Times New Roman" w:cs="Times New Roman"/>
          <w:b/>
          <w:sz w:val="28"/>
          <w:szCs w:val="28"/>
        </w:rPr>
        <w:t>,</w:t>
      </w:r>
      <w:r w:rsidR="009424FF"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C840CD">
        <w:rPr>
          <w:rFonts w:ascii="Times New Roman" w:hAnsi="Times New Roman" w:cs="Times New Roman"/>
          <w:sz w:val="28"/>
          <w:szCs w:val="28"/>
        </w:rPr>
        <w:t>обеспечило п</w:t>
      </w:r>
      <w:r w:rsidRPr="00B35B59">
        <w:rPr>
          <w:rFonts w:ascii="Times New Roman" w:hAnsi="Times New Roman" w:cs="Times New Roman"/>
          <w:sz w:val="28"/>
          <w:szCs w:val="28"/>
        </w:rPr>
        <w:t xml:space="preserve">о итогам января-сентября </w:t>
      </w:r>
      <w:r w:rsidR="00C840CD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Pr="00B35B59">
        <w:rPr>
          <w:rFonts w:ascii="Times New Roman" w:hAnsi="Times New Roman" w:cs="Times New Roman"/>
          <w:sz w:val="28"/>
          <w:szCs w:val="28"/>
        </w:rPr>
        <w:t>объем</w:t>
      </w:r>
      <w:r w:rsidR="00C840CD">
        <w:rPr>
          <w:rFonts w:ascii="Times New Roman" w:hAnsi="Times New Roman" w:cs="Times New Roman"/>
          <w:sz w:val="28"/>
          <w:szCs w:val="28"/>
        </w:rPr>
        <w:t>а</w:t>
      </w:r>
      <w:r w:rsidRPr="00B35B59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C840CD" w:rsidRPr="00C840CD">
        <w:rPr>
          <w:rFonts w:ascii="Times New Roman" w:hAnsi="Times New Roman" w:cs="Times New Roman"/>
          <w:sz w:val="28"/>
          <w:szCs w:val="28"/>
        </w:rPr>
        <w:t xml:space="preserve"> </w:t>
      </w:r>
      <w:r w:rsidR="00C840CD" w:rsidRPr="00B35B59">
        <w:rPr>
          <w:rFonts w:ascii="Times New Roman" w:hAnsi="Times New Roman" w:cs="Times New Roman"/>
          <w:sz w:val="28"/>
          <w:szCs w:val="28"/>
        </w:rPr>
        <w:t>на 10,7% (+9,6% в сопоставимых ценах)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C840CD">
        <w:rPr>
          <w:rFonts w:ascii="Times New Roman" w:hAnsi="Times New Roman" w:cs="Times New Roman"/>
          <w:sz w:val="28"/>
          <w:szCs w:val="28"/>
        </w:rPr>
        <w:t>до</w:t>
      </w:r>
      <w:r w:rsidRPr="00B35B59">
        <w:rPr>
          <w:rFonts w:ascii="Times New Roman" w:hAnsi="Times New Roman" w:cs="Times New Roman"/>
          <w:sz w:val="28"/>
          <w:szCs w:val="28"/>
        </w:rPr>
        <w:t xml:space="preserve"> 201,5 млн руб.</w:t>
      </w:r>
      <w:r w:rsidR="00C840CD">
        <w:rPr>
          <w:rFonts w:ascii="Times New Roman" w:hAnsi="Times New Roman" w:cs="Times New Roman"/>
          <w:sz w:val="28"/>
          <w:szCs w:val="28"/>
        </w:rPr>
        <w:t xml:space="preserve"> (2,2% индустриального выпуска)</w:t>
      </w:r>
      <w:r w:rsidRPr="00B35B59">
        <w:rPr>
          <w:rFonts w:ascii="Times New Roman" w:hAnsi="Times New Roman" w:cs="Times New Roman"/>
          <w:sz w:val="28"/>
          <w:szCs w:val="28"/>
        </w:rPr>
        <w:t>. Положительная динамика во многом определялась увеличением производства электродвигателей малой мощности (в 2,2 раза), проводов и шнуров осветительных (+ 26,0%), а также силовых кабелей (в 1,5 раза).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Товарный выпуск </w:t>
      </w:r>
      <w:r w:rsidRPr="00B35B59">
        <w:rPr>
          <w:rFonts w:ascii="Times New Roman" w:hAnsi="Times New Roman" w:cs="Times New Roman"/>
          <w:b/>
          <w:sz w:val="28"/>
          <w:szCs w:val="28"/>
        </w:rPr>
        <w:t>промышленности строительных материалов</w:t>
      </w:r>
      <w:r w:rsidR="00B744B6" w:rsidRPr="00B35B59">
        <w:rPr>
          <w:rFonts w:ascii="Times New Roman" w:hAnsi="Times New Roman" w:cs="Times New Roman"/>
          <w:sz w:val="28"/>
          <w:szCs w:val="28"/>
        </w:rPr>
        <w:t>,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B744B6" w:rsidRPr="00B35B59">
        <w:rPr>
          <w:rFonts w:ascii="Times New Roman" w:hAnsi="Times New Roman" w:cs="Times New Roman"/>
          <w:sz w:val="28"/>
          <w:szCs w:val="28"/>
        </w:rPr>
        <w:t>н</w:t>
      </w:r>
      <w:r w:rsidRPr="00B35B59">
        <w:rPr>
          <w:rFonts w:ascii="Times New Roman" w:hAnsi="Times New Roman" w:cs="Times New Roman"/>
          <w:sz w:val="28"/>
          <w:szCs w:val="28"/>
        </w:rPr>
        <w:t xml:space="preserve">есмотря на увеличение выпуска цемента (+4,4%), клинкера (+7,3%) и нерудных строительных материалов (в 1,5 раза), в январе-сентябре остался практически на базисном уровне </w:t>
      </w:r>
      <w:r w:rsidR="00B744B6" w:rsidRPr="00B35B59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>484,9 млн руб. (+2,1% в сопоставимых ценах).</w:t>
      </w:r>
    </w:p>
    <w:p w:rsidR="00C840CD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В </w:t>
      </w:r>
      <w:r w:rsidRPr="00B35B59">
        <w:rPr>
          <w:rFonts w:ascii="Times New Roman" w:hAnsi="Times New Roman" w:cs="Times New Roman"/>
          <w:b/>
          <w:sz w:val="28"/>
          <w:szCs w:val="28"/>
        </w:rPr>
        <w:t>лёгкой промышленности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C840CD">
        <w:rPr>
          <w:rFonts w:ascii="Times New Roman" w:hAnsi="Times New Roman" w:cs="Times New Roman"/>
          <w:sz w:val="28"/>
          <w:szCs w:val="28"/>
        </w:rPr>
        <w:t>в</w:t>
      </w:r>
      <w:r w:rsidRPr="00B35B59">
        <w:rPr>
          <w:rFonts w:ascii="Times New Roman" w:hAnsi="Times New Roman" w:cs="Times New Roman"/>
          <w:sz w:val="28"/>
          <w:szCs w:val="28"/>
        </w:rPr>
        <w:t xml:space="preserve"> целом по итогам девяти месяцев 2019 года </w:t>
      </w:r>
      <w:r w:rsidRPr="00B35B59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произведено продукции на сумму</w:t>
      </w:r>
      <w:r w:rsidRPr="00B35B59">
        <w:rPr>
          <w:rFonts w:ascii="Times New Roman" w:hAnsi="Times New Roman" w:cs="Times New Roman"/>
          <w:sz w:val="28"/>
          <w:szCs w:val="28"/>
        </w:rPr>
        <w:t xml:space="preserve"> 1 131,6 млн руб., или 12,1% совокупного показателя. Отставание от базисного параметра 2018 года составило 2,6% (5,3% в сопоставимых ценах). 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Положительную динамику на фоне роста спроса на отечественную продукцию в условиях реализации политики </w:t>
      </w:r>
      <w:proofErr w:type="spellStart"/>
      <w:r w:rsidRPr="00B35B5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35B59">
        <w:rPr>
          <w:rFonts w:ascii="Times New Roman" w:hAnsi="Times New Roman" w:cs="Times New Roman"/>
          <w:sz w:val="28"/>
          <w:szCs w:val="28"/>
        </w:rPr>
        <w:t xml:space="preserve"> демонстрировали предприятия </w:t>
      </w:r>
      <w:r w:rsidRPr="00B35B59">
        <w:rPr>
          <w:rFonts w:ascii="Times New Roman" w:hAnsi="Times New Roman" w:cs="Times New Roman"/>
          <w:b/>
          <w:snapToGrid w:val="0"/>
          <w:sz w:val="28"/>
          <w:szCs w:val="28"/>
        </w:rPr>
        <w:t>пищевой промышленности</w:t>
      </w:r>
      <w:r w:rsidRPr="00B35B59">
        <w:rPr>
          <w:rFonts w:ascii="Times New Roman" w:hAnsi="Times New Roman" w:cs="Times New Roman"/>
          <w:snapToGrid w:val="0"/>
          <w:sz w:val="28"/>
          <w:szCs w:val="28"/>
        </w:rPr>
        <w:t xml:space="preserve">. В январе-сентябре 2019 года </w:t>
      </w:r>
      <w:r w:rsidRPr="00B35B59">
        <w:rPr>
          <w:rFonts w:ascii="Times New Roman" w:hAnsi="Times New Roman" w:cs="Times New Roman"/>
          <w:sz w:val="28"/>
          <w:szCs w:val="28"/>
        </w:rPr>
        <w:t>совокупный объем продукции отрасли вырос на 6,9% и составил 1 246,1 млн руб. (+4,2% в реальном выражении), обеспечив 13,3% (+1,5 п.п.) индустриального выпуска. В натуральном выражении отмечено увеличение производства консервов (+8,0%), свежего и охлажденного мяса (+38,5%), макаронных (+17,4%) и кондитерских изделий (+8,4%), цельномолочной продукции (+10,7%) и колбасных изделий (+8,5%).</w:t>
      </w:r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59">
        <w:rPr>
          <w:rFonts w:ascii="Times New Roman" w:hAnsi="Times New Roman" w:cs="Times New Roman"/>
          <w:sz w:val="28"/>
          <w:szCs w:val="28"/>
        </w:rPr>
        <w:t xml:space="preserve">Благоприятная ценовая конъюнктура на основные отраслевые товары </w:t>
      </w:r>
      <w:r w:rsidRPr="00B35B59">
        <w:rPr>
          <w:rFonts w:ascii="Times New Roman" w:hAnsi="Times New Roman" w:cs="Times New Roman"/>
          <w:b/>
          <w:sz w:val="28"/>
          <w:szCs w:val="28"/>
        </w:rPr>
        <w:t>мукомольно-крупяной и комбикормовой промышленности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B744B6" w:rsidRPr="00B35B59">
        <w:rPr>
          <w:rFonts w:ascii="Times New Roman" w:hAnsi="Times New Roman" w:cs="Times New Roman"/>
          <w:sz w:val="28"/>
          <w:szCs w:val="28"/>
        </w:rPr>
        <w:t>при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наращивани</w:t>
      </w:r>
      <w:r w:rsidR="00B744B6" w:rsidRPr="00B35B59">
        <w:rPr>
          <w:rFonts w:ascii="Times New Roman" w:hAnsi="Times New Roman" w:cs="Times New Roman"/>
          <w:sz w:val="28"/>
          <w:szCs w:val="28"/>
        </w:rPr>
        <w:t>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lastRenderedPageBreak/>
        <w:t>производства пшеничной муки (+1,5%) и отрубей (+1,4%) позволил</w:t>
      </w:r>
      <w:r w:rsidR="00B744B6" w:rsidRPr="00B35B59">
        <w:rPr>
          <w:rFonts w:ascii="Times New Roman" w:hAnsi="Times New Roman" w:cs="Times New Roman"/>
          <w:sz w:val="28"/>
          <w:szCs w:val="28"/>
        </w:rPr>
        <w:t>а</w:t>
      </w:r>
      <w:r w:rsidRPr="00B35B59">
        <w:rPr>
          <w:rFonts w:ascii="Times New Roman" w:hAnsi="Times New Roman" w:cs="Times New Roman"/>
          <w:sz w:val="28"/>
          <w:szCs w:val="28"/>
        </w:rPr>
        <w:t xml:space="preserve"> сформировать совокупный отраслевой выпуск на уровне 114,4 млн руб. (+21,0% в текущих, +1,4% в сопоставимых ценах).</w:t>
      </w:r>
      <w:proofErr w:type="gramEnd"/>
    </w:p>
    <w:p w:rsidR="00504105" w:rsidRPr="00B35B59" w:rsidRDefault="00504105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r w:rsidRPr="00B35B59">
        <w:rPr>
          <w:rFonts w:ascii="Times New Roman" w:hAnsi="Times New Roman" w:cs="Times New Roman"/>
          <w:b/>
          <w:sz w:val="28"/>
          <w:szCs w:val="28"/>
        </w:rPr>
        <w:t xml:space="preserve">полиграфической промышленности </w:t>
      </w:r>
      <w:r w:rsidRPr="00B35B59">
        <w:rPr>
          <w:rFonts w:ascii="Times New Roman" w:hAnsi="Times New Roman" w:cs="Times New Roman"/>
          <w:sz w:val="28"/>
          <w:szCs w:val="28"/>
        </w:rPr>
        <w:t>за январь-сентябрь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было произведено продукции на 18,0 млн руб., что на 9,6% в текущих ценах превысило уровень января-сентября 2018 года.</w:t>
      </w:r>
    </w:p>
    <w:p w:rsidR="00F768DB" w:rsidRPr="00B35B59" w:rsidRDefault="00F768DB" w:rsidP="005041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C16" w:rsidRPr="00B35B59" w:rsidRDefault="00666C16" w:rsidP="00666C16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Инвестиции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инвестиционного законодательства и создание благоприятных условий для отечественных и иностранных инвесторов, придали импульс инвестиционной активности в республике. По итогам девяти месяцев текущего года объем инвестиций в основной капитал (с учетом субъектов малого предпринимательства и индивидуальных застройщиков) оценен в размере 1 412,0 млн руб. (+29,1% в текущих ценах).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Сумма капитальных вложений на развитие и обновление основных фондов по организациям всех форм собственности (в части новых и приобретенных по импорту основных средств) кроме субъектов малого предпринимательства, согласно данным Государственной службы статистики ПМР, расширилась на 21,6% до </w:t>
      </w:r>
      <w:r w:rsidR="00B3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>1 086,2 млн руб. (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21,8% в сопоставимой оценке).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опережающими темпами росли 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>объёмы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строительно-монтажных работ до 394,0 млн руб.</w:t>
      </w:r>
      <w:r w:rsidR="00C840CD" w:rsidRPr="00C84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0CD" w:rsidRPr="00B35B59">
        <w:rPr>
          <w:rFonts w:ascii="Times New Roman" w:hAnsi="Times New Roman" w:cs="Times New Roman"/>
          <w:color w:val="000000"/>
          <w:sz w:val="28"/>
          <w:szCs w:val="28"/>
        </w:rPr>
        <w:t>(+40,9% в сопоставимых ценах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>, инвестиционные вложения в обновление машин, оборудования, транспортных средств расширились до 671,9 млн руб. (+13,2%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источником финансирования долгосрочных инвестиционных проектов по-прежнему выступали собственные средства субъектов (89,7%, 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+3,3 п.п.). Вместе с 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="00C840CD">
        <w:rPr>
          <w:rFonts w:ascii="Times New Roman" w:hAnsi="Times New Roman" w:cs="Times New Roman"/>
          <w:color w:val="000000"/>
          <w:sz w:val="28"/>
          <w:szCs w:val="28"/>
        </w:rPr>
        <w:t>развитие стимулирующих инструментов в части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механизма кредитования предприятий и организаций реального сектора экономики обеспечило увеличение доли кредитов (займов) банков (+2,3 п.п. до 3,9%). Из средств бюджетов в рассматриваемом периоде было профинансировано 5,4% (+1,3 п.п.) инвестиций.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5B59">
        <w:rPr>
          <w:rFonts w:ascii="Times New Roman" w:hAnsi="Times New Roman" w:cs="Times New Roman"/>
          <w:color w:val="000000"/>
          <w:sz w:val="28"/>
          <w:szCs w:val="28"/>
        </w:rPr>
        <w:t>Структурный анализ инвестиционных потоков в разрезе объектов производственного и непроизводственного назначения свидетельствует, что основной объем капитальных вложений был направлен на строительство, реконструкцию и техническое перевооружение объектов производственного назначения: 981,2 млн руб. (+27,4%), или 90,3% (+3,9 п.п.) в общем объеме инвестиций, что во многом обеспечено созданием механизма льготного кредитования предприятий реального сектора экономики, устанавливающего снижение оплачиваемой предприятиями процентной ставки по</w:t>
      </w:r>
      <w:proofErr w:type="gramEnd"/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привлекаемым кредитам за счет компенсирования банковским учреждениям выпадающих доходов посредством снижения обязательств по уплате налога на доходы. Еще одним каналом капиталовложений является реализация инвестиционных программ и мероприятий в рамках программы Фонда капитальных вложений.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Предпринимаемые меры в области реформирования экономических взаимоотношений как между субъектами внутри государства, так и с партнерами извне способствовали повышательной динамике показателей долгосрочного развития в большинстве отраслей экономики. Структурный анализ инвестиционных вложений в основной капитал по итогам девяти месяцев текущего года показывает, что наибольший объем ресурсов, при превышении базовой отметки на 7,4%, был освоен в промышленности (424,8 млн руб.), обеспечив тем самым 39,1% всех инвестиционных вложений в экономику.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>Инвестиционные вложения в долгосрочное развитие сельскохозяйственной отрасли выросли на 23,5% до 238,8 млн руб.</w:t>
      </w:r>
      <w:r w:rsidR="00D93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(22,0% всех инвестиций).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Существенный рост затрат на обновление материально-технической базы отмечен в сфере торговли и общественного питания (в 3,6 раза, до 212,5 млн руб.), обеспечив 19,6% долевого участия отрасли в общем объеме капитальных вложений.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Повышательный тренд инвестиционной активности </w:t>
      </w:r>
      <w:r w:rsidR="003F70B6"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зафиксирован 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в сфере строительства (в 2,2 раза до 5,8 млн руб.) и в сфере социального обеспечения </w:t>
      </w:r>
      <w:r w:rsidR="00471C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(в 2,7 раза до 1,4 млн руб.).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Меньшим по сравнению с базисным параметром сложился объем средств, направленных на обновление и модернизацию объектов отрасли «Связь» (-15,4% до 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br/>
        <w:t>45,0 млн руб.) и «Транспорт » (-12,4% до 43,9 млн руб.).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На ремонт и обновление объектов здравоохранения </w:t>
      </w:r>
      <w:r w:rsidR="00D93FE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9 месяцев </w:t>
      </w:r>
      <w:r w:rsidR="00471C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3FE2">
        <w:rPr>
          <w:rFonts w:ascii="Times New Roman" w:hAnsi="Times New Roman" w:cs="Times New Roman"/>
          <w:color w:val="000000"/>
          <w:sz w:val="28"/>
          <w:szCs w:val="28"/>
        </w:rPr>
        <w:t>2019 года</w:t>
      </w:r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было направленно 32,5 млн руб. (-17,0%), или 3,0% совокупного показателя. </w:t>
      </w:r>
    </w:p>
    <w:p w:rsidR="002E0AD2" w:rsidRPr="00B35B59" w:rsidRDefault="002E0AD2" w:rsidP="002E0A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05" w:rsidRPr="00B35B59" w:rsidRDefault="00CA2D2D" w:rsidP="00CA2D2D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504105"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нешнеэкономическ</w:t>
      </w:r>
      <w:r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ая</w:t>
      </w:r>
      <w:r w:rsidR="00504105"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деятельност</w:t>
      </w:r>
      <w:r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ь</w:t>
      </w:r>
      <w:r w:rsidR="00504105" w:rsidRPr="00B35B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В соответствии с данными Государственного таможенного комитета ПМР, по итогам 9 месяцев 2019 года совокупная величина внешнеторгового оборота республики составила 1 385,8 млн долл., или 97,8% от сопоставимого уровня прошлого года. Фактором понижательной динамики стало сокращение экспорта до 485,1 млн долл. (-7,7% к базисной отметке 2018 года) вследствие сохранения действия внешних ограничительных мер в отношении металлургической промышленности Приднестровья. Вместе с тем, без учета поставок продукции черной металлургии стоимостная величина экспортных поставок возросла на 10,4% до 324,3 млн долл.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Объем импортных поставок (с учетом операций физических лиц) по итогам января-сентября 2019 года составил 900,7 млн долл., увеличившись на 1,1% к базовому уровню прошлого года. Без учета металлургического сырья импорт возрос на 8,3% до 766,9 млн долл. Результатом внешнеторговых сделок экономических агентов стало формирование отрицательного сальдо на уровне -415,7 млн долл. против -365,7 млн долл. в январе-сентябре 2018 года.</w:t>
      </w:r>
      <w:bookmarkStart w:id="0" w:name="_GoBack"/>
      <w:bookmarkEnd w:id="0"/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5B59">
        <w:rPr>
          <w:rFonts w:ascii="Times New Roman" w:hAnsi="Times New Roman" w:cs="Times New Roman"/>
          <w:color w:val="000000"/>
          <w:sz w:val="28"/>
          <w:szCs w:val="28"/>
        </w:rPr>
        <w:t>Разновекторная</w:t>
      </w:r>
      <w:proofErr w:type="spellEnd"/>
      <w:r w:rsidRPr="00B35B59">
        <w:rPr>
          <w:rFonts w:ascii="Times New Roman" w:hAnsi="Times New Roman" w:cs="Times New Roman"/>
          <w:color w:val="000000"/>
          <w:sz w:val="28"/>
          <w:szCs w:val="28"/>
        </w:rPr>
        <w:t xml:space="preserve"> динамика структурных составляющих обусловила следующие корректировки их удельного представления.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Несмотря на снижение стоимостной величины экспортируемых черных </w:t>
      </w:r>
      <w:proofErr w:type="gramStart"/>
      <w:r w:rsidRPr="00B35B59">
        <w:rPr>
          <w:rFonts w:ascii="Times New Roman" w:hAnsi="Times New Roman" w:cs="Times New Roman"/>
          <w:sz w:val="28"/>
          <w:szCs w:val="28"/>
        </w:rPr>
        <w:t>металлов</w:t>
      </w:r>
      <w:proofErr w:type="gramEnd"/>
      <w:r w:rsidRPr="00B35B59">
        <w:rPr>
          <w:rFonts w:ascii="Times New Roman" w:hAnsi="Times New Roman" w:cs="Times New Roman"/>
          <w:sz w:val="28"/>
          <w:szCs w:val="28"/>
        </w:rPr>
        <w:t xml:space="preserve"> и изделий из них до 160,8 млн долл. (-30,6%), они по-прежнему сохранили лидирующую позицию в товарной структуре экспорта – 33,2% (-10,9 п.п.). 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Экспортные поставки топливно-энергетических товаров в стоимостном выражении увеличились к уровню января-сентября 2018 года на 19,3% до </w:t>
      </w:r>
      <w:r w:rsidR="00D93FE2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>105,0 млн долл., что сопровождалось повышением доли данной статьи до 21,6% (+4,9 п.п.).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Объем поставляемых за рубеж продовольственных товаров и сырья увеличился на 8,3% до 94,1 млн долл. с ростом удельного представления до 19,4% (+2,9 п.п</w:t>
      </w:r>
      <w:r w:rsidR="00CA2D2D" w:rsidRPr="00B35B59">
        <w:rPr>
          <w:rFonts w:ascii="Times New Roman" w:hAnsi="Times New Roman" w:cs="Times New Roman"/>
          <w:sz w:val="28"/>
          <w:szCs w:val="28"/>
        </w:rPr>
        <w:t>.</w:t>
      </w:r>
      <w:r w:rsidRPr="00B35B59">
        <w:rPr>
          <w:rFonts w:ascii="Times New Roman" w:hAnsi="Times New Roman" w:cs="Times New Roman"/>
          <w:sz w:val="28"/>
          <w:szCs w:val="28"/>
        </w:rPr>
        <w:t>).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Экспорт товаров легкой промышленности (текстильные материалы, одежда, текстильные изделия, обувь) в денежном эквиваленте составил 50,2 млн долл. </w:t>
      </w:r>
      <w:r w:rsidR="00D93FE2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>(-10,4% к уровню девяти месяцев 2018 года), или 10,4% (-0,3 п.п.) в совокупной структуре. В данной группе зафиксировано снижение по всем товарным категориям.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Объем реализуемых за границу минеральных продуктов, включая цемент, превысил сопоставимый уровень прошлого года на 20,0%, составив 37,6 млн долл., или 7,8% (+1,8 п.п.) совокупного показателя.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Экспорт машиностроительной продукции увеличился на 18,8% до </w:t>
      </w:r>
      <w:r w:rsidR="00471C73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>24,4 млн долл., обеспечив 5,0% (+1,1 п.п.) в товарной структуре экспорта.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В январе-сентябре 2019 года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t>поставки были преимущественно ориентированы на следующие страны:</w:t>
      </w:r>
    </w:p>
    <w:p w:rsidR="00504105" w:rsidRPr="00B35B59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 - Республика Молдова – 37,0% совокупного экспорта, или 179,6 млн долл. (+16,0% к уровню января-сентября 2018 года); 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 xml:space="preserve">- Украина– 19,4%, или 94,1 млн долл. (-16,6%); 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Российская Федерация– 13,1%, или 63,6 млн долл. (+18,3%);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 xml:space="preserve">- Румыния– 12,7%, или 61,4 млн долл. (-31,0%); 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Польша– 5,8%, или 28,4 млн долл. (-41,7%).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 xml:space="preserve">В рассматриваемом периоде в структуре импорта наибольший удельный вес (41,4%, +4,8 п.п.) пришелся на топливно-энергетические товары, по которым отмечен рост на 14,1% до 372,7 млн долл. 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 xml:space="preserve">Сырья для черной металлургии было импортировано на сумму 133,8 млн долл. </w:t>
      </w:r>
      <w:r w:rsidR="00CA2D2D" w:rsidRPr="00B35B59">
        <w:rPr>
          <w:sz w:val="28"/>
          <w:szCs w:val="28"/>
        </w:rPr>
        <w:br/>
      </w:r>
      <w:r w:rsidRPr="00B35B59">
        <w:rPr>
          <w:sz w:val="28"/>
          <w:szCs w:val="28"/>
        </w:rPr>
        <w:t>(-27,0%), при этом удельный вес группы сузился до 14,9% (-5,7 п.п.).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Объем ввезенной на территорию республики машиностроительной продукции в денежном эквиваленте сложился на уровне 106,9 млн долл. (+9,5%), с расширением долевого участия в структуре импорта до 11,9% (+0,9 п.п.).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 xml:space="preserve">Импорт продовольственных товаров (сырья) превысил уровень января-сентября </w:t>
      </w:r>
      <w:r w:rsidR="00CA2D2D" w:rsidRPr="00B35B59">
        <w:rPr>
          <w:sz w:val="28"/>
          <w:szCs w:val="28"/>
        </w:rPr>
        <w:br/>
      </w:r>
      <w:r w:rsidRPr="00B35B59">
        <w:rPr>
          <w:sz w:val="28"/>
          <w:szCs w:val="28"/>
        </w:rPr>
        <w:t>2018 года на 2,0%, достигнув</w:t>
      </w:r>
      <w:r w:rsidR="00D93FE2">
        <w:rPr>
          <w:sz w:val="28"/>
          <w:szCs w:val="28"/>
        </w:rPr>
        <w:t xml:space="preserve"> </w:t>
      </w:r>
      <w:r w:rsidRPr="00B35B59">
        <w:rPr>
          <w:sz w:val="28"/>
          <w:szCs w:val="28"/>
        </w:rPr>
        <w:t>98,3 млн долл. Вклад данной группы в структуру поставок достиг</w:t>
      </w:r>
      <w:r w:rsidR="00D93FE2">
        <w:rPr>
          <w:sz w:val="28"/>
          <w:szCs w:val="28"/>
        </w:rPr>
        <w:t xml:space="preserve"> </w:t>
      </w:r>
      <w:r w:rsidRPr="00B35B59">
        <w:rPr>
          <w:sz w:val="28"/>
          <w:szCs w:val="28"/>
        </w:rPr>
        <w:t>10,9% (+0,1 п.п.).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Ввоз из-за рубежа продукции химической и связанных с ней отраслей промышленности сократился к базисному уровню на 0,8% до 66,3 млн долл., или 7,4% (-0,1 п.п.) в совокупном импорте.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Объем зарубежных закупок товаров легкой промышленности увеличился на 4,9% до 41,1 млн долл., что расширило удельное представление данной группы до 4,6% (+0,2 п.п.).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Большая часть импортируемой продукции поступала на территорию республики из таких стран как: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Российская Федерация – 46,3% совокупного импорта, или 417,4 млн долл. (+19,2% к уровню января-сентября 2018 года);</w:t>
      </w:r>
    </w:p>
    <w:p w:rsidR="00504105" w:rsidRPr="00B35B59" w:rsidRDefault="00504105" w:rsidP="00504105">
      <w:pPr>
        <w:pStyle w:val="a4"/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Украина – 15,3%, или 137,8 млн долл. (-37,2%);</w:t>
      </w:r>
    </w:p>
    <w:p w:rsidR="00504105" w:rsidRPr="00B35B59" w:rsidRDefault="00504105" w:rsidP="00504105">
      <w:pPr>
        <w:pStyle w:val="2"/>
        <w:widowControl/>
        <w:tabs>
          <w:tab w:val="left" w:pos="1080"/>
        </w:tabs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Республика Молдова – 9,2%, или 83,1 млн долл. (-4,8%);</w:t>
      </w:r>
    </w:p>
    <w:p w:rsidR="00504105" w:rsidRPr="00B35B59" w:rsidRDefault="00504105" w:rsidP="00504105">
      <w:pPr>
        <w:pStyle w:val="2"/>
        <w:widowControl/>
        <w:tabs>
          <w:tab w:val="left" w:pos="1080"/>
        </w:tabs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Румыния – 6,2%, или 56,3 млн долл. (+69,2%);</w:t>
      </w:r>
    </w:p>
    <w:p w:rsidR="00504105" w:rsidRPr="00B35B59" w:rsidRDefault="00504105" w:rsidP="00504105">
      <w:pPr>
        <w:pStyle w:val="2"/>
        <w:widowControl/>
        <w:tabs>
          <w:tab w:val="left" w:pos="1080"/>
        </w:tabs>
        <w:ind w:firstLine="426"/>
        <w:rPr>
          <w:sz w:val="28"/>
          <w:szCs w:val="28"/>
        </w:rPr>
      </w:pPr>
      <w:r w:rsidRPr="00B35B59">
        <w:rPr>
          <w:sz w:val="28"/>
          <w:szCs w:val="28"/>
        </w:rPr>
        <w:t>- Республика Беларусь – 4,0%, или 36,2 млн долл. (+0,2%).</w:t>
      </w:r>
    </w:p>
    <w:p w:rsidR="00504105" w:rsidRDefault="00504105" w:rsidP="0050410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4C3" w:rsidRPr="00B35B59" w:rsidRDefault="009954C3" w:rsidP="00CA2D2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9954C3" w:rsidRPr="00B35B59" w:rsidRDefault="009954C3" w:rsidP="009954C3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Складывающаяся конъюнктура позволила обеспечить восходящий тренд показателей, характеризующих потребительский рынок. </w:t>
      </w:r>
      <w:proofErr w:type="gramStart"/>
      <w:r w:rsidR="0060033E" w:rsidRPr="00B35B59">
        <w:rPr>
          <w:rFonts w:ascii="Times New Roman" w:hAnsi="Times New Roman" w:cs="Times New Roman"/>
          <w:sz w:val="28"/>
          <w:szCs w:val="28"/>
        </w:rPr>
        <w:t>П</w:t>
      </w:r>
      <w:r w:rsidRPr="00B35B59">
        <w:rPr>
          <w:rFonts w:ascii="Times New Roman" w:hAnsi="Times New Roman" w:cs="Times New Roman"/>
          <w:sz w:val="28"/>
          <w:szCs w:val="28"/>
        </w:rPr>
        <w:t xml:space="preserve">о </w:t>
      </w:r>
      <w:r w:rsidR="00D93FE2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CA2D2D" w:rsidRPr="00B35B59">
        <w:rPr>
          <w:rFonts w:ascii="Times New Roman" w:hAnsi="Times New Roman" w:cs="Times New Roman"/>
          <w:sz w:val="28"/>
          <w:szCs w:val="28"/>
        </w:rPr>
        <w:t xml:space="preserve">статистическим </w:t>
      </w:r>
      <w:r w:rsidRPr="00B35B59">
        <w:rPr>
          <w:rFonts w:ascii="Times New Roman" w:hAnsi="Times New Roman" w:cs="Times New Roman"/>
          <w:sz w:val="28"/>
          <w:szCs w:val="28"/>
        </w:rPr>
        <w:t>данным</w:t>
      </w:r>
      <w:r w:rsidR="00CA2D2D" w:rsidRPr="00B35B59">
        <w:rPr>
          <w:rFonts w:ascii="Times New Roman" w:hAnsi="Times New Roman" w:cs="Times New Roman"/>
          <w:sz w:val="28"/>
          <w:szCs w:val="28"/>
        </w:rPr>
        <w:t>,</w:t>
      </w:r>
      <w:r w:rsidRPr="00B35B59">
        <w:rPr>
          <w:rFonts w:ascii="Times New Roman" w:hAnsi="Times New Roman" w:cs="Times New Roman"/>
          <w:sz w:val="28"/>
          <w:szCs w:val="28"/>
        </w:rPr>
        <w:t xml:space="preserve"> совокупный объём приобретенных населением товаров и услуг по итогам января-сентября </w:t>
      </w:r>
      <w:r w:rsidR="0060033E" w:rsidRPr="00B35B59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B35B59">
        <w:rPr>
          <w:rFonts w:ascii="Times New Roman" w:hAnsi="Times New Roman" w:cs="Times New Roman"/>
          <w:sz w:val="28"/>
          <w:szCs w:val="28"/>
        </w:rPr>
        <w:t>в номинальном выражении вырос на 10,4%</w:t>
      </w:r>
      <w:r w:rsidRPr="00B35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t xml:space="preserve">до 7 681,4 млн руб., в реальном (при исключении влияния ценового фактора) его величина на 5,9% превысила базисную отметку </w:t>
      </w:r>
      <w:r w:rsidR="00D93FE2">
        <w:rPr>
          <w:rFonts w:ascii="Times New Roman" w:hAnsi="Times New Roman" w:cs="Times New Roman"/>
          <w:sz w:val="28"/>
          <w:szCs w:val="28"/>
        </w:rPr>
        <w:t>2018</w:t>
      </w:r>
      <w:r w:rsidRPr="00B35B59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BE7E0C" w:rsidRPr="00B35B59">
        <w:rPr>
          <w:rFonts w:ascii="Times New Roman" w:hAnsi="Times New Roman" w:cs="Times New Roman"/>
          <w:sz w:val="28"/>
          <w:szCs w:val="28"/>
        </w:rPr>
        <w:t>П</w:t>
      </w:r>
      <w:r w:rsidRPr="00B35B59">
        <w:rPr>
          <w:rFonts w:ascii="Times New Roman" w:hAnsi="Times New Roman" w:cs="Times New Roman"/>
          <w:sz w:val="28"/>
          <w:szCs w:val="28"/>
        </w:rPr>
        <w:t>овышательный тренд в сфере розничной торговли (+</w:t>
      </w:r>
      <w:r w:rsidR="00BE7E0C" w:rsidRPr="00B35B59">
        <w:rPr>
          <w:rFonts w:ascii="Times New Roman" w:hAnsi="Times New Roman" w:cs="Times New Roman"/>
          <w:sz w:val="28"/>
          <w:szCs w:val="28"/>
        </w:rPr>
        <w:t>11,5</w:t>
      </w:r>
      <w:r w:rsidRPr="00B35B59">
        <w:rPr>
          <w:rFonts w:ascii="Times New Roman" w:hAnsi="Times New Roman" w:cs="Times New Roman"/>
          <w:sz w:val="28"/>
          <w:szCs w:val="28"/>
        </w:rPr>
        <w:t>%), сформировавшей свыше 74% емкости рынка</w:t>
      </w:r>
      <w:r w:rsidR="00BE7E0C" w:rsidRPr="00B35B59">
        <w:rPr>
          <w:rFonts w:ascii="Times New Roman" w:hAnsi="Times New Roman" w:cs="Times New Roman"/>
          <w:sz w:val="28"/>
          <w:szCs w:val="28"/>
        </w:rPr>
        <w:t>, поддерживался активизацией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BE7E0C" w:rsidRPr="00B35B59">
        <w:rPr>
          <w:rFonts w:ascii="Times New Roman" w:hAnsi="Times New Roman" w:cs="Times New Roman"/>
          <w:sz w:val="28"/>
          <w:szCs w:val="28"/>
        </w:rPr>
        <w:t>в сфере услуг (+7,0%) 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общественного питания (+</w:t>
      </w:r>
      <w:r w:rsidR="00BE7E0C" w:rsidRPr="00B35B59">
        <w:rPr>
          <w:rFonts w:ascii="Times New Roman" w:hAnsi="Times New Roman" w:cs="Times New Roman"/>
          <w:sz w:val="28"/>
          <w:szCs w:val="28"/>
        </w:rPr>
        <w:t>10,8</w:t>
      </w:r>
      <w:r w:rsidRPr="00B35B59">
        <w:rPr>
          <w:rFonts w:ascii="Times New Roman" w:hAnsi="Times New Roman" w:cs="Times New Roman"/>
          <w:sz w:val="28"/>
          <w:szCs w:val="28"/>
        </w:rPr>
        <w:t>%).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B59">
        <w:rPr>
          <w:rFonts w:ascii="Times New Roman" w:hAnsi="Times New Roman" w:cs="Times New Roman"/>
          <w:b/>
          <w:sz w:val="28"/>
          <w:szCs w:val="28"/>
        </w:rPr>
        <w:t>Розничная торговля</w:t>
      </w:r>
    </w:p>
    <w:p w:rsidR="00520676" w:rsidRPr="00B35B59" w:rsidRDefault="00520676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9 месяцев </w:t>
      </w:r>
      <w:r w:rsidRPr="00B35B59">
        <w:rPr>
          <w:rFonts w:ascii="Times New Roman" w:hAnsi="Times New Roman" w:cs="Times New Roman"/>
          <w:sz w:val="28"/>
          <w:szCs w:val="28"/>
        </w:rPr>
        <w:t xml:space="preserve">на внутреннем рынке республики было реализовано потребительских товаров на сумму 5 706,5 млн руб., что выше базисной отметки на 11,5%, 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 учетом корректировки на инфляционный фактор </w:t>
      </w:r>
      <w:r w:rsidRPr="00B35B59">
        <w:rPr>
          <w:rFonts w:ascii="Times New Roman" w:hAnsi="Times New Roman" w:cs="Times New Roman"/>
          <w:sz w:val="28"/>
          <w:szCs w:val="28"/>
        </w:rPr>
        <w:t xml:space="preserve">– на 6,5%. </w:t>
      </w:r>
    </w:p>
    <w:p w:rsidR="009954C3" w:rsidRPr="00B35B59" w:rsidRDefault="00BE2620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Товарная структура рынка в рассматриваемом периоде не претерпела существенного изменения: продуктовый сегмент (включая алкогольные напитки и пиво) обеспечил 42,2% розничного товарооборота, сектор 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непродовольственных товаров </w:t>
      </w:r>
      <w:r w:rsidRPr="00B35B59">
        <w:rPr>
          <w:rFonts w:ascii="Times New Roman" w:hAnsi="Times New Roman" w:cs="Times New Roman"/>
          <w:sz w:val="28"/>
          <w:szCs w:val="28"/>
        </w:rPr>
        <w:t xml:space="preserve">– 57,8% (+0,1 п.п.). При этом на 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E7E0C" w:rsidRPr="00B35B59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B35B59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9954C3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3 297,4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Pr="00B35B59">
        <w:rPr>
          <w:rFonts w:ascii="Times New Roman" w:hAnsi="Times New Roman" w:cs="Times New Roman"/>
          <w:sz w:val="28"/>
          <w:szCs w:val="28"/>
        </w:rPr>
        <w:t xml:space="preserve"> (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+10,7% в сопоставимой оценке</w:t>
      </w:r>
      <w:r w:rsidR="009954C3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954C3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Pr="00B35B59">
        <w:rPr>
          <w:rFonts w:ascii="Times New Roman" w:hAnsi="Times New Roman" w:cs="Times New Roman"/>
          <w:sz w:val="28"/>
          <w:szCs w:val="28"/>
        </w:rPr>
        <w:t>покупку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Pr="00B35B59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520676"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FE07A8">
        <w:rPr>
          <w:rFonts w:ascii="Times New Roman" w:hAnsi="Times New Roman" w:cs="Times New Roman"/>
          <w:sz w:val="28"/>
          <w:szCs w:val="28"/>
        </w:rPr>
        <w:t>–</w:t>
      </w:r>
      <w:r w:rsidRPr="00B35B59">
        <w:rPr>
          <w:rFonts w:ascii="Times New Roman" w:hAnsi="Times New Roman" w:cs="Times New Roman"/>
          <w:sz w:val="28"/>
          <w:szCs w:val="28"/>
        </w:rPr>
        <w:t xml:space="preserve"> 2 409,1 млн руб. </w:t>
      </w:r>
      <w:r w:rsidR="00520676" w:rsidRPr="00B35B59">
        <w:rPr>
          <w:rFonts w:ascii="Times New Roman" w:hAnsi="Times New Roman" w:cs="Times New Roman"/>
          <w:sz w:val="28"/>
          <w:szCs w:val="28"/>
        </w:rPr>
        <w:t>(+0,8%)</w:t>
      </w:r>
      <w:r w:rsidRPr="00B35B59">
        <w:rPr>
          <w:rFonts w:ascii="Times New Roman" w:hAnsi="Times New Roman" w:cs="Times New Roman"/>
          <w:sz w:val="28"/>
          <w:szCs w:val="28"/>
        </w:rPr>
        <w:t>.</w:t>
      </w:r>
      <w:r w:rsidR="009954C3" w:rsidRPr="00B3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B59">
        <w:rPr>
          <w:rFonts w:ascii="Times New Roman" w:hAnsi="Times New Roman" w:cs="Times New Roman"/>
          <w:sz w:val="28"/>
          <w:szCs w:val="28"/>
        </w:rPr>
        <w:t>Потребительский спрос на услуги организаций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5B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общественного питания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январе-сентябре 2019 года </w:t>
      </w:r>
      <w:r w:rsidR="00BE2620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стимулировал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увеличение выручки </w:t>
      </w:r>
      <w:r w:rsidR="00520676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 w:rsidR="00520676" w:rsidRPr="00B35B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20676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данного сегмента рынка, 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по оценке</w:t>
      </w:r>
      <w:r w:rsidR="00520676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10,8% до 200,1 млн руб.</w:t>
      </w:r>
      <w:r w:rsidRPr="00B35B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D135F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сновная доля была сформирована организациями негосударственной формы собственности</w:t>
      </w:r>
      <w:r w:rsidR="00520676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(84,5%)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, расширившими продаж</w:t>
      </w:r>
      <w:r w:rsidR="00DD135F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169,2 млн руб. </w:t>
      </w:r>
      <w:r w:rsidR="00FB7400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(+12,4%). 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Организациями государственной и муниципальной формы собственности было обеспечено 15,5% товарооборота общественного питания, или</w:t>
      </w:r>
      <w:r w:rsidR="00520676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30,9 млн руб. (+2,5%). </w:t>
      </w:r>
    </w:p>
    <w:p w:rsidR="009954C3" w:rsidRPr="00B35B59" w:rsidRDefault="009954C3" w:rsidP="009954C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5B59">
        <w:rPr>
          <w:rFonts w:ascii="Times New Roman" w:hAnsi="Times New Roman" w:cs="Times New Roman"/>
          <w:b/>
          <w:sz w:val="28"/>
          <w:szCs w:val="28"/>
        </w:rPr>
        <w:t>Рынок платных услуг населению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Совокупный объем средств, </w:t>
      </w:r>
      <w:r w:rsidR="00C12793" w:rsidRPr="00B35B59">
        <w:rPr>
          <w:rFonts w:ascii="Times New Roman" w:hAnsi="Times New Roman" w:cs="Times New Roman"/>
          <w:sz w:val="28"/>
          <w:szCs w:val="28"/>
        </w:rPr>
        <w:t>затраченных</w:t>
      </w:r>
      <w:r w:rsidRPr="00B35B59">
        <w:rPr>
          <w:rFonts w:ascii="Times New Roman" w:hAnsi="Times New Roman" w:cs="Times New Roman"/>
          <w:sz w:val="28"/>
          <w:szCs w:val="28"/>
        </w:rPr>
        <w:t xml:space="preserve"> населением на оплату услуг в январе-сентябре текущего года</w:t>
      </w:r>
      <w:r w:rsidR="0060033E" w:rsidRPr="00B35B59">
        <w:rPr>
          <w:rFonts w:ascii="Times New Roman" w:hAnsi="Times New Roman" w:cs="Times New Roman"/>
          <w:sz w:val="28"/>
          <w:szCs w:val="28"/>
        </w:rPr>
        <w:t>,</w:t>
      </w:r>
      <w:r w:rsidRPr="00B35B59">
        <w:rPr>
          <w:rFonts w:ascii="Times New Roman" w:hAnsi="Times New Roman" w:cs="Times New Roman"/>
          <w:sz w:val="28"/>
          <w:szCs w:val="28"/>
        </w:rPr>
        <w:t xml:space="preserve"> оцен</w:t>
      </w:r>
      <w:r w:rsidR="00520676" w:rsidRPr="00B35B59">
        <w:rPr>
          <w:rFonts w:ascii="Times New Roman" w:hAnsi="Times New Roman" w:cs="Times New Roman"/>
          <w:sz w:val="28"/>
          <w:szCs w:val="28"/>
        </w:rPr>
        <w:t>ен на уровне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1 774,8 млн руб., что на 7,0% </w:t>
      </w:r>
      <w:r w:rsidR="00FE07A8">
        <w:rPr>
          <w:rFonts w:ascii="Times New Roman" w:hAnsi="Times New Roman" w:cs="Times New Roman"/>
          <w:sz w:val="28"/>
          <w:szCs w:val="28"/>
        </w:rPr>
        <w:t>выше базисной отметки 2018 года, в реальном выражении –</w:t>
      </w:r>
      <w:r w:rsidRPr="00B35B59">
        <w:rPr>
          <w:rFonts w:ascii="Times New Roman" w:hAnsi="Times New Roman" w:cs="Times New Roman"/>
          <w:sz w:val="28"/>
          <w:szCs w:val="28"/>
        </w:rPr>
        <w:t xml:space="preserve"> на 4,8%.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В сегменте услуг 52,3% </w:t>
      </w:r>
      <w:r w:rsidR="00DD135F" w:rsidRPr="00B35B59">
        <w:rPr>
          <w:rFonts w:ascii="Times New Roman" w:hAnsi="Times New Roman" w:cs="Times New Roman"/>
          <w:sz w:val="28"/>
          <w:szCs w:val="28"/>
        </w:rPr>
        <w:t>(</w:t>
      </w:r>
      <w:r w:rsidRPr="00B35B59">
        <w:rPr>
          <w:rFonts w:ascii="Times New Roman" w:hAnsi="Times New Roman" w:cs="Times New Roman"/>
          <w:sz w:val="28"/>
          <w:szCs w:val="28"/>
        </w:rPr>
        <w:t>+1,1 п.п.) сформирова</w:t>
      </w:r>
      <w:r w:rsidR="00DD135F" w:rsidRPr="00B35B59">
        <w:rPr>
          <w:rFonts w:ascii="Times New Roman" w:hAnsi="Times New Roman" w:cs="Times New Roman"/>
          <w:sz w:val="28"/>
          <w:szCs w:val="28"/>
        </w:rPr>
        <w:t>ли</w:t>
      </w:r>
      <w:r w:rsidRPr="00B35B59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D135F" w:rsidRPr="00B35B59">
        <w:rPr>
          <w:rFonts w:ascii="Times New Roman" w:hAnsi="Times New Roman" w:cs="Times New Roman"/>
          <w:sz w:val="28"/>
          <w:szCs w:val="28"/>
        </w:rPr>
        <w:t>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D135F" w:rsidRPr="00B35B59">
        <w:rPr>
          <w:rFonts w:ascii="Times New Roman" w:hAnsi="Times New Roman" w:cs="Times New Roman"/>
          <w:sz w:val="28"/>
          <w:szCs w:val="28"/>
        </w:rPr>
        <w:t>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135F" w:rsidRPr="00B35B59">
        <w:rPr>
          <w:rFonts w:ascii="Times New Roman" w:hAnsi="Times New Roman" w:cs="Times New Roman"/>
          <w:sz w:val="28"/>
          <w:szCs w:val="28"/>
        </w:rPr>
        <w:t>и</w:t>
      </w:r>
      <w:r w:rsidR="00520676" w:rsidRPr="00B35B59">
        <w:rPr>
          <w:rFonts w:ascii="Times New Roman" w:hAnsi="Times New Roman" w:cs="Times New Roman"/>
          <w:sz w:val="28"/>
          <w:szCs w:val="28"/>
        </w:rPr>
        <w:t xml:space="preserve"> (+</w:t>
      </w:r>
      <w:r w:rsidRPr="00B35B59">
        <w:rPr>
          <w:rFonts w:ascii="Times New Roman" w:hAnsi="Times New Roman" w:cs="Times New Roman"/>
          <w:sz w:val="28"/>
          <w:szCs w:val="28"/>
        </w:rPr>
        <w:t xml:space="preserve">9,1% </w:t>
      </w:r>
      <w:r w:rsidR="00520676" w:rsidRPr="00B35B59">
        <w:rPr>
          <w:rFonts w:ascii="Times New Roman" w:hAnsi="Times New Roman" w:cs="Times New Roman"/>
          <w:sz w:val="28"/>
          <w:szCs w:val="28"/>
        </w:rPr>
        <w:t>до</w:t>
      </w:r>
      <w:r w:rsidRPr="00B35B59">
        <w:rPr>
          <w:rFonts w:ascii="Times New Roman" w:hAnsi="Times New Roman" w:cs="Times New Roman"/>
          <w:sz w:val="28"/>
          <w:szCs w:val="28"/>
        </w:rPr>
        <w:t xml:space="preserve"> 927,8 млн. руб.</w:t>
      </w:r>
      <w:r w:rsidR="00520676" w:rsidRPr="00B35B59">
        <w:rPr>
          <w:rFonts w:ascii="Times New Roman" w:hAnsi="Times New Roman" w:cs="Times New Roman"/>
          <w:sz w:val="28"/>
          <w:szCs w:val="28"/>
        </w:rPr>
        <w:t xml:space="preserve">). </w:t>
      </w:r>
      <w:r w:rsidRPr="00B35B59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60033E" w:rsidRPr="00B35B59">
        <w:rPr>
          <w:rFonts w:ascii="Times New Roman" w:hAnsi="Times New Roman" w:cs="Times New Roman"/>
          <w:sz w:val="28"/>
          <w:szCs w:val="28"/>
        </w:rPr>
        <w:t>субъектов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негосударственной формы собственности, включая физических лиц, обеспечили 47,7% </w:t>
      </w:r>
      <w:r w:rsidR="0060033E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(+</w:t>
      </w:r>
      <w:r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4,7% до 846,9 млн руб.</w:t>
      </w:r>
      <w:r w:rsidR="0060033E" w:rsidRPr="00B35B5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60033E" w:rsidRPr="00B35B59" w:rsidRDefault="0060033E" w:rsidP="009954C3">
      <w:pPr>
        <w:tabs>
          <w:tab w:val="left" w:pos="3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C3" w:rsidRPr="00B35B59" w:rsidRDefault="009954C3" w:rsidP="00C12793">
      <w:pPr>
        <w:tabs>
          <w:tab w:val="left" w:pos="384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Инфляционные процессы на потребительском рынке </w:t>
      </w:r>
    </w:p>
    <w:p w:rsidR="009954C3" w:rsidRPr="00B35B59" w:rsidRDefault="009954C3" w:rsidP="0060033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Согласно данным Государственной службы статистики ПМР, по итогам января</w:t>
      </w:r>
      <w:r w:rsidR="00B744B6" w:rsidRPr="00B35B59">
        <w:rPr>
          <w:rFonts w:ascii="Times New Roman" w:hAnsi="Times New Roman" w:cs="Times New Roman"/>
          <w:sz w:val="28"/>
          <w:szCs w:val="28"/>
        </w:rPr>
        <w:t>-</w:t>
      </w:r>
      <w:r w:rsidRPr="00B35B59">
        <w:rPr>
          <w:rFonts w:ascii="Times New Roman" w:hAnsi="Times New Roman" w:cs="Times New Roman"/>
          <w:sz w:val="28"/>
          <w:szCs w:val="28"/>
        </w:rPr>
        <w:t>сентября инфляция</w:t>
      </w:r>
      <w:r w:rsidR="00FE07A8">
        <w:rPr>
          <w:rFonts w:ascii="Times New Roman" w:hAnsi="Times New Roman" w:cs="Times New Roman"/>
          <w:sz w:val="28"/>
          <w:szCs w:val="28"/>
        </w:rPr>
        <w:t xml:space="preserve"> в Приднестровье</w:t>
      </w:r>
      <w:r w:rsidRPr="00B35B59">
        <w:rPr>
          <w:rFonts w:ascii="Times New Roman" w:hAnsi="Times New Roman" w:cs="Times New Roman"/>
          <w:sz w:val="28"/>
          <w:szCs w:val="28"/>
        </w:rPr>
        <w:t xml:space="preserve"> сложилась на отметке 3,5%, что на 1,6 п.п. ниже, чем годом ранее, благодаря менее выраженным инфляционным тенденциям в товарном сегменте. Главным образом указанный факт связан с замедлением темпов роста цен на продовольственном рынке, однако именно данная категория по-прежнему определяет характер инфляционных процессов (87,2% общей инфляции). </w:t>
      </w:r>
    </w:p>
    <w:p w:rsidR="009954C3" w:rsidRPr="00B35B59" w:rsidRDefault="009954C3" w:rsidP="0060033E">
      <w:pPr>
        <w:spacing w:after="0" w:line="240" w:lineRule="auto"/>
        <w:ind w:left="6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 xml:space="preserve">Как и год назад основное влияние на итоговый показатель оказала ситуация в сфере продаж овощей (+37,0%) и фруктов (+12,5%), которая однако была существенно лучше прошлогодней. Кроме того, по итогам января-сентября </w:t>
      </w:r>
      <w:r w:rsidR="00471C73">
        <w:rPr>
          <w:rFonts w:ascii="Times New Roman" w:hAnsi="Times New Roman" w:cs="Times New Roman"/>
          <w:sz w:val="28"/>
          <w:szCs w:val="28"/>
        </w:rPr>
        <w:br/>
      </w:r>
      <w:r w:rsidRPr="00B35B59">
        <w:rPr>
          <w:rFonts w:ascii="Times New Roman" w:hAnsi="Times New Roman" w:cs="Times New Roman"/>
          <w:sz w:val="28"/>
          <w:szCs w:val="28"/>
        </w:rPr>
        <w:t xml:space="preserve">2019 года подорожали мясо- (+9,6%, или 22,9% общей инфляции) и рыбопродукты (+5,5%), молоко и молочная продукция (+1,8%). Повышательные корректировки затронули также цены на муку (+12,1%), мед (+8,1%), сахар (+7,2%), макаронные и крупяные изделия (+4,7%). </w:t>
      </w:r>
    </w:p>
    <w:p w:rsidR="009954C3" w:rsidRPr="00B35B59" w:rsidRDefault="009954C3" w:rsidP="009954C3">
      <w:pPr>
        <w:spacing w:after="0" w:line="240" w:lineRule="auto"/>
        <w:ind w:left="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Отчасти нивелирующее воздействие имело снижение цен на яйца (-14,8%), растительное масло (-2,7%), сыры (-0,5%) и фруктово-ягодные консервы (-3,6%).</w:t>
      </w:r>
    </w:p>
    <w:p w:rsidR="009954C3" w:rsidRPr="00B35B59" w:rsidRDefault="009954C3" w:rsidP="009954C3">
      <w:pPr>
        <w:spacing w:after="0" w:line="240" w:lineRule="auto"/>
        <w:ind w:left="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В целом за девять месяцев</w:t>
      </w:r>
      <w:r w:rsidR="00FE07A8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B35B59">
        <w:rPr>
          <w:rFonts w:ascii="Times New Roman" w:hAnsi="Times New Roman" w:cs="Times New Roman"/>
          <w:sz w:val="28"/>
          <w:szCs w:val="28"/>
        </w:rPr>
        <w:t xml:space="preserve"> </w:t>
      </w:r>
      <w:r w:rsidR="00FE07A8">
        <w:rPr>
          <w:rFonts w:ascii="Times New Roman" w:hAnsi="Times New Roman" w:cs="Times New Roman"/>
          <w:sz w:val="28"/>
          <w:szCs w:val="28"/>
        </w:rPr>
        <w:t xml:space="preserve">в </w:t>
      </w:r>
      <w:r w:rsidRPr="00B35B59">
        <w:rPr>
          <w:rFonts w:ascii="Times New Roman" w:hAnsi="Times New Roman" w:cs="Times New Roman"/>
          <w:sz w:val="28"/>
          <w:szCs w:val="28"/>
        </w:rPr>
        <w:t xml:space="preserve">сегменте непродовольственных товаров </w:t>
      </w:r>
      <w:r w:rsidR="00FE07A8">
        <w:rPr>
          <w:rFonts w:ascii="Times New Roman" w:hAnsi="Times New Roman" w:cs="Times New Roman"/>
          <w:sz w:val="28"/>
          <w:szCs w:val="28"/>
        </w:rPr>
        <w:t xml:space="preserve">фиксировалась дефляция </w:t>
      </w:r>
      <w:r w:rsidRPr="00B35B59">
        <w:rPr>
          <w:rFonts w:ascii="Times New Roman" w:hAnsi="Times New Roman" w:cs="Times New Roman"/>
          <w:sz w:val="28"/>
          <w:szCs w:val="28"/>
        </w:rPr>
        <w:t xml:space="preserve">на 0,3% вследствие удешевления широкого перечня товаров. В частности, стоимость вычислительной техники сократилась на 1,4%, </w:t>
      </w:r>
      <w:proofErr w:type="spellStart"/>
      <w:r w:rsidRPr="00B35B59">
        <w:rPr>
          <w:rFonts w:ascii="Times New Roman" w:hAnsi="Times New Roman" w:cs="Times New Roman"/>
          <w:sz w:val="28"/>
          <w:szCs w:val="28"/>
        </w:rPr>
        <w:t>телерадиотоваров</w:t>
      </w:r>
      <w:proofErr w:type="spellEnd"/>
      <w:r w:rsidRPr="00B35B59">
        <w:rPr>
          <w:rFonts w:ascii="Times New Roman" w:hAnsi="Times New Roman" w:cs="Times New Roman"/>
          <w:sz w:val="28"/>
          <w:szCs w:val="28"/>
        </w:rPr>
        <w:t xml:space="preserve"> – на 1,0%, строительных материалов – на 0,9%, моющих средств – на 0,7%, электротоваров – на 0,2%. В то же время выраженная повышательная динамика зафиксирована по ценам на печатные издания (+9,0%), табачные изделия (+4,3%) и игрушки (+1,5%). 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С начала года средний уровень тарифов в сфере услуг вырос на 2,4%, сформировав 16,5% общей инфляции. В разрезе отдельных позиций изменились тарифы организаций образования (+11,2%), санаторно-оздоровительных организаций (+5,3%), медицинских учреждений (+1,0%), а также организаций, предоставляющих услуги пассажирских перевозок (+10,7%), что в совокупности обеспечило 11,1% общей инфляции. Повышательные корректировки затронули также бытовые услуги (+2,2%, или 0,8% общей инфляции), услуги связи (+1,3%, или 2,6% общей инфляции) и коммерческих банков (+1,7%, или 0,1% общей инфляции). Тарифы на жилищно-коммунальные услуги в среднем повысились на 0,7%, причем основным фактором выступили ценовые корректировки в сфере гостиничного бизнеса, тарифы на коммунальные услуги при этом оставались неизменными.</w:t>
      </w:r>
    </w:p>
    <w:p w:rsidR="009954C3" w:rsidRPr="00B35B59" w:rsidRDefault="009954C3" w:rsidP="009954C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B59">
        <w:rPr>
          <w:rFonts w:ascii="Times New Roman" w:hAnsi="Times New Roman" w:cs="Times New Roman"/>
          <w:sz w:val="28"/>
          <w:szCs w:val="28"/>
        </w:rPr>
        <w:t>На потребительских рынках стран - основных торговых партнеров республики ситуация по итогам девяти месяцев минимальный уровень инфляции был зафиксирован в Российской Федерации – 2,3%, в Украине цены выросли в среднем на 3,4%, в Республике Молдова – на 4,9%. Лидером по темпам удорожания товаров и услуг стала Республика Беларусь, где показатель достиг 7,6</w:t>
      </w:r>
      <w:r w:rsidR="00F768DB" w:rsidRPr="00B35B59">
        <w:rPr>
          <w:rFonts w:ascii="Times New Roman" w:hAnsi="Times New Roman" w:cs="Times New Roman"/>
          <w:sz w:val="28"/>
          <w:szCs w:val="28"/>
        </w:rPr>
        <w:t>%</w:t>
      </w:r>
      <w:r w:rsidRPr="00B35B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18" w:type="dxa"/>
        <w:tblInd w:w="96" w:type="dxa"/>
        <w:tblLook w:val="04A0"/>
      </w:tblPr>
      <w:tblGrid>
        <w:gridCol w:w="4245"/>
        <w:gridCol w:w="1143"/>
        <w:gridCol w:w="1371"/>
        <w:gridCol w:w="704"/>
        <w:gridCol w:w="206"/>
        <w:gridCol w:w="928"/>
        <w:gridCol w:w="290"/>
        <w:gridCol w:w="844"/>
        <w:gridCol w:w="487"/>
      </w:tblGrid>
      <w:tr w:rsidR="002318D1" w:rsidRPr="002318D1" w:rsidTr="00454366">
        <w:trPr>
          <w:gridAfter w:val="1"/>
          <w:wAfter w:w="487" w:type="dxa"/>
          <w:trHeight w:val="300"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7A8" w:rsidRDefault="00FE07A8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366" w:rsidRDefault="00454366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2BE0" w:rsidRDefault="00042BE0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18D1" w:rsidRPr="00B35B59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2318D1" w:rsidRPr="002318D1" w:rsidTr="00454366">
        <w:trPr>
          <w:gridAfter w:val="1"/>
          <w:wAfter w:w="487" w:type="dxa"/>
          <w:trHeight w:val="315"/>
        </w:trPr>
        <w:tc>
          <w:tcPr>
            <w:tcW w:w="9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2:F67"/>
            <w:r w:rsidRPr="00B3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Отдельные статистические показатели за 2018 - 2019 г.г.</w:t>
            </w:r>
            <w:bookmarkEnd w:id="1"/>
          </w:p>
        </w:tc>
      </w:tr>
      <w:tr w:rsidR="002318D1" w:rsidRPr="002318D1" w:rsidTr="00454366">
        <w:trPr>
          <w:gridAfter w:val="1"/>
          <w:wAfter w:w="487" w:type="dxa"/>
          <w:trHeight w:val="31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8D1" w:rsidRPr="00B35B59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18D1" w:rsidRPr="00454366" w:rsidTr="00A6357B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 год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18D1" w:rsidRPr="00454366" w:rsidRDefault="002318D1" w:rsidP="00C12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% к 2017 году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январь-сентябрь 2019 года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366" w:rsidRDefault="002318D1" w:rsidP="00C12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 к январю-сентябрю </w:t>
            </w:r>
          </w:p>
          <w:p w:rsidR="002318D1" w:rsidRPr="00454366" w:rsidRDefault="002318D1" w:rsidP="00C1279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 года</w:t>
            </w:r>
          </w:p>
        </w:tc>
      </w:tr>
      <w:tr w:rsidR="00303254" w:rsidRPr="00454366" w:rsidTr="00A6357B">
        <w:trPr>
          <w:trHeight w:val="6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03254" w:rsidRPr="00454366" w:rsidRDefault="00303254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Валовой внутренний продукт, темпы роста в сопоставимых ценах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03254" w:rsidRPr="00454366" w:rsidRDefault="00303254" w:rsidP="00A63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3254" w:rsidRPr="00454366" w:rsidRDefault="00303254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13 800 129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3254" w:rsidRPr="00454366" w:rsidRDefault="00303254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3254" w:rsidRPr="00454366" w:rsidRDefault="00303254" w:rsidP="00303254">
            <w:pPr>
              <w:spacing w:after="0" w:line="240" w:lineRule="auto"/>
              <w:ind w:left="-5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(январь-июнь 2019) 4 666 573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3254" w:rsidRPr="00454366" w:rsidRDefault="00303254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99,2</w:t>
            </w:r>
          </w:p>
        </w:tc>
      </w:tr>
      <w:tr w:rsidR="002318D1" w:rsidRPr="00454366" w:rsidTr="00A6357B">
        <w:trPr>
          <w:trHeight w:val="6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производства промышленной продукции, темпы роста в сопоставимых ценах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A63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13 043 336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9 353 399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95,4</w:t>
            </w:r>
          </w:p>
        </w:tc>
      </w:tr>
      <w:tr w:rsidR="002318D1" w:rsidRPr="00454366" w:rsidTr="00454366">
        <w:trPr>
          <w:trHeight w:val="6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Объем производства </w:t>
            </w:r>
            <w:proofErr w:type="gram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основным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подотраслям</w:t>
            </w:r>
            <w:proofErr w:type="spellEnd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промышленности, темпы роста в сопоставимых ценах: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электроэнергетика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3 603 830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108,7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3 081 615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черная металлургия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4 632 290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2 510 789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78,0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машиностроение и металлообработка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375 109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107,1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339 703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121,4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электротехническая промышленность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239 502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108,9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201 474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109,6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промышленность строительных материалов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609 490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112,6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484 942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102,1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легкая промышленность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1 549 790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1 131 587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пищевая промышленность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1 575 798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108,0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1 246 148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104,2</w:t>
            </w:r>
          </w:p>
        </w:tc>
      </w:tr>
      <w:tr w:rsidR="002318D1" w:rsidRPr="00454366" w:rsidTr="00A6357B">
        <w:trPr>
          <w:trHeight w:val="6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розничной торговли (без общепита), темпы роста в сопоставимых ценах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A63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7 377 217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5 706 513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106,5</w:t>
            </w:r>
          </w:p>
        </w:tc>
      </w:tr>
      <w:tr w:rsidR="002318D1" w:rsidRPr="00454366" w:rsidTr="00454366">
        <w:trPr>
          <w:trHeight w:val="323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Сводный индекс потребительских цен                                               (к декабрю предыдущего года)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106,97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103,50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индекс цен на продовольственные товары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113,03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107,41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индекс цен на непродовольственные товары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103,25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99,73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индекс цен на услуги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102,34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102,42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263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3254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Средняя номинальная начисленная заработная плата одного работника </w:t>
            </w:r>
          </w:p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(без субъектов малого предпринимательства)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4 328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108,9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4 636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Экспорт, всего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696 998,4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485 081,9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92,3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экспорт без электроэнергии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577 506,0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134,9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380 166,8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86,9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Экспорт по основным странам: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Российская Федерация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71 941,3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108,6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63 594,1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118,3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10,3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13,1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Республика Молдова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208 004,8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127,0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179 613,5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116,0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37,0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Европейский союз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249 789,1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131,4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133 687,0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71,1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27,6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Евразийский экономический союз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75 075,8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105,1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66 425,2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118,7</w:t>
            </w:r>
          </w:p>
        </w:tc>
      </w:tr>
      <w:tr w:rsidR="002318D1" w:rsidRPr="00454366" w:rsidTr="00454366">
        <w:trPr>
          <w:trHeight w:val="31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экспорта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10,8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13,7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</w:tbl>
    <w:p w:rsidR="002318D1" w:rsidRPr="00454366" w:rsidRDefault="002318D1"/>
    <w:p w:rsidR="00B35B59" w:rsidRPr="000417F5" w:rsidRDefault="000417F5" w:rsidP="000417F5">
      <w:pPr>
        <w:jc w:val="right"/>
        <w:rPr>
          <w:rFonts w:ascii="Times New Roman" w:hAnsi="Times New Roman" w:cs="Times New Roman"/>
        </w:rPr>
      </w:pPr>
      <w:r w:rsidRPr="000417F5">
        <w:rPr>
          <w:rFonts w:ascii="Times New Roman" w:hAnsi="Times New Roman" w:cs="Times New Roman"/>
        </w:rPr>
        <w:t xml:space="preserve">Продолжение Приложения </w:t>
      </w:r>
      <w:r>
        <w:rPr>
          <w:rFonts w:ascii="Times New Roman" w:hAnsi="Times New Roman" w:cs="Times New Roman"/>
        </w:rPr>
        <w:t>№</w:t>
      </w:r>
      <w:r w:rsidRPr="000417F5">
        <w:rPr>
          <w:rFonts w:ascii="Times New Roman" w:hAnsi="Times New Roman" w:cs="Times New Roman"/>
        </w:rPr>
        <w:t>1</w:t>
      </w:r>
    </w:p>
    <w:tbl>
      <w:tblPr>
        <w:tblW w:w="10326" w:type="dxa"/>
        <w:tblInd w:w="96" w:type="dxa"/>
        <w:tblLook w:val="04A0"/>
      </w:tblPr>
      <w:tblGrid>
        <w:gridCol w:w="4282"/>
        <w:gridCol w:w="1092"/>
        <w:gridCol w:w="1231"/>
        <w:gridCol w:w="1159"/>
        <w:gridCol w:w="1263"/>
        <w:gridCol w:w="1299"/>
      </w:tblGrid>
      <w:tr w:rsidR="002318D1" w:rsidRPr="00454366" w:rsidTr="000417F5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A6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% к 2017 году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январь-сентябрь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318D1" w:rsidRPr="00454366" w:rsidRDefault="002318D1" w:rsidP="0023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 к январю-сентябрю 2018 года</w:t>
            </w:r>
          </w:p>
        </w:tc>
      </w:tr>
      <w:tr w:rsidR="002318D1" w:rsidRPr="00454366" w:rsidTr="00471C73">
        <w:trPr>
          <w:trHeight w:val="17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Импорт, всего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471C73">
            <w:pPr>
              <w:spacing w:after="0" w:line="240" w:lineRule="auto"/>
              <w:ind w:left="-125" w:right="-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471C73">
            <w:pPr>
              <w:spacing w:after="0" w:line="240" w:lineRule="auto"/>
              <w:ind w:left="-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1 216 231,6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900 736,8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101,1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Российская Федерация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488 456,9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417 412,7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119,2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Республика Молдова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117 690,5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83 087,6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95,2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Европейский союз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182 862,9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157 396,4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121,4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 Евразийский экономический союз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562 403,1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472 531,0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117,3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доля в общей сумме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Импорт в ПМР (без газа)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тыс. 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833 585,6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</w:rPr>
              <w:t>572 980,8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93,0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Доля импорта газа в общем объеме импорта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Экспорт в Российскую Федерацию, всего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A63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71 941,3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63 594,1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118,3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в том числе по основным товарным группам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продовольственные товары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10 251,4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7 929,5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продукция химической промышленности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8 440,6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140,5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6 227,5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текстильные материалы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5 928,4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4 965,2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одежда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4 955,6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129,2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4 563,7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118,3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обувь и части обуви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4 852,2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3 867,0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90,6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металлы и изделия из них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13 092,3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13 658,8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143,3</w:t>
            </w:r>
          </w:p>
        </w:tc>
      </w:tr>
      <w:tr w:rsidR="002318D1" w:rsidRPr="00454366" w:rsidTr="000417F5">
        <w:trPr>
          <w:trHeight w:val="3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 xml:space="preserve">   машиностроительная продукция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8D1" w:rsidRPr="00454366" w:rsidRDefault="002318D1" w:rsidP="006816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A635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долл.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23 025,5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105,2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19 535,1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D1" w:rsidRPr="00454366" w:rsidRDefault="002318D1" w:rsidP="00231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4366">
              <w:rPr>
                <w:rFonts w:ascii="Times New Roman" w:eastAsia="Times New Roman" w:hAnsi="Times New Roman" w:cs="Times New Roman"/>
                <w:color w:val="000000"/>
              </w:rPr>
              <w:t>119,6</w:t>
            </w:r>
          </w:p>
        </w:tc>
      </w:tr>
    </w:tbl>
    <w:p w:rsidR="00EC7AAF" w:rsidRPr="00471C73" w:rsidRDefault="00EC7AAF" w:rsidP="00471C73">
      <w:pPr>
        <w:rPr>
          <w:sz w:val="4"/>
        </w:rPr>
      </w:pPr>
    </w:p>
    <w:sectPr w:rsidR="00EC7AAF" w:rsidRPr="00471C73" w:rsidSect="00B35B59">
      <w:footerReference w:type="default" r:id="rId8"/>
      <w:pgSz w:w="11906" w:h="16838"/>
      <w:pgMar w:top="709" w:right="566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A8" w:rsidRDefault="00FE07A8" w:rsidP="00B35B59">
      <w:pPr>
        <w:spacing w:after="0" w:line="240" w:lineRule="auto"/>
      </w:pPr>
      <w:r>
        <w:separator/>
      </w:r>
    </w:p>
  </w:endnote>
  <w:endnote w:type="continuationSeparator" w:id="1">
    <w:p w:rsidR="00FE07A8" w:rsidRDefault="00FE07A8" w:rsidP="00B3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07A8" w:rsidRDefault="00D1018E">
        <w:pPr>
          <w:pStyle w:val="a7"/>
          <w:jc w:val="center"/>
        </w:pPr>
        <w:r w:rsidRPr="00B35B59">
          <w:rPr>
            <w:rFonts w:ascii="Times New Roman" w:hAnsi="Times New Roman" w:cs="Times New Roman"/>
          </w:rPr>
          <w:fldChar w:fldCharType="begin"/>
        </w:r>
        <w:r w:rsidR="00FE07A8" w:rsidRPr="00B35B59">
          <w:rPr>
            <w:rFonts w:ascii="Times New Roman" w:hAnsi="Times New Roman" w:cs="Times New Roman"/>
          </w:rPr>
          <w:instrText xml:space="preserve"> PAGE   \* MERGEFORMAT </w:instrText>
        </w:r>
        <w:r w:rsidRPr="00B35B59">
          <w:rPr>
            <w:rFonts w:ascii="Times New Roman" w:hAnsi="Times New Roman" w:cs="Times New Roman"/>
          </w:rPr>
          <w:fldChar w:fldCharType="separate"/>
        </w:r>
        <w:r w:rsidR="00D73AFA">
          <w:rPr>
            <w:rFonts w:ascii="Times New Roman" w:hAnsi="Times New Roman" w:cs="Times New Roman"/>
            <w:noProof/>
          </w:rPr>
          <w:t>8</w:t>
        </w:r>
        <w:r w:rsidRPr="00B35B59">
          <w:rPr>
            <w:rFonts w:ascii="Times New Roman" w:hAnsi="Times New Roman" w:cs="Times New Roman"/>
          </w:rPr>
          <w:fldChar w:fldCharType="end"/>
        </w:r>
      </w:p>
    </w:sdtContent>
  </w:sdt>
  <w:p w:rsidR="00FE07A8" w:rsidRDefault="00FE07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A8" w:rsidRDefault="00FE07A8" w:rsidP="00B35B59">
      <w:pPr>
        <w:spacing w:after="0" w:line="240" w:lineRule="auto"/>
      </w:pPr>
      <w:r>
        <w:separator/>
      </w:r>
    </w:p>
  </w:footnote>
  <w:footnote w:type="continuationSeparator" w:id="1">
    <w:p w:rsidR="00FE07A8" w:rsidRDefault="00FE07A8" w:rsidP="00B3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6D7"/>
    <w:multiLevelType w:val="hybridMultilevel"/>
    <w:tmpl w:val="42261886"/>
    <w:lvl w:ilvl="0" w:tplc="2194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8F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4D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EB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C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6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A3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0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3946A8"/>
    <w:multiLevelType w:val="hybridMultilevel"/>
    <w:tmpl w:val="984C13BC"/>
    <w:lvl w:ilvl="0" w:tplc="8AFE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82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A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68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26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2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41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A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387834"/>
    <w:multiLevelType w:val="hybridMultilevel"/>
    <w:tmpl w:val="88BC3EA8"/>
    <w:lvl w:ilvl="0" w:tplc="FE7A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6E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E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2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6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2C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0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8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49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7EC2"/>
    <w:rsid w:val="0000137D"/>
    <w:rsid w:val="000417F5"/>
    <w:rsid w:val="00042BE0"/>
    <w:rsid w:val="00145940"/>
    <w:rsid w:val="002234B0"/>
    <w:rsid w:val="002318D1"/>
    <w:rsid w:val="00281075"/>
    <w:rsid w:val="00295149"/>
    <w:rsid w:val="002A188F"/>
    <w:rsid w:val="002E0AD2"/>
    <w:rsid w:val="002F1E9A"/>
    <w:rsid w:val="00303254"/>
    <w:rsid w:val="00305F7A"/>
    <w:rsid w:val="00353387"/>
    <w:rsid w:val="003B14AE"/>
    <w:rsid w:val="003F70B6"/>
    <w:rsid w:val="00454366"/>
    <w:rsid w:val="004644DB"/>
    <w:rsid w:val="00471C73"/>
    <w:rsid w:val="00504105"/>
    <w:rsid w:val="00520676"/>
    <w:rsid w:val="0053259E"/>
    <w:rsid w:val="005F06E2"/>
    <w:rsid w:val="0060033E"/>
    <w:rsid w:val="00666C16"/>
    <w:rsid w:val="006816BE"/>
    <w:rsid w:val="006B7111"/>
    <w:rsid w:val="006E07CA"/>
    <w:rsid w:val="00722FAC"/>
    <w:rsid w:val="00756EF4"/>
    <w:rsid w:val="007E2F7A"/>
    <w:rsid w:val="008204F1"/>
    <w:rsid w:val="008A7EC2"/>
    <w:rsid w:val="009424FF"/>
    <w:rsid w:val="009954C3"/>
    <w:rsid w:val="00A30817"/>
    <w:rsid w:val="00A6357B"/>
    <w:rsid w:val="00AD3CD1"/>
    <w:rsid w:val="00AF4E59"/>
    <w:rsid w:val="00B35B59"/>
    <w:rsid w:val="00B744B6"/>
    <w:rsid w:val="00BE2620"/>
    <w:rsid w:val="00BE7E0C"/>
    <w:rsid w:val="00BF4FF8"/>
    <w:rsid w:val="00C12793"/>
    <w:rsid w:val="00C55EA4"/>
    <w:rsid w:val="00C840CD"/>
    <w:rsid w:val="00CA2D2D"/>
    <w:rsid w:val="00D011DE"/>
    <w:rsid w:val="00D1018E"/>
    <w:rsid w:val="00D73AFA"/>
    <w:rsid w:val="00D93FE2"/>
    <w:rsid w:val="00D97552"/>
    <w:rsid w:val="00DD135F"/>
    <w:rsid w:val="00E75136"/>
    <w:rsid w:val="00EC7AAF"/>
    <w:rsid w:val="00F1305B"/>
    <w:rsid w:val="00F768DB"/>
    <w:rsid w:val="00FB7400"/>
    <w:rsid w:val="00FE07A8"/>
    <w:rsid w:val="00F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87"/>
  </w:style>
  <w:style w:type="paragraph" w:styleId="1">
    <w:name w:val="heading 1"/>
    <w:basedOn w:val="a"/>
    <w:next w:val="a"/>
    <w:link w:val="10"/>
    <w:uiPriority w:val="99"/>
    <w:qFormat/>
    <w:rsid w:val="00504105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10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99"/>
    <w:locked/>
    <w:rsid w:val="00504105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99"/>
    <w:qFormat/>
    <w:rsid w:val="0050410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2">
    <w:name w:val="сновной текст с отступом 2"/>
    <w:basedOn w:val="a"/>
    <w:uiPriority w:val="99"/>
    <w:rsid w:val="005041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7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semiHidden/>
    <w:unhideWhenUsed/>
    <w:rsid w:val="00B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B59"/>
  </w:style>
  <w:style w:type="paragraph" w:styleId="a7">
    <w:name w:val="footer"/>
    <w:basedOn w:val="a"/>
    <w:link w:val="a8"/>
    <w:uiPriority w:val="99"/>
    <w:unhideWhenUsed/>
    <w:rsid w:val="00B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4B69-29B4-4345-8225-1334DFE3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moiseeva-o</dc:creator>
  <cp:lastModifiedBy>Глушкова Мария Николаевна</cp:lastModifiedBy>
  <cp:revision>2</cp:revision>
  <dcterms:created xsi:type="dcterms:W3CDTF">2020-01-13T13:43:00Z</dcterms:created>
  <dcterms:modified xsi:type="dcterms:W3CDTF">2020-01-13T13:43:00Z</dcterms:modified>
</cp:coreProperties>
</file>