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8C" w:rsidRPr="009C1A8C" w:rsidRDefault="009C1A8C" w:rsidP="009C1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1A8C">
        <w:rPr>
          <w:rFonts w:ascii="Times New Roman" w:hAnsi="Times New Roman"/>
          <w:b/>
          <w:sz w:val="28"/>
          <w:szCs w:val="28"/>
        </w:rPr>
        <w:t>Краткие итоги развития отдельных секторов экономики</w:t>
      </w:r>
    </w:p>
    <w:p w:rsidR="009C1A8C" w:rsidRPr="009C1A8C" w:rsidRDefault="009C1A8C" w:rsidP="009C1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1A8C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9C1A8C" w:rsidRDefault="009C1A8C" w:rsidP="009C1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1A8C">
        <w:rPr>
          <w:rFonts w:ascii="Times New Roman" w:hAnsi="Times New Roman"/>
          <w:b/>
          <w:sz w:val="28"/>
          <w:szCs w:val="28"/>
        </w:rPr>
        <w:t>в январе-</w:t>
      </w:r>
      <w:r>
        <w:rPr>
          <w:rFonts w:ascii="Times New Roman" w:hAnsi="Times New Roman"/>
          <w:b/>
          <w:sz w:val="28"/>
          <w:szCs w:val="28"/>
        </w:rPr>
        <w:t>марте</w:t>
      </w:r>
      <w:r w:rsidRPr="009C1A8C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9C1A8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C1A8C" w:rsidRDefault="009C1A8C" w:rsidP="009C1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3F5B" w:rsidRDefault="002B3F5B" w:rsidP="002B3F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квартале 2021 года фиксируется ряд положительных трендов</w:t>
      </w:r>
      <w:r w:rsidR="00E80F48">
        <w:rPr>
          <w:rFonts w:ascii="Times New Roman" w:hAnsi="Times New Roman"/>
          <w:sz w:val="28"/>
          <w:szCs w:val="28"/>
        </w:rPr>
        <w:t xml:space="preserve"> в </w:t>
      </w:r>
      <w:r w:rsidR="004F3D6B">
        <w:rPr>
          <w:rFonts w:ascii="Times New Roman" w:hAnsi="Times New Roman"/>
          <w:sz w:val="28"/>
          <w:szCs w:val="28"/>
        </w:rPr>
        <w:t>экономик</w:t>
      </w:r>
      <w:r w:rsidR="00BF37B4">
        <w:rPr>
          <w:rFonts w:ascii="Times New Roman" w:hAnsi="Times New Roman"/>
          <w:sz w:val="28"/>
          <w:szCs w:val="28"/>
        </w:rPr>
        <w:t>е республики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E80F48">
        <w:rPr>
          <w:rFonts w:ascii="Times New Roman" w:hAnsi="Times New Roman"/>
          <w:sz w:val="28"/>
          <w:szCs w:val="28"/>
        </w:rPr>
        <w:t>при этом</w:t>
      </w:r>
      <w:r>
        <w:rPr>
          <w:rFonts w:ascii="Times New Roman" w:hAnsi="Times New Roman"/>
          <w:sz w:val="28"/>
          <w:szCs w:val="28"/>
        </w:rPr>
        <w:t xml:space="preserve"> наблюдаемые позитивные процессы носили преимущественно фрагментарный характер, обусловленный нарастанием активности отдельных секторов и хозяйствующих субъектов. Вместе с тем, достижение отраслевыми параметрами базисного уровня, а в ряде случаев и превышение его, необходимо оценивать в контексте низкой базы сравнения из-за затронувшего март 2020 года серьезного спада ключевых макропоказателей в момент действия наиболее жестких карантинных ограничений. В целом на текущем этапе в наблюдаемых процессах адаптационные механизмы по-прежнему преобладают над восстановительными.</w:t>
      </w:r>
    </w:p>
    <w:p w:rsidR="002B3F5B" w:rsidRDefault="002B3F5B" w:rsidP="00DE42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A8C" w:rsidRPr="00B35B59" w:rsidRDefault="009C1A8C" w:rsidP="008165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B59">
        <w:rPr>
          <w:rFonts w:ascii="Times New Roman" w:hAnsi="Times New Roman" w:cs="Times New Roman"/>
          <w:b/>
          <w:sz w:val="28"/>
          <w:szCs w:val="28"/>
          <w:u w:val="single"/>
        </w:rPr>
        <w:t>Промышленность</w:t>
      </w:r>
    </w:p>
    <w:p w:rsidR="009C1A8C" w:rsidRDefault="009C1A8C" w:rsidP="00A0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C1A8C">
        <w:rPr>
          <w:rFonts w:ascii="Times New Roman" w:hAnsi="Times New Roman"/>
          <w:sz w:val="28"/>
          <w:szCs w:val="24"/>
        </w:rPr>
        <w:t xml:space="preserve">В первые три </w:t>
      </w:r>
      <w:r>
        <w:rPr>
          <w:rFonts w:ascii="Times New Roman" w:hAnsi="Times New Roman"/>
          <w:sz w:val="28"/>
          <w:szCs w:val="24"/>
        </w:rPr>
        <w:t>месяца года традиционно наблюдала</w:t>
      </w:r>
      <w:r w:rsidRPr="009C1A8C">
        <w:rPr>
          <w:rFonts w:ascii="Times New Roman" w:hAnsi="Times New Roman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</w:rPr>
        <w:t>ь</w:t>
      </w:r>
      <w:r w:rsidRPr="009C1A8C">
        <w:rPr>
          <w:rFonts w:ascii="Times New Roman" w:hAnsi="Times New Roman"/>
          <w:sz w:val="28"/>
          <w:szCs w:val="24"/>
        </w:rPr>
        <w:t xml:space="preserve"> повышательная динамика объемов индустриального выпуска</w:t>
      </w:r>
      <w:r w:rsidR="008E7906">
        <w:rPr>
          <w:rFonts w:ascii="Times New Roman" w:hAnsi="Times New Roman"/>
          <w:sz w:val="28"/>
          <w:szCs w:val="24"/>
        </w:rPr>
        <w:t>, п</w:t>
      </w:r>
      <w:r w:rsidR="008E7906" w:rsidRPr="009C1A8C">
        <w:rPr>
          <w:rFonts w:ascii="Times New Roman" w:hAnsi="Times New Roman"/>
          <w:sz w:val="28"/>
          <w:szCs w:val="24"/>
        </w:rPr>
        <w:t xml:space="preserve">ри этом </w:t>
      </w:r>
      <w:r w:rsidR="008E7906">
        <w:rPr>
          <w:rFonts w:ascii="Times New Roman" w:hAnsi="Times New Roman"/>
          <w:sz w:val="28"/>
          <w:szCs w:val="24"/>
        </w:rPr>
        <w:t xml:space="preserve">в марте </w:t>
      </w:r>
      <w:r w:rsidR="008E7906" w:rsidRPr="009C1A8C">
        <w:rPr>
          <w:rFonts w:ascii="Times New Roman" w:hAnsi="Times New Roman"/>
          <w:sz w:val="28"/>
          <w:szCs w:val="24"/>
        </w:rPr>
        <w:t>дости</w:t>
      </w:r>
      <w:r w:rsidR="008E7906">
        <w:rPr>
          <w:rFonts w:ascii="Times New Roman" w:hAnsi="Times New Roman"/>
          <w:sz w:val="28"/>
          <w:szCs w:val="24"/>
        </w:rPr>
        <w:t>гнуто</w:t>
      </w:r>
      <w:r w:rsidR="008E7906" w:rsidRPr="009C1A8C">
        <w:rPr>
          <w:rFonts w:ascii="Times New Roman" w:hAnsi="Times New Roman"/>
          <w:sz w:val="28"/>
          <w:szCs w:val="24"/>
        </w:rPr>
        <w:t xml:space="preserve"> пиков</w:t>
      </w:r>
      <w:r w:rsidR="008E7906">
        <w:rPr>
          <w:rFonts w:ascii="Times New Roman" w:hAnsi="Times New Roman"/>
          <w:sz w:val="28"/>
          <w:szCs w:val="24"/>
        </w:rPr>
        <w:t>ое</w:t>
      </w:r>
      <w:r w:rsidR="008E7906" w:rsidRPr="009C1A8C">
        <w:rPr>
          <w:rFonts w:ascii="Times New Roman" w:hAnsi="Times New Roman"/>
          <w:sz w:val="28"/>
          <w:szCs w:val="24"/>
        </w:rPr>
        <w:t xml:space="preserve"> за последние несколько лет месячно</w:t>
      </w:r>
      <w:r w:rsidR="008E7906">
        <w:rPr>
          <w:rFonts w:ascii="Times New Roman" w:hAnsi="Times New Roman"/>
          <w:sz w:val="28"/>
          <w:szCs w:val="24"/>
        </w:rPr>
        <w:t>е</w:t>
      </w:r>
      <w:r w:rsidR="008E7906" w:rsidRPr="009C1A8C">
        <w:rPr>
          <w:rFonts w:ascii="Times New Roman" w:hAnsi="Times New Roman"/>
          <w:sz w:val="28"/>
          <w:szCs w:val="24"/>
        </w:rPr>
        <w:t xml:space="preserve"> значени</w:t>
      </w:r>
      <w:r w:rsidR="008E7906">
        <w:rPr>
          <w:rFonts w:ascii="Times New Roman" w:hAnsi="Times New Roman"/>
          <w:sz w:val="28"/>
          <w:szCs w:val="24"/>
        </w:rPr>
        <w:t>е</w:t>
      </w:r>
      <w:r w:rsidR="008E7906" w:rsidRPr="009C1A8C">
        <w:rPr>
          <w:rFonts w:ascii="Times New Roman" w:hAnsi="Times New Roman"/>
          <w:sz w:val="28"/>
          <w:szCs w:val="24"/>
        </w:rPr>
        <w:t xml:space="preserve"> </w:t>
      </w:r>
      <w:r w:rsidRPr="009C1A8C">
        <w:rPr>
          <w:rFonts w:ascii="Times New Roman" w:hAnsi="Times New Roman"/>
          <w:sz w:val="28"/>
          <w:szCs w:val="24"/>
        </w:rPr>
        <w:t>(рис. 1).</w:t>
      </w:r>
    </w:p>
    <w:p w:rsidR="009C1A8C" w:rsidRPr="00114A1E" w:rsidRDefault="009C1A8C" w:rsidP="009C1A8C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14A1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Рисунок 1</w:t>
      </w:r>
    </w:p>
    <w:p w:rsidR="009C1A8C" w:rsidRPr="009C1A8C" w:rsidRDefault="009C1A8C" w:rsidP="009C1A8C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Помесячная динамика промышленного производства</w:t>
      </w:r>
    </w:p>
    <w:p w:rsidR="009C1A8C" w:rsidRPr="009C1A8C" w:rsidRDefault="009C1A8C" w:rsidP="009C1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D250DA" wp14:editId="46749808">
                <wp:simplePos x="0" y="0"/>
                <wp:positionH relativeFrom="column">
                  <wp:posOffset>750570</wp:posOffset>
                </wp:positionH>
                <wp:positionV relativeFrom="paragraph">
                  <wp:posOffset>2080895</wp:posOffset>
                </wp:positionV>
                <wp:extent cx="4853940" cy="541655"/>
                <wp:effectExtent l="0" t="0" r="22860" b="29845"/>
                <wp:wrapNone/>
                <wp:docPr id="2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3940" cy="541655"/>
                          <a:chOff x="2320" y="3843"/>
                          <a:chExt cx="7644" cy="853"/>
                        </a:xfrm>
                      </wpg:grpSpPr>
                      <wps:wsp>
                        <wps:cNvPr id="22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6591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885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7227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7533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8120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429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8722" y="3854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9022" y="3843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5383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5076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4796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4476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4243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3912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588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3271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2934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2647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2320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7801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9964" y="3854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6295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5995" y="3867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9654" y="3854"/>
                            <a:ext cx="0" cy="8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ABC663A" id="Group 67" o:spid="_x0000_s1026" style="position:absolute;margin-left:59.1pt;margin-top:163.85pt;width:382.2pt;height:42.65pt;z-index:251660288" coordorigin="2320,3843" coordsize="7644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temAQAAFdDAAAOAAAAZHJzL2Uyb0RvYy54bWzsXF1vozgUfV9p/wPiPeXLfKrpaJSkfZnd&#10;qTSzP8AFAmgBI5s2rVb73/fakLRJSItmNZZGun1IARtj33s43HtsuP703NTGU85Fxdql6VzZppG3&#10;Kcuqtliaf32/XUSmIXraZrRmbb40X3Jhfrr5/bfrXZfkLitZneXcgEZakey6pVn2fZdYlkjLvKHi&#10;inV5C4Vbxhvawy4vrIzTHbTe1JZr24G1YzzrOEtzIeDoeig0b1T7222e9l+3W5H3Rr00oW+9+uXq&#10;90H+WjfXNCk47coqHbtBf6AXDa1auOihqTXtqfHIq7OmmirlTLBtf5WyxmLbbZXmagwwGsc+Gc0d&#10;Z4+dGkuR7IruYCYw7YmdfrjZ9M+ne25U2dJ0HdNoaQM+Upc1glAaZ9cVCdS549237p4PI4TNLyz9&#10;W0CxdVou94uhsvGw+4Nl0B597JkyzvOWN7IJGLbxrHzwcvBB/twbKRwkke/FBFyVQplPnMD3Byel&#10;JXhSnuZ6LhRDqRcRb1+2GU8PA0KGc6EdWWjRZLis6urYNTkuwJt4Nan4fyb9VtIuV54S0lx7k7p7&#10;k34GE6g6xtBleXmot2oHm6bP7WhTo2WrkrZFrmp/f+nAfo4ax9EpckeAQz60ceDH4FdlrMGhNNlb&#10;erRx5MZHdqJJx0V/l7PGkBtLU/ScVkXZr1jbwv3EuKOcSZ++iH4w8P4E6duW3VZ1DcdpUrfGbmnG&#10;vuurEwSrq0wWyjLBi4dVzY0nKm9M9Tf24qga3ABtphorc5ptxu2eVvWwDd6tW9keDAq6M24Nd94/&#10;sR1vok1EFsQNNgtir9eLz7crsghundBfe+vVau38K7vmkKSssixvZe/2LOCQeZAY+Wi4fw88cDCD&#10;ddy6AiR0dv9fdRqgObhzwOUDy17uuTStPA4o1QVXbwKuRLrlCHs0+YlwjSIf4YpwPX6qX2BXIPrh&#10;gfWGXdXDQhtcQ9cNEa4I11lwBWI7g2uglV1D3wOKx2AAg4G3OdMFdg0m4DqmBJpi18g5BPoYu2Ls&#10;Oqb4F+AKz+Ezdo20smtEIJNCdsVU60iRugBXkMXO4KrycG2xawTB6whXXyV5qAygMlBcgCsQ2ylc&#10;fSWeaoNrbB/gulf9UMhCIWtSd/UmdNeB47TB1fciTLVQdz2Z0JlmV5mUn7GrXiHLt0PI91AZQGXg&#10;Y2XAm9Bdfb1CFgljhCuy6zx2ndBdfb1CFiHIrjgJe7q640IwMKG7+nqFLOJChoXBAApZM4Qsb0J3&#10;9fUKWV7s7IUsnCbAaYJ3pwm8Cd010CtkeX4EncBUC1OtGanWhO4aqOWA2oQszw1xASGmWrNSLbls&#10;91TIClytk7BuLOUJZFdk14/ZlRxWvL8uIAzUonFt7OoGBBcQIrvOY9eJWa1A7/LsN69eYKqFqda7&#10;qZbUkM6CAb2zWmFkY+yK7DqPXSdmtQK9s1pxDHQ+xK64IgvZ9V12jSeUgeGFR22xa+DG+K4Wsuss&#10;dnXsqVlYvbmWHyNecRZ23iysI98iP4teNYcDAUQBGA786tOw6rsD8PUG9cb3+KUJ+XmIt/vqVe/X&#10;72Hc/AcAAP//AwBQSwMEFAAGAAgAAAAhADuQjbrhAAAACwEAAA8AAABkcnMvZG93bnJldi54bWxM&#10;j01Lw0AQhu+C/2EZwZvdfGgbYjalFPVUBFtBvE2z0yQ0Oxuy2yT9964nPb7Mw/s+U6xn04mRBtda&#10;VhAvIhDEldUt1wo+D68PGQjnkTV2lknBlRysy9ubAnNtJ/6gce9rEUrY5aig8b7PpXRVQwbdwvbE&#10;4Xayg0Ef4lBLPeAUyk0nkyhaSoMth4UGe9o2VJ33F6PgbcJpk8Yv4+582l6/D0/vX7uYlLq/mzfP&#10;IDzN/g+GX/2gDmVwOtoLaye6kOMsCaiCNFmtQAQiy5IliKOCxziNQJaF/P9D+QMAAP//AwBQSwEC&#10;LQAUAAYACAAAACEAtoM4kv4AAADhAQAAEwAAAAAAAAAAAAAAAAAAAAAAW0NvbnRlbnRfVHlwZXNd&#10;LnhtbFBLAQItABQABgAIAAAAIQA4/SH/1gAAAJQBAAALAAAAAAAAAAAAAAAAAC8BAABfcmVscy8u&#10;cmVsc1BLAQItABQABgAIAAAAIQBVLptemAQAAFdDAAAOAAAAAAAAAAAAAAAAAC4CAABkcnMvZTJv&#10;RG9jLnhtbFBLAQItABQABgAIAAAAIQA7kI264QAAAAsBAAAPAAAAAAAAAAAAAAAAAPIGAABkcnMv&#10;ZG93bnJldi54bWxQSwUGAAAAAAQABADzAAAAA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" o:spid="_x0000_s1027" type="#_x0000_t32" style="position:absolute;left:6591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44" o:spid="_x0000_s1028" type="#_x0000_t32" style="position:absolute;left:6885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45" o:spid="_x0000_s1029" type="#_x0000_t32" style="position:absolute;left:7227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46" o:spid="_x0000_s1030" type="#_x0000_t32" style="position:absolute;left:7533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47" o:spid="_x0000_s1031" type="#_x0000_t32" style="position:absolute;left:8120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48" o:spid="_x0000_s1032" type="#_x0000_t32" style="position:absolute;left:8429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49" o:spid="_x0000_s1033" type="#_x0000_t32" style="position:absolute;left:8722;top:3854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50" o:spid="_x0000_s1034" type="#_x0000_t32" style="position:absolute;left:9022;top:3843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54" o:spid="_x0000_s1035" type="#_x0000_t32" style="position:absolute;left:5383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55" o:spid="_x0000_s1036" type="#_x0000_t32" style="position:absolute;left:5076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56" o:spid="_x0000_s1037" type="#_x0000_t32" style="position:absolute;left:4796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57" o:spid="_x0000_s1038" type="#_x0000_t32" style="position:absolute;left:4476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58" o:spid="_x0000_s1039" type="#_x0000_t32" style="position:absolute;left:4243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59" o:spid="_x0000_s1040" type="#_x0000_t32" style="position:absolute;left:3912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60" o:spid="_x0000_s1041" type="#_x0000_t32" style="position:absolute;left:3588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AutoShape 61" o:spid="_x0000_s1042" type="#_x0000_t32" style="position:absolute;left:3271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62" o:spid="_x0000_s1043" type="#_x0000_t32" style="position:absolute;left:2934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63" o:spid="_x0000_s1044" type="#_x0000_t32" style="position:absolute;left:2647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64" o:spid="_x0000_s1045" type="#_x0000_t32" style="position:absolute;left:2320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65" o:spid="_x0000_s1046" type="#_x0000_t32" style="position:absolute;left:7801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66" o:spid="_x0000_s1047" type="#_x0000_t32" style="position:absolute;left:9964;top:3854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53" o:spid="_x0000_s1048" type="#_x0000_t32" style="position:absolute;left:6295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<v:shape id="AutoShape 53" o:spid="_x0000_s1049" type="#_x0000_t32" style="position:absolute;left:5995;top:3867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<v:shape id="AutoShape 66" o:spid="_x0000_s1050" type="#_x0000_t32" style="position:absolute;left:9654;top:3854;width:0;height: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  </v:group>
            </w:pict>
          </mc:Fallback>
        </mc:AlternateContent>
      </w:r>
      <w:r w:rsidRPr="009C1A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946C6" wp14:editId="531CC191">
                <wp:simplePos x="0" y="0"/>
                <wp:positionH relativeFrom="column">
                  <wp:posOffset>2931160</wp:posOffset>
                </wp:positionH>
                <wp:positionV relativeFrom="paragraph">
                  <wp:posOffset>874395</wp:posOffset>
                </wp:positionV>
                <wp:extent cx="469900" cy="349250"/>
                <wp:effectExtent l="19050" t="38100" r="44450" b="31750"/>
                <wp:wrapNone/>
                <wp:docPr id="147" name="Прямая со стрелко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3492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E2E78CA" id="Прямая со стрелкой 147" o:spid="_x0000_s1026" type="#_x0000_t32" style="position:absolute;margin-left:230.8pt;margin-top:68.85pt;width:37pt;height:2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zsCgIAAKwDAAAOAAAAZHJzL2Uyb0RvYy54bWysU82O0zAQviPxDpbvNNnS7m6rpntoKRcE&#10;lfi5u46TWPKfPKZpbwsvsI/AK3DhwI/2GZI3YuyUaoEbIofRjO35ZuabL4ubg1ZkLzxIawp6Mcop&#10;EYbbUpq6oG/fbJ5cUwKBmZIpa0RBjwLozfLxo0Xr5mJsG6tK4QmCGJi3rqBNCG6eZcAboRmMrBMG&#10;LyvrNQsY+jorPWsRXatsnOeXWWt96bzlAgBP18MlXSb8qhI8vKoqEIGogmJvIVmf7C7abLlg89oz&#10;10h+aoP9QxeaSYNFz1BrFhh57+VfUFpyb8FWYcStzmxVSS7SDDjNRf7HNK8b5kSaBckBd6YJ/h8s&#10;f7nfeiJL3N3kihLDNC6p+9Tf9nfdj+5zf0f6D909mv5jf9t96b5337r77iuJr5G71sEcIVZm608R&#10;uK2PRBwqr0mlpHuH0IkaHJYcEvPHM/PiEAjHw8nlbJbjfjhePZ3MxtO0mWyAiXDOQ3gurCbRKSgE&#10;z2TdhJU1Bnds/VCC7V9AwEYw8VdCTDZ2I5VKq1aGtAUdX0+vpliNoeIqxQK62iEHYGpKmKpRyjz4&#10;1DVYJcuYHoHA17uV8mTPUE6bTY5fZAHL/fYs1l4zaIZ3cIQYDFILTKpnpiTh6JDo4CUztRInEGVi&#10;EZFkexokEjxQGr2dLY+J6SxGKIlU+yTfqLmHMfoPf7LlTwAAAP//AwBQSwMEFAAGAAgAAAAhAOvE&#10;Eo3fAAAACwEAAA8AAABkcnMvZG93bnJldi54bWxMj81OwzAQhO9IvIO1SNyo05YmJI1TISQu3JIi&#10;Km5u7MYR8TrEzg9vz3Kix535NDuTHxbbsUkPvnUoYL2KgGmsnWqxEfB+fH14AuaDRCU7h1rAj/Zw&#10;KG5vcpkpN2Oppyo0jELQZ1KACaHPOPe10Vb6les1kndxg5WBzqHhapAzhduOb6Io5la2SB+M7PWL&#10;0fVXNVoBU/s9fnzOZXk6YVSZtCqP6ZsR4v5ued4DC3oJ/zD81afqUFCnsxtRedYJeIzXMaFkbJME&#10;GBG77Y6UMynpJgFe5Px6Q/ELAAD//wMAUEsBAi0AFAAGAAgAAAAhALaDOJL+AAAA4QEAABMAAAAA&#10;AAAAAAAAAAAAAAAAAFtDb250ZW50X1R5cGVzXS54bWxQSwECLQAUAAYACAAAACEAOP0h/9YAAACU&#10;AQAACwAAAAAAAAAAAAAAAAAvAQAAX3JlbHMvLnJlbHNQSwECLQAUAAYACAAAACEAjXoM7AoCAACs&#10;AwAADgAAAAAAAAAAAAAAAAAuAgAAZHJzL2Uyb0RvYy54bWxQSwECLQAUAAYACAAAACEA68QSjd8A&#10;AAALAQAADwAAAAAAAAAAAAAAAABkBAAAZHJzL2Rvd25yZXYueG1sUEsFBgAAAAAEAAQA8wAAAHAF&#10;AAAAAA==&#10;" strokecolor="red" strokeweight="2.25pt">
                <v:stroke dashstyle="3 1" endarrow="block"/>
              </v:shape>
            </w:pict>
          </mc:Fallback>
        </mc:AlternateContent>
      </w:r>
      <w:r w:rsidRPr="009C1A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AB4E4" wp14:editId="143A57D0">
                <wp:simplePos x="0" y="0"/>
                <wp:positionH relativeFrom="column">
                  <wp:posOffset>607060</wp:posOffset>
                </wp:positionH>
                <wp:positionV relativeFrom="paragraph">
                  <wp:posOffset>943956</wp:posOffset>
                </wp:positionV>
                <wp:extent cx="469900" cy="349250"/>
                <wp:effectExtent l="19050" t="38100" r="44450" b="31750"/>
                <wp:wrapNone/>
                <wp:docPr id="146" name="Прямая со стрелко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3492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35B2AEC" id="Прямая со стрелкой 146" o:spid="_x0000_s1026" type="#_x0000_t32" style="position:absolute;margin-left:47.8pt;margin-top:74.35pt;width:37pt;height:2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ZpCgIAAKwDAAAOAAAAZHJzL2Uyb0RvYy54bWysU82O0zAQviPxDpbvNNnSlm3VdA8t5YJg&#10;JX7urmMnlhzb8pimvS28wD4Cr8BlD/xonyF5I8ZOqRa4IXIYzdieb2a++bK8OjSa7IUHZU1BL0Y5&#10;JcJwWypTFfTd2+2TS0ogMFMybY0o6FEAvVo9frRs3UKMbW11KTxBEAOL1hW0DsEtsgx4LRoGI+uE&#10;wUtpfcMChr7KSs9aRG90Ns7zWdZaXzpvuQDA081wSVcJX0rBw2spQQSiC4q9hWR9srtos9WSLSrP&#10;XK34qQ32D100TBkseobasMDIB6/+gmoU9xasDCNum8xKqbhIM+A0F/kf07ypmRNpFiQH3Jkm+H+w&#10;/NX+2hNV4u4mM0oMa3BJ3ef+pr/tfnRf+lvSf+zu0fSf+pvurvvefevuu68kvkbuWgcLhFiba3+K&#10;wF37SMRB+oZIrdx7hE7U4LDkkJg/npkXh0A4Hk5m83mO++F49XQyH0/TZrIBJsI5D+GFsA2JTkEh&#10;eKaqOqytMbhj64cSbP8SAjaCib8SYrKxW6V1WrU2pC3o+HL6bIrVGCpOahbQbRxyAKaihOkKpcyD&#10;T12D1aqM6REIfLVba0/2DOW03eb4RRaw3G/PYu0Ng3p4B0eIwSC1wJR+bkoSjg6JDl4xU2lxAtEm&#10;FhFJtqdBIsEDpdHb2fKYmM5ihJJItU/yjZp7GKP/8Cdb/QQAAP//AwBQSwMEFAAGAAgAAAAhAMjb&#10;F/PeAAAACgEAAA8AAABkcnMvZG93bnJldi54bWxMj8tOwzAQRfdI/IM1SOyoTYG0SeNUCIkNu6SI&#10;ip0bT+OIeBxi58Hf465gOXeO7pzJ94vt2ISDbx1JuF8JYEi10y01Et4Pr3dbYD4o0qpzhBJ+0MO+&#10;uL7KVabdTCVOVWhYLCGfKQkmhD7j3NcGrfIr1yPF3dkNVoU4Dg3Xg5pjue34WoiEW9VSvGBUjy8G&#10;669qtBKm9nv8+JzL8ngkUZm0Kg/pm5Hy9mZ53gELuIQ/GC76UR2K6HRyI2nPOgnpUxLJmD9uN8Au&#10;QJLG5CRhLR42wIuc/3+h+AUAAP//AwBQSwECLQAUAAYACAAAACEAtoM4kv4AAADhAQAAEwAAAAAA&#10;AAAAAAAAAAAAAAAAW0NvbnRlbnRfVHlwZXNdLnhtbFBLAQItABQABgAIAAAAIQA4/SH/1gAAAJQB&#10;AAALAAAAAAAAAAAAAAAAAC8BAABfcmVscy8ucmVsc1BLAQItABQABgAIAAAAIQAhoGZpCgIAAKwD&#10;AAAOAAAAAAAAAAAAAAAAAC4CAABkcnMvZTJvRG9jLnhtbFBLAQItABQABgAIAAAAIQDI2xfz3gAA&#10;AAoBAAAPAAAAAAAAAAAAAAAAAGQEAABkcnMvZG93bnJldi54bWxQSwUGAAAAAAQABADzAAAAbwUA&#10;AAAA&#10;" strokecolor="red" strokeweight="2.25pt">
                <v:stroke dashstyle="3 1" endarrow="block"/>
              </v:shape>
            </w:pict>
          </mc:Fallback>
        </mc:AlternateContent>
      </w:r>
      <w:r w:rsidRPr="009C1A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776E5" wp14:editId="59A8E8BC">
                <wp:simplePos x="0" y="0"/>
                <wp:positionH relativeFrom="column">
                  <wp:posOffset>5267960</wp:posOffset>
                </wp:positionH>
                <wp:positionV relativeFrom="paragraph">
                  <wp:posOffset>553720</wp:posOffset>
                </wp:positionV>
                <wp:extent cx="469900" cy="387350"/>
                <wp:effectExtent l="19050" t="38100" r="44450" b="317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3873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B6D56F6" id="Прямая со стрелкой 88" o:spid="_x0000_s1026" type="#_x0000_t32" style="position:absolute;margin-left:414.8pt;margin-top:43.6pt;width:37pt;height:3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+ECQIAAKoDAAAOAAAAZHJzL2Uyb0RvYy54bWysU8GO0zAQvSPxD5bvNNku3e1WTffQUi4I&#10;KsFydx07seTYlsc07W3hB/YT+AUuHIDVfkPyR4ydUi1wQ+QwmrE9b2bevMyv940mO+FBWVPQs1FO&#10;iTDclspUBb15t342pQQCMyXT1oiCHgTQ68XTJ/PWzcTY1laXwhMEMTBrXUHrENwsy4DXomEwsk4Y&#10;vJTWNyxg6Kus9KxF9EZn4zy/yFrrS+ctFwB4uhou6SLhSyl4eCMliEB0QbG3kKxPdhtttpizWeWZ&#10;qxU/tsH+oYuGKYNFT1ArFhj54NVfUI3i3oKVYcRtk1kpFRdpBpzmLP9jmrc1cyLNguSAO9EE/w+W&#10;v95tPFFlQae4KcMa3FH3ub/t77r77kt/R/qP3QOa/lN/233tfnTfu4fuG8HHyFzrYIYAS7Pxxwjc&#10;xkca9tI3RGrl3qMoEjE4Ktkn3g8n3sU+EI6Hzy+urnLcDser8+nl+STtJRtgIpzzEF4K25DoFBSC&#10;Z6qqw9Iagxu2fijBdq8gYCOY+CshJhu7VlqnRWtD2oKOp5PLCVZjqDepWUC3ccgAmIoSpisUMg8+&#10;dQ1WqzKmRyDw1XapPdkxFNN6neMXWcByvz2LtVcM6uEdHCAGg9ACU/qFKUk4OOQ5eMVMpcURRJtY&#10;RCTRHgeJBA+URm9ry0NiOosRCiLVPoo3Ku5xjP7jX2zxEwAA//8DAFBLAwQUAAYACAAAACEADS4C&#10;f90AAAAKAQAADwAAAGRycy9kb3ducmV2LnhtbEyPy07DMBBF90j8gzVI7KhNQCVJ41QIiQ27pBUV&#10;Ozc2cdR4HGLnwd8zrGA3j6M7Z4r96no2mzF0HiXcbwQwg43XHbYSjofXuxRYiAq16j0aCd8mwL68&#10;vipUrv2ClZnr2DIKwZArCTbGIec8NNY4FTZ+MEi7Tz86FakdW65HtVC463kixJY71SFdsGowL9Y0&#10;l3pyEubua3r/WKrqdEJR26yuDtmblfL2Zn3eAYtmjX8w/OqTOpTkdPYT6sB6CWmSbQml4ikBRkAm&#10;HmhwJvIxTYCXBf//QvkDAAD//wMAUEsBAi0AFAAGAAgAAAAhALaDOJL+AAAA4QEAABMAAAAAAAAA&#10;AAAAAAAAAAAAAFtDb250ZW50X1R5cGVzXS54bWxQSwECLQAUAAYACAAAACEAOP0h/9YAAACUAQAA&#10;CwAAAAAAAAAAAAAAAAAvAQAAX3JlbHMvLnJlbHNQSwECLQAUAAYACAAAACEAVffPhAkCAACqAwAA&#10;DgAAAAAAAAAAAAAAAAAuAgAAZHJzL2Uyb0RvYy54bWxQSwECLQAUAAYACAAAACEADS4Cf90AAAAK&#10;AQAADwAAAAAAAAAAAAAAAABjBAAAZHJzL2Rvd25yZXYueG1sUEsFBgAAAAAEAAQA8wAAAG0FAAAA&#10;AA==&#10;" strokecolor="red" strokeweight="2.25pt">
                <v:stroke dashstyle="3 1" endarrow="block"/>
              </v:shape>
            </w:pict>
          </mc:Fallback>
        </mc:AlternateContent>
      </w:r>
      <w:r w:rsidRPr="009C1A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A5A15D" wp14:editId="122C4E32">
            <wp:extent cx="6442710" cy="3017569"/>
            <wp:effectExtent l="0" t="0" r="15240" b="1143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1A8C" w:rsidRPr="009C1A8C" w:rsidRDefault="009C1A8C" w:rsidP="00A0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A8C">
        <w:rPr>
          <w:rFonts w:ascii="Times New Roman" w:hAnsi="Times New Roman"/>
          <w:sz w:val="28"/>
          <w:szCs w:val="28"/>
        </w:rPr>
        <w:lastRenderedPageBreak/>
        <w:t>Накопительным итогом с начала года объем производства промышленной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A8C">
        <w:rPr>
          <w:rFonts w:ascii="Times New Roman" w:hAnsi="Times New Roman"/>
          <w:sz w:val="28"/>
          <w:szCs w:val="28"/>
        </w:rPr>
        <w:t xml:space="preserve">сложился лучше показателя </w:t>
      </w:r>
      <w:r w:rsidRPr="009C1A8C">
        <w:rPr>
          <w:rFonts w:ascii="Times New Roman" w:hAnsi="Times New Roman"/>
          <w:sz w:val="28"/>
          <w:szCs w:val="28"/>
          <w:lang w:val="en-US"/>
        </w:rPr>
        <w:t>I </w:t>
      </w:r>
      <w:r w:rsidRPr="009C1A8C">
        <w:rPr>
          <w:rFonts w:ascii="Times New Roman" w:hAnsi="Times New Roman"/>
          <w:sz w:val="28"/>
          <w:szCs w:val="28"/>
        </w:rPr>
        <w:t>квартала 2020 года на 27,1% (+10,3% в реальном выражении)</w:t>
      </w:r>
      <w:r w:rsidR="008E7906">
        <w:rPr>
          <w:rFonts w:ascii="Times New Roman" w:hAnsi="Times New Roman"/>
          <w:sz w:val="28"/>
          <w:szCs w:val="28"/>
        </w:rPr>
        <w:t>.</w:t>
      </w:r>
      <w:r w:rsidRPr="009C1A8C">
        <w:rPr>
          <w:rFonts w:ascii="Times New Roman" w:hAnsi="Times New Roman"/>
          <w:sz w:val="28"/>
          <w:szCs w:val="28"/>
        </w:rPr>
        <w:t xml:space="preserve"> </w:t>
      </w:r>
      <w:r w:rsidR="008E7906">
        <w:rPr>
          <w:rFonts w:ascii="Times New Roman" w:hAnsi="Times New Roman"/>
          <w:sz w:val="28"/>
          <w:szCs w:val="28"/>
        </w:rPr>
        <w:t>О</w:t>
      </w:r>
      <w:r w:rsidRPr="009C1A8C">
        <w:rPr>
          <w:rFonts w:ascii="Times New Roman" w:hAnsi="Times New Roman"/>
          <w:sz w:val="28"/>
          <w:szCs w:val="28"/>
        </w:rPr>
        <w:t xml:space="preserve">днако при исключении вклада электроэнергетики и черной металлургии фиксируется спад на 5,7% в сопоставимой оценке, который удалось </w:t>
      </w:r>
      <w:r w:rsidR="008E7906" w:rsidRPr="009C1A8C">
        <w:rPr>
          <w:rFonts w:ascii="Times New Roman" w:hAnsi="Times New Roman"/>
          <w:sz w:val="28"/>
          <w:szCs w:val="28"/>
        </w:rPr>
        <w:t xml:space="preserve">практически </w:t>
      </w:r>
      <w:r w:rsidRPr="009C1A8C">
        <w:rPr>
          <w:rFonts w:ascii="Times New Roman" w:hAnsi="Times New Roman"/>
          <w:sz w:val="28"/>
          <w:szCs w:val="28"/>
        </w:rPr>
        <w:t>нивелировать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A8C">
        <w:rPr>
          <w:rFonts w:ascii="Times New Roman" w:hAnsi="Times New Roman"/>
          <w:sz w:val="28"/>
          <w:szCs w:val="28"/>
        </w:rPr>
        <w:t>(-0,6%)</w:t>
      </w:r>
      <w:r>
        <w:rPr>
          <w:rFonts w:ascii="Times New Roman" w:hAnsi="Times New Roman"/>
          <w:sz w:val="28"/>
          <w:szCs w:val="28"/>
        </w:rPr>
        <w:t xml:space="preserve"> </w:t>
      </w:r>
      <w:r w:rsidR="008E7906" w:rsidRPr="009C1A8C">
        <w:rPr>
          <w:rFonts w:ascii="Times New Roman" w:hAnsi="Times New Roman"/>
          <w:sz w:val="28"/>
          <w:szCs w:val="28"/>
        </w:rPr>
        <w:t>за счет благоприятной ценовой конъюнктуры на продукцию отдельных отраслей</w:t>
      </w:r>
      <w:r w:rsidR="008E7906">
        <w:rPr>
          <w:rFonts w:ascii="Times New Roman" w:hAnsi="Times New Roman"/>
          <w:sz w:val="28"/>
          <w:szCs w:val="28"/>
        </w:rPr>
        <w:t>.</w:t>
      </w:r>
    </w:p>
    <w:p w:rsidR="009C1A8C" w:rsidRPr="009C1A8C" w:rsidRDefault="009C1A8C" w:rsidP="00A0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A8C">
        <w:rPr>
          <w:rFonts w:ascii="Times New Roman" w:hAnsi="Times New Roman"/>
          <w:sz w:val="28"/>
          <w:szCs w:val="28"/>
        </w:rPr>
        <w:t xml:space="preserve">Ключевая роль в достижении наблюдаемой динамики – высокая результативность </w:t>
      </w:r>
      <w:r w:rsidRPr="009C1A8C">
        <w:rPr>
          <w:rFonts w:ascii="Times New Roman" w:hAnsi="Times New Roman"/>
          <w:b/>
          <w:sz w:val="28"/>
          <w:szCs w:val="28"/>
        </w:rPr>
        <w:t xml:space="preserve">черной металлургии </w:t>
      </w:r>
      <w:r w:rsidRPr="009C1A8C">
        <w:rPr>
          <w:rFonts w:ascii="Times New Roman" w:hAnsi="Times New Roman"/>
          <w:sz w:val="28"/>
          <w:szCs w:val="28"/>
        </w:rPr>
        <w:t xml:space="preserve">на фоне повышенного спроса на металлопродукцию со стороны контрагентов из других стран при наличии положительного ценового тренда. За март 2021 года было произведено больше, чем за февраль-март прошлых лет (в текущих ценах), а выработка отрасли в целом за </w:t>
      </w:r>
      <w:r w:rsidRPr="009C1A8C">
        <w:rPr>
          <w:rFonts w:ascii="Times New Roman" w:hAnsi="Times New Roman"/>
          <w:sz w:val="28"/>
          <w:szCs w:val="28"/>
          <w:lang w:val="en-US"/>
        </w:rPr>
        <w:t>I </w:t>
      </w:r>
      <w:r w:rsidRPr="009C1A8C">
        <w:rPr>
          <w:rFonts w:ascii="Times New Roman" w:hAnsi="Times New Roman"/>
          <w:sz w:val="28"/>
          <w:szCs w:val="28"/>
        </w:rPr>
        <w:t>квартал выросла в 1,9 раза до 1 457,9 млн руб., или на 33,4% в реальном выражении, в том числе катанки (в 2,1 раза), стали (+28,8%), труб (+21,2%). Таким образом, долевое участие черной металлургии в совокупном индустриальном выпуске достигло 40,6% (против 27,0% годом ранее).</w:t>
      </w:r>
    </w:p>
    <w:p w:rsidR="009C1A8C" w:rsidRPr="009C1A8C" w:rsidRDefault="009C1A8C" w:rsidP="00A0618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C1A8C">
        <w:rPr>
          <w:rFonts w:ascii="Times New Roman" w:hAnsi="Times New Roman"/>
          <w:sz w:val="28"/>
          <w:szCs w:val="28"/>
        </w:rPr>
        <w:t xml:space="preserve">Повышение выработки электроэнергии в </w:t>
      </w:r>
      <w:r w:rsidRPr="009C1A8C">
        <w:rPr>
          <w:rFonts w:ascii="Times New Roman" w:hAnsi="Times New Roman"/>
          <w:sz w:val="28"/>
          <w:szCs w:val="28"/>
          <w:lang w:val="en-US"/>
        </w:rPr>
        <w:t>I </w:t>
      </w:r>
      <w:r w:rsidRPr="009C1A8C">
        <w:rPr>
          <w:rFonts w:ascii="Times New Roman" w:hAnsi="Times New Roman"/>
          <w:sz w:val="28"/>
          <w:szCs w:val="28"/>
        </w:rPr>
        <w:t>квартале до 1 253,7 млн кВт/ч (+11,7%) позволило сформировать трехмесячный выпуск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электроэнергетики</w:t>
      </w:r>
      <w:r w:rsidRPr="009C1A8C">
        <w:rPr>
          <w:rFonts w:ascii="Times New Roman" w:hAnsi="Times New Roman"/>
          <w:sz w:val="28"/>
          <w:szCs w:val="28"/>
        </w:rPr>
        <w:t xml:space="preserve"> в размере 1 075,0 млн руб., что на 7,7% выше базисного показателя в текущих ценах и на 10,5% – в реальном выр</w:t>
      </w:r>
      <w:r w:rsidR="007A0057">
        <w:rPr>
          <w:rFonts w:ascii="Times New Roman" w:hAnsi="Times New Roman"/>
          <w:sz w:val="28"/>
          <w:szCs w:val="28"/>
        </w:rPr>
        <w:t>ажении.</w:t>
      </w:r>
    </w:p>
    <w:p w:rsidR="009C1A8C" w:rsidRPr="009C1A8C" w:rsidRDefault="00B84D5B" w:rsidP="00A0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</w:t>
      </w:r>
      <w:r w:rsidR="009C1A8C" w:rsidRPr="009C1A8C">
        <w:rPr>
          <w:rFonts w:ascii="Times New Roman" w:hAnsi="Times New Roman"/>
          <w:sz w:val="28"/>
          <w:szCs w:val="28"/>
        </w:rPr>
        <w:t xml:space="preserve">ыпуск </w:t>
      </w:r>
      <w:r w:rsidR="009C1A8C" w:rsidRPr="007A0057">
        <w:rPr>
          <w:rFonts w:ascii="Times New Roman" w:hAnsi="Times New Roman"/>
          <w:b/>
          <w:sz w:val="28"/>
          <w:szCs w:val="28"/>
        </w:rPr>
        <w:t>пищевой промышленности</w:t>
      </w:r>
      <w:r w:rsidR="009C1A8C" w:rsidRPr="009C1A8C">
        <w:rPr>
          <w:rFonts w:ascii="Times New Roman" w:hAnsi="Times New Roman"/>
          <w:sz w:val="28"/>
          <w:szCs w:val="28"/>
        </w:rPr>
        <w:t xml:space="preserve"> достиг отметки 386,6 млн руб. (10,8% общеиндустриального), что на 12,6% лучше базисного показателя 2020 года (+6,8</w:t>
      </w:r>
      <w:r w:rsidR="007A0057">
        <w:rPr>
          <w:rFonts w:ascii="Times New Roman" w:hAnsi="Times New Roman"/>
          <w:sz w:val="28"/>
          <w:szCs w:val="28"/>
        </w:rPr>
        <w:t>% в реальном выражении)</w:t>
      </w:r>
      <w:r w:rsidR="007A0057" w:rsidRPr="009C1A8C">
        <w:rPr>
          <w:rFonts w:ascii="Times New Roman" w:hAnsi="Times New Roman"/>
          <w:sz w:val="28"/>
          <w:szCs w:val="28"/>
        </w:rPr>
        <w:t xml:space="preserve">. </w:t>
      </w:r>
      <w:r w:rsidR="009C1A8C" w:rsidRPr="009C1A8C">
        <w:rPr>
          <w:rFonts w:ascii="Times New Roman" w:hAnsi="Times New Roman"/>
          <w:sz w:val="28"/>
          <w:szCs w:val="28"/>
        </w:rPr>
        <w:t>В разрезе товарных позиций положительная динамика наблюдается по мясу как свежему и охлажденному (+9,4%), так и по замороженному (+6,9%)</w:t>
      </w:r>
      <w:r>
        <w:rPr>
          <w:rFonts w:ascii="Times New Roman" w:hAnsi="Times New Roman"/>
          <w:sz w:val="28"/>
          <w:szCs w:val="28"/>
        </w:rPr>
        <w:t>,</w:t>
      </w:r>
      <w:r w:rsidR="009C1A8C" w:rsidRPr="009C1A8C">
        <w:rPr>
          <w:rFonts w:ascii="Times New Roman" w:hAnsi="Times New Roman"/>
          <w:sz w:val="28"/>
          <w:szCs w:val="28"/>
        </w:rPr>
        <w:t xml:space="preserve"> в больших</w:t>
      </w:r>
      <w:r>
        <w:rPr>
          <w:rFonts w:ascii="Times New Roman" w:hAnsi="Times New Roman"/>
          <w:sz w:val="28"/>
          <w:szCs w:val="28"/>
        </w:rPr>
        <w:t>, чем год назад,</w:t>
      </w:r>
      <w:r w:rsidR="009C1A8C" w:rsidRPr="009C1A8C">
        <w:rPr>
          <w:rFonts w:ascii="Times New Roman" w:hAnsi="Times New Roman"/>
          <w:sz w:val="28"/>
          <w:szCs w:val="28"/>
        </w:rPr>
        <w:t xml:space="preserve"> объемах производилось сливочное масло (+19,3%), вермут и виноградные вина (в 1,3 раза),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9C1A8C" w:rsidRPr="009C1A8C">
        <w:rPr>
          <w:rFonts w:ascii="Times New Roman" w:hAnsi="Times New Roman"/>
          <w:sz w:val="28"/>
          <w:szCs w:val="28"/>
        </w:rPr>
        <w:t xml:space="preserve">коньячный спирт (в 1,8 раза). </w:t>
      </w:r>
      <w:r>
        <w:rPr>
          <w:rFonts w:ascii="Times New Roman" w:hAnsi="Times New Roman"/>
          <w:sz w:val="28"/>
          <w:szCs w:val="28"/>
        </w:rPr>
        <w:t>С</w:t>
      </w:r>
      <w:r w:rsidR="009C1A8C" w:rsidRPr="009C1A8C">
        <w:rPr>
          <w:rFonts w:ascii="Times New Roman" w:hAnsi="Times New Roman"/>
          <w:sz w:val="28"/>
          <w:szCs w:val="28"/>
        </w:rPr>
        <w:t>тоит отметить значительный рост производства виноматериалов (до 46 тыс. дал против 22 тыс. дал годом ранее), растительного масла (до 65 т против 2</w:t>
      </w:r>
      <w:r w:rsidR="007A0057">
        <w:rPr>
          <w:rFonts w:ascii="Times New Roman" w:hAnsi="Times New Roman"/>
          <w:sz w:val="28"/>
          <w:szCs w:val="28"/>
        </w:rPr>
        <w:t>5 </w:t>
      </w:r>
      <w:r w:rsidR="009C1A8C" w:rsidRPr="009C1A8C">
        <w:rPr>
          <w:rFonts w:ascii="Times New Roman" w:hAnsi="Times New Roman"/>
          <w:sz w:val="28"/>
          <w:szCs w:val="28"/>
        </w:rPr>
        <w:t xml:space="preserve">т). При этом произошло снижение выпуска консервов (в 2,3 раза), рыбы соленой или в рассоле </w:t>
      </w:r>
      <w:r>
        <w:rPr>
          <w:rFonts w:ascii="Times New Roman" w:hAnsi="Times New Roman"/>
          <w:sz w:val="28"/>
          <w:szCs w:val="28"/>
        </w:rPr>
        <w:br/>
      </w:r>
      <w:r w:rsidR="009C1A8C" w:rsidRPr="009C1A8C">
        <w:rPr>
          <w:rFonts w:ascii="Times New Roman" w:hAnsi="Times New Roman"/>
          <w:sz w:val="28"/>
          <w:szCs w:val="28"/>
        </w:rPr>
        <w:t>(-10,5%), мясных полуфабрикатов (-10,5%)</w:t>
      </w:r>
      <w:r w:rsidR="00164EE9">
        <w:rPr>
          <w:rFonts w:ascii="Times New Roman" w:hAnsi="Times New Roman"/>
          <w:sz w:val="28"/>
          <w:szCs w:val="28"/>
        </w:rPr>
        <w:t>,</w:t>
      </w:r>
      <w:r w:rsidR="009C1A8C" w:rsidRPr="009C1A8C">
        <w:rPr>
          <w:rFonts w:ascii="Times New Roman" w:hAnsi="Times New Roman"/>
          <w:sz w:val="28"/>
          <w:szCs w:val="28"/>
        </w:rPr>
        <w:t xml:space="preserve"> быстрозамороженной плодоовощной продукции (-25,0%), колбасных изделий (-4,0%).</w:t>
      </w:r>
    </w:p>
    <w:p w:rsidR="009C1A8C" w:rsidRPr="009C1A8C" w:rsidRDefault="007A0057" w:rsidP="00A0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C1A8C" w:rsidRPr="009C1A8C">
        <w:rPr>
          <w:rFonts w:ascii="Times New Roman" w:hAnsi="Times New Roman"/>
          <w:sz w:val="28"/>
          <w:szCs w:val="28"/>
        </w:rPr>
        <w:t xml:space="preserve"> </w:t>
      </w:r>
      <w:r w:rsidR="009C1A8C" w:rsidRPr="009C1A8C">
        <w:rPr>
          <w:rFonts w:ascii="Times New Roman" w:hAnsi="Times New Roman"/>
          <w:b/>
          <w:sz w:val="28"/>
          <w:szCs w:val="28"/>
        </w:rPr>
        <w:t>легкой промышленности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="009C1A8C" w:rsidRPr="009C1A8C">
        <w:rPr>
          <w:rFonts w:ascii="Times New Roman" w:hAnsi="Times New Roman"/>
          <w:sz w:val="28"/>
          <w:szCs w:val="28"/>
        </w:rPr>
        <w:t xml:space="preserve">читывая более высокие по сравнению с прошлым годом показатели выработки февраля-марта, квартальный объем производства сложился выше базисного на 2,7%. </w:t>
      </w:r>
      <w:r w:rsidR="00B84D5B">
        <w:rPr>
          <w:rFonts w:ascii="Times New Roman" w:hAnsi="Times New Roman"/>
          <w:sz w:val="28"/>
          <w:szCs w:val="28"/>
        </w:rPr>
        <w:t>В</w:t>
      </w:r>
      <w:r w:rsidR="009C1A8C" w:rsidRPr="009C1A8C">
        <w:rPr>
          <w:rFonts w:ascii="Times New Roman" w:hAnsi="Times New Roman"/>
          <w:sz w:val="28"/>
          <w:szCs w:val="28"/>
        </w:rPr>
        <w:t xml:space="preserve"> реальном выражении выпуск сократился </w:t>
      </w:r>
      <w:r w:rsidR="00164EE9">
        <w:rPr>
          <w:rFonts w:ascii="Times New Roman" w:hAnsi="Times New Roman"/>
          <w:sz w:val="28"/>
          <w:szCs w:val="28"/>
        </w:rPr>
        <w:t>на 0,9%</w:t>
      </w:r>
      <w:r w:rsidR="009C1A8C" w:rsidRPr="009C1A8C">
        <w:rPr>
          <w:rFonts w:ascii="Times New Roman" w:hAnsi="Times New Roman"/>
          <w:sz w:val="28"/>
          <w:szCs w:val="28"/>
        </w:rPr>
        <w:t xml:space="preserve">, что стало следствием снижения пошива одежды (-1,5%), обуви </w:t>
      </w:r>
      <w:r w:rsidR="00FA7623">
        <w:rPr>
          <w:rFonts w:ascii="Times New Roman" w:hAnsi="Times New Roman"/>
          <w:sz w:val="28"/>
          <w:szCs w:val="28"/>
        </w:rPr>
        <w:br/>
      </w:r>
      <w:r w:rsidR="009C1A8C" w:rsidRPr="009C1A8C">
        <w:rPr>
          <w:rFonts w:ascii="Times New Roman" w:hAnsi="Times New Roman"/>
          <w:sz w:val="28"/>
          <w:szCs w:val="28"/>
        </w:rPr>
        <w:t>(-15,8%), постельного белья (-13,8%). В то же время в больших объемах производились трикотажные изделия (в 29,5 раза) и детская обувь (в 7,3 раза).</w:t>
      </w:r>
      <w:r w:rsidR="009C1A8C" w:rsidRPr="009C1A8C">
        <w:rPr>
          <w:sz w:val="28"/>
          <w:szCs w:val="28"/>
        </w:rPr>
        <w:t xml:space="preserve"> </w:t>
      </w:r>
    </w:p>
    <w:p w:rsidR="009C1A8C" w:rsidRPr="009C1A8C" w:rsidRDefault="00B84D5B" w:rsidP="00A0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</w:t>
      </w:r>
      <w:r w:rsidR="009C1A8C" w:rsidRPr="009C1A8C">
        <w:rPr>
          <w:rFonts w:ascii="Times New Roman" w:hAnsi="Times New Roman"/>
          <w:b/>
          <w:sz w:val="28"/>
          <w:szCs w:val="28"/>
        </w:rPr>
        <w:t xml:space="preserve"> промышленности строительных материалов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1A8C" w:rsidRPr="009C1A8C">
        <w:rPr>
          <w:rFonts w:ascii="Times New Roman" w:hAnsi="Times New Roman"/>
          <w:sz w:val="28"/>
          <w:szCs w:val="28"/>
        </w:rPr>
        <w:t xml:space="preserve">итоги квартала – одни из худших среди отраслей промышленности (-24,2% к уровню января-марта 2020 года). Спад на 25,1% в реальном выражении отразил снижение производства цемента </w:t>
      </w:r>
      <w:r>
        <w:rPr>
          <w:rFonts w:ascii="Times New Roman" w:hAnsi="Times New Roman"/>
          <w:sz w:val="28"/>
          <w:szCs w:val="28"/>
        </w:rPr>
        <w:br/>
      </w:r>
      <w:r w:rsidR="009C1A8C" w:rsidRPr="009C1A8C">
        <w:rPr>
          <w:rFonts w:ascii="Times New Roman" w:hAnsi="Times New Roman"/>
          <w:sz w:val="28"/>
          <w:szCs w:val="28"/>
        </w:rPr>
        <w:t>(-26,0%), товарного бетона (в 2,9 раза), стеновых материалов (в 2,8 раза). Вместе с тем, наращивался выпуск клинкера (+22,2%) и неармированных бетонных изделий (+19,7%).</w:t>
      </w:r>
    </w:p>
    <w:p w:rsidR="009C1A8C" w:rsidRPr="009C1A8C" w:rsidRDefault="009C1A8C" w:rsidP="00A0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C1A8C">
        <w:rPr>
          <w:rFonts w:ascii="Times New Roman" w:hAnsi="Times New Roman"/>
          <w:sz w:val="28"/>
          <w:szCs w:val="28"/>
        </w:rPr>
        <w:t xml:space="preserve">На пониженных мощностях в условиях пандемии </w:t>
      </w:r>
      <w:r w:rsidRPr="009C1A8C">
        <w:rPr>
          <w:rFonts w:ascii="Times New Roman" w:hAnsi="Times New Roman"/>
          <w:sz w:val="28"/>
          <w:szCs w:val="28"/>
          <w:lang w:val="en-US"/>
        </w:rPr>
        <w:t>COVID</w:t>
      </w:r>
      <w:r w:rsidRPr="009C1A8C">
        <w:rPr>
          <w:rFonts w:ascii="Times New Roman" w:hAnsi="Times New Roman"/>
          <w:sz w:val="28"/>
          <w:szCs w:val="28"/>
        </w:rPr>
        <w:t>-19 осуществля</w:t>
      </w:r>
      <w:r w:rsidR="00164EE9">
        <w:rPr>
          <w:rFonts w:ascii="Times New Roman" w:hAnsi="Times New Roman"/>
          <w:sz w:val="28"/>
          <w:szCs w:val="28"/>
        </w:rPr>
        <w:t>ли</w:t>
      </w:r>
      <w:r w:rsidRPr="009C1A8C">
        <w:rPr>
          <w:rFonts w:ascii="Times New Roman" w:hAnsi="Times New Roman"/>
          <w:sz w:val="28"/>
          <w:szCs w:val="28"/>
        </w:rPr>
        <w:t xml:space="preserve"> деятельность предприятия </w:t>
      </w:r>
      <w:r w:rsidRPr="009C1A8C">
        <w:rPr>
          <w:rFonts w:ascii="Times New Roman" w:hAnsi="Times New Roman"/>
          <w:b/>
          <w:sz w:val="28"/>
          <w:szCs w:val="28"/>
        </w:rPr>
        <w:t>машиностроения и металлообработки</w:t>
      </w:r>
      <w:r w:rsidRPr="009C1A8C">
        <w:rPr>
          <w:rFonts w:ascii="Times New Roman" w:hAnsi="Times New Roman"/>
          <w:sz w:val="28"/>
          <w:szCs w:val="28"/>
        </w:rPr>
        <w:t xml:space="preserve">. Принимая во внимание высокую волатильность российского рубля, объем производства отрасли в </w:t>
      </w:r>
      <w:r w:rsidRPr="009C1A8C">
        <w:rPr>
          <w:rFonts w:ascii="Times New Roman" w:hAnsi="Times New Roman"/>
          <w:sz w:val="28"/>
          <w:szCs w:val="28"/>
          <w:lang w:val="en-US"/>
        </w:rPr>
        <w:t>I </w:t>
      </w:r>
      <w:r w:rsidRPr="009C1A8C">
        <w:rPr>
          <w:rFonts w:ascii="Times New Roman" w:hAnsi="Times New Roman"/>
          <w:sz w:val="28"/>
          <w:szCs w:val="28"/>
        </w:rPr>
        <w:t>квартале 2021 года сложился ниже прошлогоднего на 24,4% и составил 54,8 млн руб. В разрезе производимой продукции сокращение затронуло</w:t>
      </w:r>
      <w:r w:rsidR="00C9398B">
        <w:rPr>
          <w:rFonts w:ascii="Times New Roman" w:hAnsi="Times New Roman"/>
          <w:sz w:val="28"/>
          <w:szCs w:val="28"/>
        </w:rPr>
        <w:t xml:space="preserve"> выпуск</w:t>
      </w:r>
      <w:r w:rsidRPr="009C1A8C">
        <w:rPr>
          <w:rFonts w:ascii="Times New Roman" w:hAnsi="Times New Roman"/>
          <w:sz w:val="28"/>
          <w:szCs w:val="28"/>
        </w:rPr>
        <w:t xml:space="preserve"> профнастил</w:t>
      </w:r>
      <w:r w:rsidR="00C9398B">
        <w:rPr>
          <w:rFonts w:ascii="Times New Roman" w:hAnsi="Times New Roman"/>
          <w:sz w:val="28"/>
          <w:szCs w:val="28"/>
        </w:rPr>
        <w:t>а</w:t>
      </w:r>
      <w:r w:rsidRPr="009C1A8C">
        <w:rPr>
          <w:rFonts w:ascii="Times New Roman" w:hAnsi="Times New Roman"/>
          <w:sz w:val="28"/>
          <w:szCs w:val="28"/>
        </w:rPr>
        <w:t xml:space="preserve"> (в 1,6 раза), строительны</w:t>
      </w:r>
      <w:r w:rsidR="00C9398B">
        <w:rPr>
          <w:rFonts w:ascii="Times New Roman" w:hAnsi="Times New Roman"/>
          <w:sz w:val="28"/>
          <w:szCs w:val="28"/>
        </w:rPr>
        <w:t>х</w:t>
      </w:r>
      <w:r w:rsidRPr="009C1A8C">
        <w:rPr>
          <w:rFonts w:ascii="Times New Roman" w:hAnsi="Times New Roman"/>
          <w:sz w:val="28"/>
          <w:szCs w:val="28"/>
        </w:rPr>
        <w:t xml:space="preserve"> металлоиздели</w:t>
      </w:r>
      <w:r w:rsidR="00C9398B">
        <w:rPr>
          <w:rFonts w:ascii="Times New Roman" w:hAnsi="Times New Roman"/>
          <w:sz w:val="28"/>
          <w:szCs w:val="28"/>
        </w:rPr>
        <w:t>й</w:t>
      </w:r>
      <w:r w:rsidRPr="009C1A8C">
        <w:rPr>
          <w:rFonts w:ascii="Times New Roman" w:hAnsi="Times New Roman"/>
          <w:sz w:val="28"/>
          <w:szCs w:val="28"/>
        </w:rPr>
        <w:t xml:space="preserve"> (в 2,8 раза).</w:t>
      </w:r>
    </w:p>
    <w:p w:rsidR="009C1A8C" w:rsidRPr="009C1A8C" w:rsidRDefault="009C1A8C" w:rsidP="00A0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C1A8C">
        <w:rPr>
          <w:rFonts w:ascii="Times New Roman" w:hAnsi="Times New Roman"/>
          <w:sz w:val="28"/>
          <w:szCs w:val="28"/>
        </w:rPr>
        <w:t xml:space="preserve">Предприятия </w:t>
      </w:r>
      <w:r w:rsidRPr="009C1A8C">
        <w:rPr>
          <w:rFonts w:ascii="Times New Roman" w:hAnsi="Times New Roman"/>
          <w:b/>
          <w:sz w:val="28"/>
          <w:szCs w:val="28"/>
        </w:rPr>
        <w:t>электротехнической промышленности</w:t>
      </w:r>
      <w:r w:rsidRPr="009C1A8C">
        <w:rPr>
          <w:rFonts w:ascii="Times New Roman" w:hAnsi="Times New Roman"/>
          <w:sz w:val="28"/>
          <w:szCs w:val="28"/>
        </w:rPr>
        <w:t xml:space="preserve"> из-за низкой результативности в первые два месяца года сформировали квартальный выпуск на отметке 55,2 млн руб., что на 13,2% ниже уровня января-марта 2020 года (-21,5% в сопоставимых ценах). </w:t>
      </w:r>
    </w:p>
    <w:p w:rsidR="009C1A8C" w:rsidRPr="009C1A8C" w:rsidRDefault="00F326CC" w:rsidP="00A0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C1A8C" w:rsidRPr="009C1A8C">
        <w:rPr>
          <w:rFonts w:ascii="Times New Roman" w:hAnsi="Times New Roman"/>
          <w:sz w:val="28"/>
          <w:szCs w:val="28"/>
        </w:rPr>
        <w:t xml:space="preserve">олее низкая, чем в прошлом году, загрузка </w:t>
      </w:r>
      <w:r w:rsidR="00C9398B" w:rsidRPr="009C1A8C">
        <w:rPr>
          <w:rFonts w:ascii="Times New Roman" w:hAnsi="Times New Roman"/>
          <w:sz w:val="28"/>
          <w:szCs w:val="28"/>
        </w:rPr>
        <w:t xml:space="preserve">в </w:t>
      </w:r>
      <w:r w:rsidR="00C9398B" w:rsidRPr="009C1A8C">
        <w:rPr>
          <w:rFonts w:ascii="Times New Roman" w:hAnsi="Times New Roman"/>
          <w:b/>
          <w:sz w:val="28"/>
          <w:szCs w:val="28"/>
        </w:rPr>
        <w:t>химической промышленности</w:t>
      </w:r>
      <w:r w:rsidR="00CA4657">
        <w:rPr>
          <w:rFonts w:ascii="Times New Roman" w:hAnsi="Times New Roman"/>
          <w:sz w:val="28"/>
          <w:szCs w:val="28"/>
        </w:rPr>
        <w:t xml:space="preserve"> обусловила</w:t>
      </w:r>
      <w:r w:rsidR="009C1A8C" w:rsidRPr="009C1A8C">
        <w:rPr>
          <w:rFonts w:ascii="Times New Roman" w:hAnsi="Times New Roman"/>
          <w:sz w:val="28"/>
          <w:szCs w:val="28"/>
        </w:rPr>
        <w:t xml:space="preserve"> результаты квартала на отметке 64,6 млн руб. (-18,3%). Спад на 27,9% в реальном выражении стал следствием сокращения производства препрега (в 2,6 раза), </w:t>
      </w:r>
      <w:r w:rsidR="007A0057">
        <w:rPr>
          <w:rFonts w:ascii="Times New Roman" w:hAnsi="Times New Roman"/>
          <w:sz w:val="28"/>
          <w:szCs w:val="28"/>
        </w:rPr>
        <w:t xml:space="preserve">синтетических смол и пластмасс </w:t>
      </w:r>
      <w:r w:rsidR="009C1A8C" w:rsidRPr="009C1A8C">
        <w:rPr>
          <w:rFonts w:ascii="Times New Roman" w:hAnsi="Times New Roman"/>
          <w:sz w:val="28"/>
          <w:szCs w:val="28"/>
        </w:rPr>
        <w:t>(-34,4%), стеклопластиков и изделий из них (-29,3%)</w:t>
      </w:r>
      <w:r w:rsidR="00C9398B">
        <w:rPr>
          <w:rFonts w:ascii="Times New Roman" w:hAnsi="Times New Roman"/>
          <w:sz w:val="28"/>
          <w:szCs w:val="28"/>
        </w:rPr>
        <w:t>.</w:t>
      </w:r>
    </w:p>
    <w:p w:rsidR="009C1A8C" w:rsidRPr="009C1A8C" w:rsidRDefault="009C1A8C" w:rsidP="00A0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C1A8C">
        <w:rPr>
          <w:rFonts w:ascii="Times New Roman" w:hAnsi="Times New Roman"/>
          <w:sz w:val="28"/>
          <w:szCs w:val="28"/>
        </w:rPr>
        <w:t xml:space="preserve">Объем производства предприятий </w:t>
      </w:r>
      <w:r w:rsidRPr="009C1A8C">
        <w:rPr>
          <w:rFonts w:ascii="Times New Roman" w:hAnsi="Times New Roman"/>
          <w:b/>
          <w:sz w:val="28"/>
          <w:szCs w:val="28"/>
        </w:rPr>
        <w:t xml:space="preserve">мукомольно-крупяной и комбикормовой промышленности </w:t>
      </w:r>
      <w:r w:rsidRPr="009C1A8C">
        <w:rPr>
          <w:rFonts w:ascii="Times New Roman" w:hAnsi="Times New Roman"/>
          <w:sz w:val="28"/>
          <w:szCs w:val="28"/>
        </w:rPr>
        <w:t>составил 42,2 млн руб. Снижение выработки</w:t>
      </w:r>
      <w:r w:rsidR="00CA4657">
        <w:rPr>
          <w:rFonts w:ascii="Times New Roman" w:hAnsi="Times New Roman"/>
          <w:sz w:val="28"/>
          <w:szCs w:val="28"/>
        </w:rPr>
        <w:t xml:space="preserve"> </w:t>
      </w:r>
      <w:r w:rsidRPr="009C1A8C">
        <w:rPr>
          <w:rFonts w:ascii="Times New Roman" w:hAnsi="Times New Roman"/>
          <w:sz w:val="28"/>
          <w:szCs w:val="28"/>
        </w:rPr>
        <w:t xml:space="preserve">(-15,9% в реальном сопоставлении) было компенсировано ценовыми корректировками, что позволило превысить показатель прошлого года на 3,2%. Вместе с тем, в натуральном выражении отмечается сокращение выпуска муки (-15,4%), отрубей (-12,9%) и круп (-10,5%). </w:t>
      </w:r>
      <w:r w:rsidR="0031446B">
        <w:rPr>
          <w:rFonts w:ascii="Times New Roman" w:hAnsi="Times New Roman"/>
          <w:sz w:val="28"/>
          <w:szCs w:val="28"/>
        </w:rPr>
        <w:t>Н</w:t>
      </w:r>
      <w:r w:rsidRPr="009C1A8C">
        <w:rPr>
          <w:rFonts w:ascii="Times New Roman" w:hAnsi="Times New Roman"/>
          <w:sz w:val="28"/>
          <w:szCs w:val="28"/>
        </w:rPr>
        <w:t xml:space="preserve">аращивалось производство комбикормов (в 1,5 раза) и гречневой крупы </w:t>
      </w:r>
      <w:r w:rsidR="00FA7623">
        <w:rPr>
          <w:rFonts w:ascii="Times New Roman" w:hAnsi="Times New Roman"/>
          <w:sz w:val="28"/>
          <w:szCs w:val="28"/>
        </w:rPr>
        <w:br/>
      </w:r>
      <w:r w:rsidRPr="009C1A8C">
        <w:rPr>
          <w:rFonts w:ascii="Times New Roman" w:hAnsi="Times New Roman"/>
          <w:sz w:val="28"/>
          <w:szCs w:val="28"/>
        </w:rPr>
        <w:t>(в 2,0 раза).</w:t>
      </w:r>
    </w:p>
    <w:p w:rsidR="009C1A8C" w:rsidRDefault="009C1A8C" w:rsidP="00A0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A8C">
        <w:rPr>
          <w:rFonts w:ascii="Times New Roman" w:hAnsi="Times New Roman"/>
          <w:sz w:val="28"/>
          <w:szCs w:val="28"/>
        </w:rPr>
        <w:t xml:space="preserve">Товарный выпуск </w:t>
      </w:r>
      <w:r w:rsidRPr="009C1A8C">
        <w:rPr>
          <w:rFonts w:ascii="Times New Roman" w:hAnsi="Times New Roman"/>
          <w:b/>
          <w:sz w:val="28"/>
          <w:szCs w:val="28"/>
        </w:rPr>
        <w:t xml:space="preserve">полиграфической промышленности </w:t>
      </w:r>
      <w:r w:rsidRPr="009C1A8C">
        <w:rPr>
          <w:rFonts w:ascii="Times New Roman" w:hAnsi="Times New Roman"/>
          <w:sz w:val="28"/>
          <w:szCs w:val="28"/>
        </w:rPr>
        <w:t xml:space="preserve">по итогам </w:t>
      </w:r>
      <w:r w:rsidRPr="009C1A8C">
        <w:rPr>
          <w:rFonts w:ascii="Times New Roman" w:hAnsi="Times New Roman"/>
          <w:sz w:val="28"/>
          <w:szCs w:val="28"/>
          <w:lang w:val="en-US"/>
        </w:rPr>
        <w:t>I </w:t>
      </w:r>
      <w:r w:rsidRPr="009C1A8C">
        <w:rPr>
          <w:rFonts w:ascii="Times New Roman" w:hAnsi="Times New Roman"/>
          <w:sz w:val="28"/>
          <w:szCs w:val="28"/>
        </w:rPr>
        <w:t>квартала 2021 года зафиксирован на отметке 5,1 млн руб., что на 9,8% ниже показателя 2020</w:t>
      </w:r>
      <w:r w:rsidR="00F326CC">
        <w:rPr>
          <w:rFonts w:ascii="Times New Roman" w:hAnsi="Times New Roman"/>
          <w:sz w:val="28"/>
          <w:szCs w:val="28"/>
        </w:rPr>
        <w:t> </w:t>
      </w:r>
      <w:r w:rsidRPr="009C1A8C">
        <w:rPr>
          <w:rFonts w:ascii="Times New Roman" w:hAnsi="Times New Roman"/>
          <w:sz w:val="28"/>
          <w:szCs w:val="28"/>
        </w:rPr>
        <w:t>года (-25,8% в реальном выражении).</w:t>
      </w:r>
    </w:p>
    <w:p w:rsidR="00854DE9" w:rsidRDefault="00854DE9" w:rsidP="00A06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057" w:rsidRPr="00B35B59" w:rsidRDefault="007A0057" w:rsidP="007A0057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35B5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B35B5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нешнеэкономическая деятельность</w:t>
      </w:r>
    </w:p>
    <w:p w:rsidR="007A0057" w:rsidRPr="007A0057" w:rsidRDefault="007A0057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57">
        <w:rPr>
          <w:rFonts w:ascii="Times New Roman" w:hAnsi="Times New Roman" w:cs="Times New Roman"/>
          <w:sz w:val="28"/>
          <w:szCs w:val="28"/>
        </w:rPr>
        <w:t>Согласно данным Государственного таможенного комитета ПМР, внешнеторговый оборот республики по итогам первого квартала 2021 года сложился на уровне 460,8 млн долл., что выше базисной отметки 2020 года на 5,9%. Стоимостной объем экспортных продаж составил 184,3 млн долл. (+22,4%), импортные поставки (с учетом операций физических лиц) оценены в сумме 276,5 млн долл. (-2,9%). Таким образом, отрицательное сальдо внешнеторговых операций сформировано в размере -92,2 млн долл. против -134,0 млн</w:t>
      </w:r>
      <w:r w:rsidR="00114A1E">
        <w:rPr>
          <w:rFonts w:ascii="Times New Roman" w:hAnsi="Times New Roman" w:cs="Times New Roman"/>
          <w:sz w:val="28"/>
          <w:szCs w:val="28"/>
        </w:rPr>
        <w:t xml:space="preserve"> долл. в январе-марте 2020 года</w:t>
      </w:r>
      <w:r w:rsidRPr="007A0057">
        <w:rPr>
          <w:rFonts w:ascii="Times New Roman" w:hAnsi="Times New Roman" w:cs="Times New Roman"/>
          <w:sz w:val="28"/>
          <w:szCs w:val="28"/>
        </w:rPr>
        <w:t>.</w:t>
      </w:r>
    </w:p>
    <w:p w:rsidR="007A0057" w:rsidRPr="007A0057" w:rsidRDefault="007A0057" w:rsidP="00A06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0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сезонных трендов </w:t>
      </w:r>
      <w:r w:rsidR="00F326CC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помесячной динамике наблюдалось</w:t>
      </w:r>
      <w:r w:rsidRPr="007A0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наращивание активности внешнеторговых сделок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(рис. </w:t>
      </w:r>
      <w:r w:rsidR="00114A1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F326C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14A1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7A0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</w:p>
    <w:p w:rsidR="007A0057" w:rsidRPr="007A0057" w:rsidRDefault="007A0057" w:rsidP="007A0057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A005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Рисунок </w:t>
      </w:r>
      <w:r w:rsidR="00114A1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</w:t>
      </w:r>
    </w:p>
    <w:p w:rsidR="007A0057" w:rsidRDefault="007A0057" w:rsidP="007A0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0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3FD200" wp14:editId="3168165A">
            <wp:extent cx="6477000" cy="1836115"/>
            <wp:effectExtent l="0" t="0" r="0" b="0"/>
            <wp:docPr id="14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66BF" w:rsidRPr="007A0057" w:rsidRDefault="007466BF" w:rsidP="007A0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CC" w:rsidRPr="00FA7623" w:rsidRDefault="00F326CC" w:rsidP="00FA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23">
        <w:rPr>
          <w:rFonts w:ascii="Times New Roman" w:hAnsi="Times New Roman" w:cs="Times New Roman"/>
          <w:sz w:val="28"/>
          <w:szCs w:val="28"/>
        </w:rPr>
        <w:t>В целом по итогам января-марта 2021 года масштабы экспорт</w:t>
      </w:r>
      <w:r w:rsidR="00114A1E" w:rsidRPr="00FA7623">
        <w:rPr>
          <w:rFonts w:ascii="Times New Roman" w:hAnsi="Times New Roman" w:cs="Times New Roman"/>
          <w:sz w:val="28"/>
          <w:szCs w:val="28"/>
        </w:rPr>
        <w:t>а</w:t>
      </w:r>
      <w:r w:rsidRPr="00FA7623">
        <w:rPr>
          <w:rFonts w:ascii="Times New Roman" w:hAnsi="Times New Roman" w:cs="Times New Roman"/>
          <w:sz w:val="28"/>
          <w:szCs w:val="28"/>
        </w:rPr>
        <w:t xml:space="preserve"> на 22,4% опережали со</w:t>
      </w:r>
      <w:r w:rsidR="0031446B" w:rsidRPr="00FA7623">
        <w:rPr>
          <w:rFonts w:ascii="Times New Roman" w:hAnsi="Times New Roman" w:cs="Times New Roman"/>
          <w:sz w:val="28"/>
          <w:szCs w:val="28"/>
        </w:rPr>
        <w:t>поставимый показатель 2020 года</w:t>
      </w:r>
      <w:r w:rsidRPr="00FA7623">
        <w:rPr>
          <w:rFonts w:ascii="Times New Roman" w:hAnsi="Times New Roman" w:cs="Times New Roman"/>
          <w:sz w:val="28"/>
          <w:szCs w:val="28"/>
        </w:rPr>
        <w:t xml:space="preserve"> при существенной трансформации структуры поставок.</w:t>
      </w:r>
    </w:p>
    <w:p w:rsidR="004560BA" w:rsidRPr="004560BA" w:rsidRDefault="004560BA" w:rsidP="00FA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23">
        <w:rPr>
          <w:rFonts w:ascii="Times New Roman" w:hAnsi="Times New Roman" w:cs="Times New Roman"/>
          <w:sz w:val="28"/>
          <w:szCs w:val="28"/>
        </w:rPr>
        <w:t xml:space="preserve">Повышательный тренд биржевых котировок на мировом рынке черных металлов в условиях возросшего спроса на стальную продукцию обусловил удвоение </w:t>
      </w:r>
      <w:r w:rsidR="00114A1E" w:rsidRPr="00FA7623">
        <w:rPr>
          <w:rFonts w:ascii="Times New Roman" w:hAnsi="Times New Roman" w:cs="Times New Roman"/>
          <w:sz w:val="28"/>
          <w:szCs w:val="28"/>
        </w:rPr>
        <w:t xml:space="preserve">металлургического </w:t>
      </w:r>
      <w:r w:rsidRPr="00FA7623">
        <w:rPr>
          <w:rFonts w:ascii="Times New Roman" w:hAnsi="Times New Roman" w:cs="Times New Roman"/>
          <w:sz w:val="28"/>
          <w:szCs w:val="28"/>
        </w:rPr>
        <w:t>экспорта в стоимостном выражении до 93,6 млн долл., что сформировало более половины совокупного показателя (50,8% против 31,3% в январе-марте 2020</w:t>
      </w:r>
      <w:r w:rsidRPr="004560BA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4560BA" w:rsidRP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Поставки топливно-энергетических товаров увеличились на 4,5% к уровню первого квартала 2020 года, достигнув 36,8 млн долл., или 19,9% (-3,5 п.п.) в общей структуре.</w:t>
      </w:r>
    </w:p>
    <w:p w:rsidR="004560BA" w:rsidRPr="004560BA" w:rsidRDefault="004560BA" w:rsidP="00A0618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Вывоз продовольственных товаров и сырья сократился на 34,0% до 24,2</w:t>
      </w:r>
      <w:r w:rsidR="009F0E1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r w:rsidR="00114A1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долл. В структуре группы существенное снижение экспорта пшеницы, меслина и кукурузы (-56,8% в денежном эквиваленте), а также семян подсолнечника </w:t>
      </w:r>
      <w:r w:rsidR="00FA7623">
        <w:rPr>
          <w:rFonts w:ascii="Times New Roman" w:eastAsia="Times New Roman" w:hAnsi="Times New Roman" w:cs="Times New Roman"/>
          <w:sz w:val="28"/>
          <w:szCs w:val="24"/>
          <w:lang w:eastAsia="ru-RU"/>
        </w:rPr>
        <w:t>(-24,2%)</w:t>
      </w: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частично компенсировано наращиванием продаж яблок, груш и айвы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 </w:t>
      </w: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2,1 раза), а также пшеничной и пшенично-ржаной муки (в 1,5 раза) и замороженных овощей (+19,3%). Совокупный вклад группы составил 13,1% </w:t>
      </w:r>
      <w:r w:rsidR="007466B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(-11,3 п.п.).</w:t>
      </w:r>
    </w:p>
    <w:p w:rsidR="004560BA" w:rsidRPr="004560BA" w:rsidRDefault="004560BA" w:rsidP="00A06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Стоимостной объем реализованных за рубеж товаров легкой промышленности, на фоне роста продаж одежды (+6,8%), обуви (+53,7%), текстильных материалов и изделий (+12,0% и 24,0% соответственно), зафиксирован на отметке 18,1 млн долл. (+20,3%), или 9,8% (-0,2 п.п.) всего экспорта.</w:t>
      </w:r>
    </w:p>
    <w:p w:rsidR="004560BA" w:rsidRPr="004560BA" w:rsidRDefault="004560BA" w:rsidP="00A06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Принимая во внимание существенное сн</w:t>
      </w:r>
      <w:r w:rsidR="00FA7623">
        <w:rPr>
          <w:rFonts w:ascii="Times New Roman" w:eastAsia="Times New Roman" w:hAnsi="Times New Roman" w:cs="Times New Roman"/>
          <w:sz w:val="28"/>
          <w:szCs w:val="24"/>
          <w:lang w:eastAsia="ru-RU"/>
        </w:rPr>
        <w:t>ижение поставок цемента (спад в </w:t>
      </w: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2,1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раза)</w:t>
      </w:r>
      <w:r w:rsidR="0031446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экспорт минеральных продуктов сократился на 40,6%, сложившись на отметке 3,8 млн долл., или 2,0% (-2,2 п.п.) итогового показателя.</w:t>
      </w:r>
    </w:p>
    <w:p w:rsidR="004560BA" w:rsidRPr="004560BA" w:rsidRDefault="004560BA" w:rsidP="00A0618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Понижательная динамика продаж за рубеж машиностроительной продукции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(-23,0% до 4,3 млн долл.) обусловила сокращение долевого представления группы до 2,3% (-1,4 п.п.) совокупного экспорта.</w:t>
      </w:r>
    </w:p>
    <w:p w:rsidR="004560BA" w:rsidRPr="004560BA" w:rsidRDefault="004560BA" w:rsidP="00A06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Заметно упали также поставки продукции химической и связанных с ней отраслей промышленности – до 2,5 млн долл.</w:t>
      </w:r>
      <w:r w:rsidR="00F32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(-18,6%), или 1,4% в общей структуре.</w:t>
      </w:r>
    </w:p>
    <w:p w:rsidR="004560BA" w:rsidRPr="004560BA" w:rsidRDefault="004560BA" w:rsidP="00A06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рассматриваемом периоде основными контрагентами приднестровских экспортеров являлись резиденты:</w:t>
      </w:r>
    </w:p>
    <w:p w:rsidR="004560BA" w:rsidRPr="004560BA" w:rsidRDefault="004560BA" w:rsidP="00A06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Республики Молдова – 31,7% совокупного экспорта, или 58,4 млн долл. (-0,4% в стоимостном выражении к уровню января-марта 2020 года);</w:t>
      </w:r>
    </w:p>
    <w:p w:rsidR="004560BA" w:rsidRPr="004560BA" w:rsidRDefault="004560BA" w:rsidP="00A06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Республики Польша – 13,7%, или 25,3 млн долл. (рост в 4,5 раза);</w:t>
      </w:r>
    </w:p>
    <w:p w:rsidR="004560BA" w:rsidRPr="004560BA" w:rsidRDefault="004560BA" w:rsidP="00A06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- Румынии – 9,9%, или 18,2 млн долл. (-16,9%);</w:t>
      </w:r>
    </w:p>
    <w:p w:rsidR="004560BA" w:rsidRPr="004560BA" w:rsidRDefault="004560BA" w:rsidP="00A06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Российской Федерации – 8,8%, или 16,3 млн долл. (-5,8%);</w:t>
      </w:r>
    </w:p>
    <w:p w:rsidR="004560BA" w:rsidRPr="004560BA" w:rsidRDefault="004560BA" w:rsidP="00A06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- Украины – 8,0%, или 14,7 млн долл. (-45,6%);</w:t>
      </w:r>
    </w:p>
    <w:p w:rsidR="004560BA" w:rsidRPr="004560BA" w:rsidRDefault="004560BA" w:rsidP="00A06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0BA">
        <w:rPr>
          <w:rFonts w:ascii="Times New Roman" w:eastAsia="Times New Roman" w:hAnsi="Times New Roman" w:cs="Times New Roman"/>
          <w:sz w:val="28"/>
          <w:szCs w:val="24"/>
          <w:lang w:eastAsia="ru-RU"/>
        </w:rPr>
        <w:t>- Итальянской Республики – 3,8%, или 7,0 млн долл. (+23,0%).</w:t>
      </w:r>
    </w:p>
    <w:p w:rsidR="00F326CC" w:rsidRPr="007A0057" w:rsidRDefault="00F326CC" w:rsidP="00F326C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A005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Рисунок </w:t>
      </w:r>
      <w:r w:rsidR="00114A1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</w:t>
      </w:r>
    </w:p>
    <w:p w:rsidR="00F326CC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C2">
        <w:rPr>
          <w:noProof/>
          <w:color w:val="000000"/>
          <w:lang w:eastAsia="ru-RU"/>
        </w:rPr>
        <w:drawing>
          <wp:inline distT="0" distB="0" distL="0" distR="0" wp14:anchorId="4D15682B" wp14:editId="494A15A2">
            <wp:extent cx="6517843" cy="1852295"/>
            <wp:effectExtent l="0" t="0" r="0" b="0"/>
            <wp:docPr id="9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26CC" w:rsidRPr="00356557" w:rsidRDefault="00F326CC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 xml:space="preserve">По итогам января-марта 2021 года сокращение совокупного объема импорта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4560BA">
        <w:rPr>
          <w:rFonts w:ascii="Times New Roman" w:hAnsi="Times New Roman" w:cs="Times New Roman"/>
          <w:sz w:val="28"/>
          <w:szCs w:val="28"/>
        </w:rPr>
        <w:t>(-2,9% к аналогичному показателю 2020 года) определялось снижением на треть стоимостного эквивалента импорта топливно-энергетических ресурсов – до 85,3 млн долл., или 30,9% в структуре поставок.</w:t>
      </w:r>
    </w:p>
    <w:p w:rsidR="004560BA" w:rsidRP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Принимая во внимание увеличение объема поставок и высокие котировки, сырье для черной металлургии было закуплено на сумму, превысившую базисный уровень в 1,4 раза, – 60,1 млн долл., или 21,7% (+7,0 п.п.) итогового показателя.</w:t>
      </w:r>
    </w:p>
    <w:p w:rsidR="004560BA" w:rsidRP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Закупки продовольственных товаров (сырья) увеличились на 3,0%, составив 36,5 млн долл., или 13,2% (+0,7 п.п.) в общей структуре. Сформированная динамика стала отражением увеличения импорта в республику яиц (в 1,4 раза в стоимостно</w:t>
      </w:r>
      <w:r w:rsidR="001E27FA">
        <w:rPr>
          <w:rFonts w:ascii="Times New Roman" w:hAnsi="Times New Roman" w:cs="Times New Roman"/>
          <w:sz w:val="28"/>
          <w:szCs w:val="28"/>
        </w:rPr>
        <w:t>й</w:t>
      </w:r>
      <w:r w:rsidRPr="004560BA">
        <w:rPr>
          <w:rFonts w:ascii="Times New Roman" w:hAnsi="Times New Roman" w:cs="Times New Roman"/>
          <w:sz w:val="28"/>
          <w:szCs w:val="28"/>
        </w:rPr>
        <w:t xml:space="preserve"> оценке при +1,0% в натуральном выражении), мяса и субпродуктов птицы (+13,5% и +9,8% соответственно), подсолнечного масла (в 2,8 раза и в 1,8 раза), а также роста за счет ценовой составляющей поставок молока и молочных продуктов (+2,1% в стоимостном выражении при -5,7% в натуральном выражении) при снижении ввоза сливочного масла (-46,1% и -38,9% соответственно).</w:t>
      </w:r>
    </w:p>
    <w:p w:rsidR="004560BA" w:rsidRP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Ввоз товаров легкой промышленности оценен на уровне 14,4 млн долл. (+2,5%), или 5,2% (-0,3 п.п.) в общей структуре. В том числе закупки текстильных материалов и изделий увеличились на 1,8% и в 1,7 раза соответственно.</w:t>
      </w:r>
    </w:p>
    <w:p w:rsidR="004560BA" w:rsidRP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Поставки на территорию республики машиностроительной продукции в денежном эквиваленте достигли 32,4 млн долл. (+15,4%), или 11,7% (+1,8 п.п.) совокупного импорта. В больших, чем год назад, объемах осуществлен ввоз легковых автомобилей и прочих транспортных средств (в 1,3 раза к уровню января-марта 2020</w:t>
      </w:r>
      <w:r w:rsidR="00717EA7">
        <w:rPr>
          <w:rFonts w:ascii="Times New Roman" w:hAnsi="Times New Roman" w:cs="Times New Roman"/>
          <w:sz w:val="28"/>
          <w:szCs w:val="28"/>
        </w:rPr>
        <w:t> </w:t>
      </w:r>
      <w:r w:rsidRPr="004560BA">
        <w:rPr>
          <w:rFonts w:ascii="Times New Roman" w:hAnsi="Times New Roman" w:cs="Times New Roman"/>
          <w:sz w:val="28"/>
          <w:szCs w:val="28"/>
        </w:rPr>
        <w:t>года), телефонных аппаратов (+2,8%), а также систем мелиорации (импорт механических устройств для метания, разбрызгивания или распыления жидкостей или порошков возрос в 2,2 раза).</w:t>
      </w:r>
    </w:p>
    <w:p w:rsidR="004560BA" w:rsidRP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Импорт продукции химической и связанных с ней отраслей промышленности составил 22,2 млн долл. (-4,7%), или 8,0% (-0,2 п.п.) в общей структуре.</w:t>
      </w:r>
    </w:p>
    <w:p w:rsidR="004560BA" w:rsidRP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Основная часть импортируемой продукции поступала на территорию Приднестровья из таких</w:t>
      </w:r>
      <w:r>
        <w:rPr>
          <w:rFonts w:ascii="Times New Roman" w:hAnsi="Times New Roman" w:cs="Times New Roman"/>
          <w:sz w:val="28"/>
          <w:szCs w:val="28"/>
        </w:rPr>
        <w:t xml:space="preserve"> стран</w:t>
      </w:r>
      <w:r w:rsidRPr="004560BA">
        <w:rPr>
          <w:rFonts w:ascii="Times New Roman" w:hAnsi="Times New Roman" w:cs="Times New Roman"/>
          <w:sz w:val="28"/>
          <w:szCs w:val="28"/>
        </w:rPr>
        <w:t>, как:</w:t>
      </w:r>
    </w:p>
    <w:p w:rsidR="004560BA" w:rsidRP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- Российская Федерация – 33,7% совокупного импорта, или 93,2 млн долл. в стоимостном выражении (спад на 28,2% к уровню января-марта 2020 года);</w:t>
      </w:r>
    </w:p>
    <w:p w:rsidR="004560BA" w:rsidRP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- Румыния – 14,9%, или 41,2 млн долл. (+35,7%);</w:t>
      </w:r>
    </w:p>
    <w:p w:rsidR="004560BA" w:rsidRP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- Украина – 13,8%, или 38,2 млн долл. (+8,8%);</w:t>
      </w:r>
    </w:p>
    <w:p w:rsidR="004560BA" w:rsidRP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- Республика Молдова – 11,2%, или 30,9 млн долл. (+19,0%);</w:t>
      </w:r>
    </w:p>
    <w:p w:rsidR="004560BA" w:rsidRP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- Республика Беларусь – 3,9%, или 10,8 млн долл. (+46,2%);</w:t>
      </w:r>
    </w:p>
    <w:p w:rsidR="004560BA" w:rsidRPr="004560BA" w:rsidRDefault="004560BA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- Республика Казахстан – 2,5%, или 7,0 млн долл. (+1,2%).</w:t>
      </w:r>
    </w:p>
    <w:p w:rsidR="004560BA" w:rsidRDefault="004560BA" w:rsidP="00456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EA7" w:rsidRDefault="00717EA7" w:rsidP="00717E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аспекте воздействия на внешнеторговые операции конъюнктуры глобальных рынков можно отметить следующее.</w:t>
      </w:r>
    </w:p>
    <w:p w:rsidR="00194534" w:rsidRDefault="00194534" w:rsidP="001945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протяжении первого квартала 2021 года отмечен повышательный тренд нефтяных котировок на мировом рынке. Если в январе стоимость фьючерсов на сорта нефти марки Brent варьировала в диапазоне 54,7-56,6 долл./барр., то начиная с февраля 2021 года на фоне принятых </w:t>
      </w:r>
      <w:r>
        <w:rPr>
          <w:rFonts w:ascii="Times New Roman" w:hAnsi="Times New Roman" w:cs="Times New Roman"/>
          <w:sz w:val="28"/>
          <w:szCs w:val="28"/>
        </w:rPr>
        <w:t xml:space="preserve">ограничений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добычу нефти в рамках соглашения ОПЕК+ и добровольного снижения поставок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1 млн баррелей в сутки в одностороннем порядке Саудовской Аравией, отмечался рост цен на «черное золото», пиковые значения которых достигали уровня 69,6 долл./барр. </w:t>
      </w:r>
    </w:p>
    <w:p w:rsidR="00194534" w:rsidRDefault="00194534" w:rsidP="00194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рынок металлургической продукции в январе-марте отличился высокой волатильностью. В начале 2021 года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олебания цен на металлургическую продукцию и сырье на азиатском рынке в канун Нового года по китайскому календарю, сокращение масштабов закупок импортерами в связи с пополнением запасов, а также повсеместное продление карантинных мер сформировали понижательный тренд биржевых котировок: стоимость фьючерсного контракта на стальной лом к концу января уменьшилась на 11,4% (с 475 до 421 долл./т), на арматуру – на 9,1% (с 651 до 592 долл./т). </w:t>
      </w:r>
    </w:p>
    <w:p w:rsidR="00194534" w:rsidRDefault="00194534" w:rsidP="00194534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феврале </w:t>
      </w:r>
      <w:r>
        <w:rPr>
          <w:rFonts w:ascii="Times New Roman" w:hAnsi="Times New Roman" w:cs="Times New Roman"/>
          <w:sz w:val="28"/>
          <w:szCs w:val="28"/>
        </w:rPr>
        <w:t>на фоне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аступления сезонного подъема в строительном секторе и резкого повышения тарифов на фрахт в Азии </w:t>
      </w:r>
      <w:r>
        <w:rPr>
          <w:rFonts w:ascii="Times New Roman" w:hAnsi="Times New Roman" w:cs="Times New Roman"/>
          <w:sz w:val="28"/>
          <w:szCs w:val="28"/>
        </w:rPr>
        <w:t xml:space="preserve">стальной лом подорожал </w:t>
      </w:r>
      <w:r w:rsidR="00FA7623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489 долл./т,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следствие</w:t>
      </w:r>
      <w:r>
        <w:rPr>
          <w:rFonts w:ascii="Times New Roman" w:hAnsi="Times New Roman" w:cs="Times New Roman"/>
          <w:sz w:val="28"/>
          <w:szCs w:val="28"/>
        </w:rPr>
        <w:t xml:space="preserve"> арматура – с 570 до 660 долл./т. В марте 2021 года было снова отмечено удешевление фьючерсного контракта на металлургическую продукцию.</w:t>
      </w:r>
    </w:p>
    <w:p w:rsidR="00194534" w:rsidRDefault="00194534" w:rsidP="00194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Котировки фьючерсных контрактов на основные зерновые в первом квартале 2021 года изменялись разнонаправлено: цены на пшеницу на рынке США варьировали в пределах 221,5-250,6 долл./т., что существенно выше диапазонных значений 183-213 долл./т. за аналогичный период 2020 года. После повышательного тренда в феврале 2021 года (</w:t>
      </w:r>
      <w:r>
        <w:rPr>
          <w:rFonts w:ascii="Times New Roman" w:hAnsi="Times New Roman" w:cs="Times New Roman"/>
          <w:sz w:val="28"/>
          <w:szCs w:val="28"/>
        </w:rPr>
        <w:t xml:space="preserve">Индекс цен на зерновые ФАО составил 125,7 пункта, что на 1,5 пункта, или 1,2% выше январской отметки), в марте отмечено снижение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экспортных цен на пшеницу, мировых цен на кукурузу и ячмень, а также незначительное сокращение уровня цен на рис в связи с поступлением на рынок нового урожая и сохранением слабого спроса на различные сорта риса, что привело к сокращению среднего значения Индекса цен на зерновые ФАО до 123,6 пункта, что на 2,2 пункта, или 1,7% ниже февральской отметки.</w:t>
      </w:r>
    </w:p>
    <w:p w:rsidR="00717EA7" w:rsidRDefault="00717EA7" w:rsidP="00456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BA" w:rsidRPr="00B35B59" w:rsidRDefault="004560BA" w:rsidP="004560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B59">
        <w:rPr>
          <w:rFonts w:ascii="Times New Roman" w:hAnsi="Times New Roman" w:cs="Times New Roman"/>
          <w:b/>
          <w:sz w:val="28"/>
          <w:szCs w:val="28"/>
          <w:u w:val="single"/>
        </w:rPr>
        <w:t>Потребительский рынок</w:t>
      </w:r>
    </w:p>
    <w:p w:rsidR="00A06186" w:rsidRPr="00A06186" w:rsidRDefault="00A06186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овокупная емкость внутреннего рынка </w:t>
      </w:r>
      <w:r w:rsidR="004A7E8D">
        <w:rPr>
          <w:rFonts w:ascii="Times New Roman" w:hAnsi="Times New Roman" w:cs="Times New Roman"/>
          <w:sz w:val="28"/>
          <w:szCs w:val="28"/>
        </w:rPr>
        <w:t>оцен</w:t>
      </w:r>
      <w:r w:rsidR="00B62583">
        <w:rPr>
          <w:rFonts w:ascii="Times New Roman" w:hAnsi="Times New Roman" w:cs="Times New Roman"/>
          <w:sz w:val="28"/>
          <w:szCs w:val="28"/>
        </w:rPr>
        <w:t>ена</w:t>
      </w:r>
      <w:r w:rsidR="004A7E8D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Pr="00A06186">
        <w:rPr>
          <w:rFonts w:ascii="Times New Roman" w:hAnsi="Times New Roman" w:cs="Times New Roman"/>
          <w:sz w:val="28"/>
          <w:szCs w:val="28"/>
        </w:rPr>
        <w:t xml:space="preserve"> 2 691,6</w:t>
      </w:r>
      <w:r w:rsidR="004A7E8D">
        <w:rPr>
          <w:rFonts w:ascii="Times New Roman" w:hAnsi="Times New Roman" w:cs="Times New Roman"/>
          <w:sz w:val="28"/>
          <w:szCs w:val="28"/>
        </w:rPr>
        <w:t> </w:t>
      </w:r>
      <w:r w:rsidRPr="00A06186">
        <w:rPr>
          <w:rFonts w:ascii="Times New Roman" w:hAnsi="Times New Roman" w:cs="Times New Roman"/>
          <w:sz w:val="28"/>
          <w:szCs w:val="28"/>
        </w:rPr>
        <w:t>млн</w:t>
      </w:r>
      <w:r w:rsidR="004A7E8D">
        <w:rPr>
          <w:rFonts w:ascii="Times New Roman" w:hAnsi="Times New Roman" w:cs="Times New Roman"/>
          <w:sz w:val="28"/>
          <w:szCs w:val="28"/>
        </w:rPr>
        <w:t> </w:t>
      </w:r>
      <w:r w:rsidRPr="00A06186">
        <w:rPr>
          <w:rFonts w:ascii="Times New Roman" w:hAnsi="Times New Roman" w:cs="Times New Roman"/>
          <w:sz w:val="28"/>
          <w:szCs w:val="28"/>
        </w:rPr>
        <w:t xml:space="preserve">руб., что на 4,8%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A06186">
        <w:rPr>
          <w:rFonts w:ascii="Times New Roman" w:hAnsi="Times New Roman" w:cs="Times New Roman"/>
          <w:sz w:val="28"/>
          <w:szCs w:val="28"/>
        </w:rPr>
        <w:t xml:space="preserve"> аналогичного показателя прошлого года (+3,0% при исключении влияния ценового фактора). </w:t>
      </w:r>
      <w:r w:rsidR="004A7E8D">
        <w:rPr>
          <w:rFonts w:ascii="Times New Roman" w:hAnsi="Times New Roman" w:cs="Times New Roman"/>
          <w:sz w:val="28"/>
          <w:szCs w:val="28"/>
        </w:rPr>
        <w:t xml:space="preserve">Пролонгированное действие пандемийных обстоятельств </w:t>
      </w:r>
      <w:r w:rsidR="003B12CD">
        <w:rPr>
          <w:rFonts w:ascii="Times New Roman" w:hAnsi="Times New Roman" w:cs="Times New Roman"/>
          <w:sz w:val="28"/>
          <w:szCs w:val="28"/>
        </w:rPr>
        <w:t xml:space="preserve">нашло </w:t>
      </w:r>
      <w:r w:rsidR="00FA7623">
        <w:rPr>
          <w:rFonts w:ascii="Times New Roman" w:hAnsi="Times New Roman" w:cs="Times New Roman"/>
          <w:sz w:val="28"/>
          <w:szCs w:val="28"/>
        </w:rPr>
        <w:t>от</w:t>
      </w:r>
      <w:r w:rsidR="004A7E8D">
        <w:rPr>
          <w:rFonts w:ascii="Times New Roman" w:hAnsi="Times New Roman" w:cs="Times New Roman"/>
          <w:sz w:val="28"/>
          <w:szCs w:val="28"/>
        </w:rPr>
        <w:t xml:space="preserve">ражение </w:t>
      </w:r>
      <w:r w:rsidR="003B12CD">
        <w:rPr>
          <w:rFonts w:ascii="Times New Roman" w:hAnsi="Times New Roman" w:cs="Times New Roman"/>
          <w:sz w:val="28"/>
          <w:szCs w:val="28"/>
        </w:rPr>
        <w:t>в существенном отставании от базисного уровня в сфере общественного питания, п</w:t>
      </w:r>
      <w:r w:rsidR="004A7E8D">
        <w:rPr>
          <w:rFonts w:ascii="Times New Roman" w:hAnsi="Times New Roman" w:cs="Times New Roman"/>
          <w:sz w:val="28"/>
          <w:szCs w:val="28"/>
        </w:rPr>
        <w:t>ри наблюдаемом налаживании ситуации в других сегментах</w:t>
      </w:r>
      <w:r w:rsidR="003B12CD">
        <w:rPr>
          <w:rFonts w:ascii="Times New Roman" w:hAnsi="Times New Roman" w:cs="Times New Roman"/>
          <w:sz w:val="28"/>
          <w:szCs w:val="28"/>
        </w:rPr>
        <w:t>.</w:t>
      </w:r>
      <w:r w:rsidR="004A7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E8D" w:rsidRDefault="00352D6D" w:rsidP="003B1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с</w:t>
      </w:r>
      <w:r w:rsidRPr="00A06186">
        <w:rPr>
          <w:rFonts w:ascii="Times New Roman" w:hAnsi="Times New Roman" w:cs="Times New Roman"/>
          <w:sz w:val="28"/>
          <w:szCs w:val="28"/>
        </w:rPr>
        <w:t>кладывающ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06186">
        <w:rPr>
          <w:rFonts w:ascii="Times New Roman" w:hAnsi="Times New Roman" w:cs="Times New Roman"/>
          <w:sz w:val="28"/>
          <w:szCs w:val="28"/>
        </w:rPr>
        <w:t>ся ценов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06186">
        <w:rPr>
          <w:rFonts w:ascii="Times New Roman" w:hAnsi="Times New Roman" w:cs="Times New Roman"/>
          <w:sz w:val="28"/>
          <w:szCs w:val="28"/>
        </w:rPr>
        <w:t xml:space="preserve"> </w:t>
      </w:r>
      <w:r w:rsidR="004A7E8D" w:rsidRPr="00A06186">
        <w:rPr>
          <w:rFonts w:ascii="Times New Roman" w:hAnsi="Times New Roman" w:cs="Times New Roman"/>
          <w:sz w:val="28"/>
          <w:szCs w:val="28"/>
        </w:rPr>
        <w:t>конъюнкту</w:t>
      </w:r>
      <w:r w:rsidR="004A7E8D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фиксируется </w:t>
      </w:r>
      <w:r w:rsidRPr="00A06186">
        <w:rPr>
          <w:rFonts w:ascii="Times New Roman" w:hAnsi="Times New Roman" w:cs="Times New Roman"/>
          <w:sz w:val="28"/>
          <w:szCs w:val="28"/>
        </w:rPr>
        <w:t xml:space="preserve">поступательный рост активности в сфере </w:t>
      </w:r>
      <w:r w:rsidR="004A7E8D" w:rsidRPr="00A06186">
        <w:rPr>
          <w:rFonts w:ascii="Times New Roman" w:hAnsi="Times New Roman" w:cs="Times New Roman"/>
          <w:b/>
          <w:sz w:val="28"/>
          <w:szCs w:val="28"/>
        </w:rPr>
        <w:t>розничной торговли</w:t>
      </w:r>
      <w:r w:rsidR="004A7E8D" w:rsidRPr="00A06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(+</w:t>
      </w:r>
      <w:r w:rsidRPr="00A06186">
        <w:rPr>
          <w:rFonts w:ascii="Times New Roman" w:hAnsi="Times New Roman" w:cs="Times New Roman"/>
          <w:sz w:val="28"/>
          <w:szCs w:val="28"/>
        </w:rPr>
        <w:t>6,7% до 2 017,1 млн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06186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352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корректировки на инфляционную составляющую </w:t>
      </w:r>
      <w:r w:rsidR="004A7E8D" w:rsidRPr="00A06186">
        <w:rPr>
          <w:rFonts w:ascii="Times New Roman" w:hAnsi="Times New Roman" w:cs="Times New Roman"/>
          <w:sz w:val="28"/>
          <w:szCs w:val="28"/>
        </w:rPr>
        <w:t xml:space="preserve">объем продаж расширился </w:t>
      </w:r>
      <w:r w:rsidR="004A7E8D">
        <w:rPr>
          <w:rFonts w:ascii="Times New Roman" w:hAnsi="Times New Roman" w:cs="Times New Roman"/>
          <w:sz w:val="28"/>
          <w:szCs w:val="28"/>
        </w:rPr>
        <w:t xml:space="preserve">на </w:t>
      </w:r>
      <w:r w:rsidRPr="00A06186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4A7E8D">
        <w:rPr>
          <w:rFonts w:ascii="Times New Roman" w:hAnsi="Times New Roman" w:cs="Times New Roman"/>
          <w:sz w:val="28"/>
          <w:szCs w:val="28"/>
        </w:rPr>
        <w:t>.</w:t>
      </w:r>
      <w:r w:rsidR="00C54B00">
        <w:rPr>
          <w:rFonts w:ascii="Times New Roman" w:hAnsi="Times New Roman" w:cs="Times New Roman"/>
          <w:sz w:val="28"/>
          <w:szCs w:val="28"/>
        </w:rPr>
        <w:t xml:space="preserve"> При этом т</w:t>
      </w:r>
      <w:r w:rsidR="003B12CD">
        <w:rPr>
          <w:rFonts w:ascii="Times New Roman" w:eastAsia="Times New Roman" w:hAnsi="Times New Roman" w:cs="Times New Roman"/>
          <w:sz w:val="28"/>
          <w:szCs w:val="28"/>
        </w:rPr>
        <w:t xml:space="preserve">оварная структура рынка трансформировалась вследствие опережающего роста спроса на </w:t>
      </w:r>
      <w:r w:rsidR="003B12CD" w:rsidRPr="00A06186">
        <w:rPr>
          <w:rFonts w:ascii="Times New Roman" w:hAnsi="Times New Roman" w:cs="Times New Roman"/>
          <w:sz w:val="28"/>
          <w:szCs w:val="28"/>
        </w:rPr>
        <w:t>непродовольственны</w:t>
      </w:r>
      <w:r w:rsidR="003B12CD">
        <w:rPr>
          <w:rFonts w:ascii="Times New Roman" w:hAnsi="Times New Roman" w:cs="Times New Roman"/>
          <w:sz w:val="28"/>
          <w:szCs w:val="28"/>
        </w:rPr>
        <w:t>е</w:t>
      </w:r>
      <w:r w:rsidR="003B12CD" w:rsidRPr="00A06186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3B12CD">
        <w:rPr>
          <w:rFonts w:ascii="Times New Roman" w:hAnsi="Times New Roman" w:cs="Times New Roman"/>
          <w:sz w:val="28"/>
          <w:szCs w:val="28"/>
        </w:rPr>
        <w:t>ы (+9,2%</w:t>
      </w:r>
      <w:r w:rsidR="00A541C0">
        <w:rPr>
          <w:rFonts w:ascii="Times New Roman" w:hAnsi="Times New Roman" w:cs="Times New Roman"/>
          <w:sz w:val="28"/>
          <w:szCs w:val="28"/>
        </w:rPr>
        <w:t xml:space="preserve"> до 1 168,3 </w:t>
      </w:r>
      <w:r w:rsidR="00A541C0" w:rsidRPr="00A06186">
        <w:rPr>
          <w:rFonts w:ascii="Times New Roman" w:hAnsi="Times New Roman" w:cs="Times New Roman"/>
          <w:sz w:val="28"/>
          <w:szCs w:val="28"/>
        </w:rPr>
        <w:t>млн</w:t>
      </w:r>
      <w:r w:rsidR="00A541C0">
        <w:rPr>
          <w:rFonts w:ascii="Times New Roman" w:hAnsi="Times New Roman" w:cs="Times New Roman"/>
          <w:sz w:val="28"/>
          <w:szCs w:val="28"/>
        </w:rPr>
        <w:t> </w:t>
      </w:r>
      <w:r w:rsidR="00A541C0" w:rsidRPr="00A06186">
        <w:rPr>
          <w:rFonts w:ascii="Times New Roman" w:hAnsi="Times New Roman" w:cs="Times New Roman"/>
          <w:sz w:val="28"/>
          <w:szCs w:val="28"/>
        </w:rPr>
        <w:t>руб.</w:t>
      </w:r>
      <w:r w:rsidR="00C54B00">
        <w:rPr>
          <w:rFonts w:ascii="Times New Roman" w:hAnsi="Times New Roman" w:cs="Times New Roman"/>
          <w:sz w:val="28"/>
          <w:szCs w:val="28"/>
        </w:rPr>
        <w:t>, в сопоставимой оценке +8,2%</w:t>
      </w:r>
      <w:r w:rsidR="003B12CD">
        <w:rPr>
          <w:rFonts w:ascii="Times New Roman" w:hAnsi="Times New Roman" w:cs="Times New Roman"/>
          <w:sz w:val="28"/>
          <w:szCs w:val="28"/>
        </w:rPr>
        <w:t>)</w:t>
      </w:r>
      <w:r w:rsidR="00C54B00">
        <w:rPr>
          <w:rFonts w:ascii="Times New Roman" w:hAnsi="Times New Roman" w:cs="Times New Roman"/>
          <w:sz w:val="28"/>
          <w:szCs w:val="28"/>
        </w:rPr>
        <w:t xml:space="preserve">, доля которых </w:t>
      </w:r>
      <w:r w:rsidR="00C54B00" w:rsidRPr="00A06186">
        <w:rPr>
          <w:rFonts w:ascii="Times New Roman" w:hAnsi="Times New Roman" w:cs="Times New Roman"/>
          <w:sz w:val="28"/>
          <w:szCs w:val="28"/>
        </w:rPr>
        <w:t>до</w:t>
      </w:r>
      <w:r w:rsidR="00C54B00">
        <w:rPr>
          <w:rFonts w:ascii="Times New Roman" w:hAnsi="Times New Roman" w:cs="Times New Roman"/>
          <w:sz w:val="28"/>
          <w:szCs w:val="28"/>
        </w:rPr>
        <w:t>стигла</w:t>
      </w:r>
      <w:r w:rsidR="00C54B00" w:rsidRPr="00A06186">
        <w:rPr>
          <w:rFonts w:ascii="Times New Roman" w:hAnsi="Times New Roman" w:cs="Times New Roman"/>
          <w:sz w:val="28"/>
          <w:szCs w:val="28"/>
        </w:rPr>
        <w:t xml:space="preserve"> 57,9%</w:t>
      </w:r>
      <w:r w:rsidR="00C54B00">
        <w:rPr>
          <w:rFonts w:ascii="Times New Roman" w:hAnsi="Times New Roman" w:cs="Times New Roman"/>
          <w:sz w:val="28"/>
          <w:szCs w:val="28"/>
        </w:rPr>
        <w:t xml:space="preserve"> (+1,3 п.п.). Объемы реализации продовольственных товаров </w:t>
      </w:r>
      <w:r w:rsidR="00A541C0">
        <w:rPr>
          <w:rFonts w:ascii="Times New Roman" w:hAnsi="Times New Roman" w:cs="Times New Roman"/>
          <w:sz w:val="28"/>
          <w:szCs w:val="28"/>
        </w:rPr>
        <w:t xml:space="preserve">(+3,4% до 848,8 </w:t>
      </w:r>
      <w:r w:rsidR="00A541C0" w:rsidRPr="00A06186">
        <w:rPr>
          <w:rFonts w:ascii="Times New Roman" w:hAnsi="Times New Roman" w:cs="Times New Roman"/>
          <w:sz w:val="28"/>
          <w:szCs w:val="28"/>
        </w:rPr>
        <w:t>млн</w:t>
      </w:r>
      <w:r w:rsidR="00A541C0">
        <w:rPr>
          <w:rFonts w:ascii="Times New Roman" w:hAnsi="Times New Roman" w:cs="Times New Roman"/>
          <w:sz w:val="28"/>
          <w:szCs w:val="28"/>
        </w:rPr>
        <w:t> </w:t>
      </w:r>
      <w:r w:rsidR="00A541C0" w:rsidRPr="00A06186">
        <w:rPr>
          <w:rFonts w:ascii="Times New Roman" w:hAnsi="Times New Roman" w:cs="Times New Roman"/>
          <w:sz w:val="28"/>
          <w:szCs w:val="28"/>
        </w:rPr>
        <w:t>руб.</w:t>
      </w:r>
      <w:r w:rsidR="00A541C0">
        <w:rPr>
          <w:rFonts w:ascii="Times New Roman" w:hAnsi="Times New Roman" w:cs="Times New Roman"/>
          <w:sz w:val="28"/>
          <w:szCs w:val="28"/>
        </w:rPr>
        <w:t xml:space="preserve">, в реальном выражении +0,1%) сформировали </w:t>
      </w:r>
      <w:r w:rsidR="00A541C0" w:rsidRPr="00A06186">
        <w:rPr>
          <w:rFonts w:ascii="Times New Roman" w:hAnsi="Times New Roman" w:cs="Times New Roman"/>
          <w:sz w:val="28"/>
          <w:szCs w:val="28"/>
        </w:rPr>
        <w:t>42,1% общего товарооборота</w:t>
      </w:r>
      <w:r w:rsidR="00A541C0">
        <w:rPr>
          <w:rFonts w:ascii="Times New Roman" w:hAnsi="Times New Roman" w:cs="Times New Roman"/>
          <w:sz w:val="28"/>
          <w:szCs w:val="28"/>
        </w:rPr>
        <w:t>.</w:t>
      </w:r>
    </w:p>
    <w:p w:rsidR="007D08F8" w:rsidRDefault="007D08F8" w:rsidP="007D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08F8">
        <w:rPr>
          <w:rFonts w:ascii="Times New Roman" w:hAnsi="Times New Roman" w:cs="Times New Roman"/>
          <w:sz w:val="28"/>
          <w:szCs w:val="28"/>
        </w:rPr>
        <w:t>асходы населения на питание вне дома оценены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86">
        <w:rPr>
          <w:rFonts w:ascii="Times New Roman" w:hAnsi="Times New Roman" w:cs="Times New Roman"/>
          <w:sz w:val="28"/>
          <w:szCs w:val="28"/>
        </w:rPr>
        <w:t xml:space="preserve">в размере 56,6 млн руб., что ниже базисной отметки на 15,8%. В реальном выражении фиксируемый спрос на услуги </w:t>
      </w:r>
      <w:r w:rsidRPr="007D08F8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  <w:r w:rsidRPr="00A06186">
        <w:rPr>
          <w:rFonts w:ascii="Times New Roman" w:hAnsi="Times New Roman" w:cs="Times New Roman"/>
          <w:sz w:val="28"/>
          <w:szCs w:val="28"/>
        </w:rPr>
        <w:t xml:space="preserve"> </w:t>
      </w:r>
      <w:r w:rsidR="0062282B">
        <w:rPr>
          <w:rFonts w:ascii="Times New Roman" w:hAnsi="Times New Roman" w:cs="Times New Roman"/>
          <w:sz w:val="28"/>
          <w:szCs w:val="28"/>
        </w:rPr>
        <w:t>сложился</w:t>
      </w:r>
      <w:r w:rsidRPr="00A06186">
        <w:rPr>
          <w:rFonts w:ascii="Times New Roman" w:hAnsi="Times New Roman" w:cs="Times New Roman"/>
          <w:sz w:val="28"/>
          <w:szCs w:val="28"/>
        </w:rPr>
        <w:t xml:space="preserve"> на уровне 81,5% от базисного показателя.</w:t>
      </w:r>
      <w:r w:rsidRPr="007D08F8">
        <w:rPr>
          <w:rFonts w:ascii="Times New Roman" w:hAnsi="Times New Roman" w:cs="Times New Roman"/>
          <w:sz w:val="28"/>
          <w:szCs w:val="28"/>
        </w:rPr>
        <w:t xml:space="preserve"> </w:t>
      </w:r>
      <w:r w:rsidR="005C2A7F">
        <w:rPr>
          <w:rFonts w:ascii="Times New Roman" w:hAnsi="Times New Roman" w:cs="Times New Roman"/>
          <w:sz w:val="28"/>
          <w:szCs w:val="28"/>
        </w:rPr>
        <w:t>Действующие санитарные требования и ограничения отражены в снижении д</w:t>
      </w:r>
      <w:r>
        <w:rPr>
          <w:rFonts w:ascii="Times New Roman" w:hAnsi="Times New Roman" w:cs="Times New Roman"/>
          <w:sz w:val="28"/>
          <w:szCs w:val="28"/>
        </w:rPr>
        <w:t>оход</w:t>
      </w:r>
      <w:r w:rsidR="005C2A7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государственной формы собственности на 40,4% (до 6,7 млн руб.), негосударственной – на 10,8% (до 49,9 млн руб.).</w:t>
      </w:r>
    </w:p>
    <w:p w:rsidR="00A06186" w:rsidRPr="00A06186" w:rsidRDefault="00A928BD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Стоимостной </w:t>
      </w:r>
      <w:r w:rsidR="00A06186" w:rsidRPr="00A06186">
        <w:rPr>
          <w:rFonts w:ascii="Times New Roman" w:hAnsi="Times New Roman" w:cs="Times New Roman"/>
          <w:sz w:val="28"/>
          <w:szCs w:val="28"/>
        </w:rPr>
        <w:t>объ</w:t>
      </w:r>
      <w:r w:rsidR="00A06186">
        <w:rPr>
          <w:rFonts w:ascii="Times New Roman" w:hAnsi="Times New Roman" w:cs="Times New Roman"/>
          <w:sz w:val="28"/>
          <w:szCs w:val="28"/>
        </w:rPr>
        <w:t>е</w:t>
      </w:r>
      <w:r w:rsidR="00A06186" w:rsidRPr="00A06186">
        <w:rPr>
          <w:rFonts w:ascii="Times New Roman" w:hAnsi="Times New Roman" w:cs="Times New Roman"/>
          <w:sz w:val="28"/>
          <w:szCs w:val="28"/>
        </w:rPr>
        <w:t xml:space="preserve">м приобретенных </w:t>
      </w:r>
      <w:r w:rsidR="00B62583">
        <w:rPr>
          <w:rFonts w:ascii="Times New Roman" w:hAnsi="Times New Roman" w:cs="Times New Roman"/>
          <w:sz w:val="28"/>
          <w:szCs w:val="28"/>
        </w:rPr>
        <w:t>потребителями</w:t>
      </w:r>
      <w:r w:rsidR="00A06186" w:rsidRPr="00A06186">
        <w:rPr>
          <w:rFonts w:ascii="Times New Roman" w:hAnsi="Times New Roman" w:cs="Times New Roman"/>
          <w:sz w:val="28"/>
          <w:szCs w:val="28"/>
        </w:rPr>
        <w:t xml:space="preserve"> </w:t>
      </w:r>
      <w:r w:rsidRPr="00B62583">
        <w:rPr>
          <w:rFonts w:ascii="Times New Roman" w:hAnsi="Times New Roman" w:cs="Times New Roman"/>
          <w:b/>
          <w:sz w:val="28"/>
          <w:szCs w:val="28"/>
        </w:rPr>
        <w:t xml:space="preserve">платных </w:t>
      </w:r>
      <w:r w:rsidR="00A06186" w:rsidRPr="00B62583">
        <w:rPr>
          <w:rFonts w:ascii="Times New Roman" w:hAnsi="Times New Roman" w:cs="Times New Roman"/>
          <w:b/>
          <w:sz w:val="28"/>
          <w:szCs w:val="28"/>
        </w:rPr>
        <w:t>услуг</w:t>
      </w:r>
      <w:r w:rsidR="00A06186" w:rsidRPr="00A06186">
        <w:rPr>
          <w:rFonts w:ascii="Times New Roman" w:hAnsi="Times New Roman" w:cs="Times New Roman"/>
          <w:sz w:val="28"/>
          <w:szCs w:val="28"/>
        </w:rPr>
        <w:t xml:space="preserve"> оценен на </w:t>
      </w:r>
      <w:r>
        <w:rPr>
          <w:rFonts w:ascii="Times New Roman" w:hAnsi="Times New Roman" w:cs="Times New Roman"/>
          <w:sz w:val="28"/>
          <w:szCs w:val="28"/>
        </w:rPr>
        <w:t>отметке</w:t>
      </w:r>
      <w:r w:rsidR="00A06186" w:rsidRPr="00A06186">
        <w:rPr>
          <w:rFonts w:ascii="Times New Roman" w:hAnsi="Times New Roman" w:cs="Times New Roman"/>
          <w:sz w:val="28"/>
          <w:szCs w:val="28"/>
        </w:rPr>
        <w:t xml:space="preserve"> 617,9 млн руб. (+1,4%)</w:t>
      </w:r>
      <w:r w:rsidR="00B62583">
        <w:rPr>
          <w:rFonts w:ascii="Times New Roman" w:hAnsi="Times New Roman" w:cs="Times New Roman"/>
          <w:sz w:val="28"/>
          <w:szCs w:val="28"/>
        </w:rPr>
        <w:t xml:space="preserve"> и</w:t>
      </w:r>
      <w:r w:rsidR="00A06186" w:rsidRPr="00A06186">
        <w:rPr>
          <w:rFonts w:ascii="Times New Roman" w:hAnsi="Times New Roman" w:cs="Times New Roman"/>
          <w:sz w:val="28"/>
          <w:szCs w:val="28"/>
        </w:rPr>
        <w:t xml:space="preserve"> при исключении влияния ценового фактора </w:t>
      </w:r>
      <w:r w:rsidR="00B62583">
        <w:rPr>
          <w:rFonts w:ascii="Times New Roman" w:hAnsi="Times New Roman" w:cs="Times New Roman"/>
          <w:sz w:val="28"/>
          <w:szCs w:val="28"/>
        </w:rPr>
        <w:t>соответствует</w:t>
      </w:r>
      <w:r w:rsidR="00A06186" w:rsidRPr="00A06186">
        <w:rPr>
          <w:rFonts w:ascii="Times New Roman" w:hAnsi="Times New Roman" w:cs="Times New Roman"/>
          <w:sz w:val="28"/>
          <w:szCs w:val="28"/>
        </w:rPr>
        <w:t xml:space="preserve"> базисно</w:t>
      </w:r>
      <w:r w:rsidR="00B62583">
        <w:rPr>
          <w:rFonts w:ascii="Times New Roman" w:hAnsi="Times New Roman" w:cs="Times New Roman"/>
          <w:sz w:val="28"/>
          <w:szCs w:val="28"/>
        </w:rPr>
        <w:t>му</w:t>
      </w:r>
      <w:r w:rsidR="00A06186" w:rsidRPr="00A06186">
        <w:rPr>
          <w:rFonts w:ascii="Times New Roman" w:hAnsi="Times New Roman" w:cs="Times New Roman"/>
          <w:sz w:val="28"/>
          <w:szCs w:val="28"/>
        </w:rPr>
        <w:t xml:space="preserve"> </w:t>
      </w:r>
      <w:r w:rsidR="00B62583">
        <w:rPr>
          <w:rFonts w:ascii="Times New Roman" w:hAnsi="Times New Roman" w:cs="Times New Roman"/>
          <w:sz w:val="28"/>
          <w:szCs w:val="28"/>
        </w:rPr>
        <w:t>уровню</w:t>
      </w:r>
      <w:r w:rsidR="00A06186" w:rsidRPr="00A06186">
        <w:rPr>
          <w:rFonts w:ascii="Times New Roman" w:hAnsi="Times New Roman" w:cs="Times New Roman"/>
          <w:sz w:val="28"/>
          <w:szCs w:val="28"/>
        </w:rPr>
        <w:t xml:space="preserve"> (+0,1%).</w:t>
      </w:r>
      <w:r w:rsidR="00A06186" w:rsidRPr="00A061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6186" w:rsidRPr="00A06186" w:rsidRDefault="00A06186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6">
        <w:rPr>
          <w:rFonts w:ascii="Times New Roman" w:hAnsi="Times New Roman" w:cs="Times New Roman"/>
          <w:sz w:val="28"/>
          <w:szCs w:val="28"/>
        </w:rPr>
        <w:t xml:space="preserve">Государственными организациями оказано 55,8% (+1,3 п.п.) стоимостного объема услуг (+3,8% до 344,8 млн руб.). Частный сегмент продолжает демонстрировать падение выручки (-1,5% до 273,1 млн руб.). </w:t>
      </w:r>
    </w:p>
    <w:p w:rsidR="00A06186" w:rsidRPr="00A06186" w:rsidRDefault="00A06186" w:rsidP="00A0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6">
        <w:rPr>
          <w:rFonts w:ascii="Times New Roman" w:hAnsi="Times New Roman" w:cs="Times New Roman"/>
          <w:sz w:val="28"/>
          <w:szCs w:val="28"/>
        </w:rPr>
        <w:t xml:space="preserve">Потребительский спрос на услуги бытового характера в первой четверти текущего года </w:t>
      </w:r>
      <w:r w:rsidR="00B62583">
        <w:rPr>
          <w:rFonts w:ascii="Times New Roman" w:hAnsi="Times New Roman" w:cs="Times New Roman"/>
          <w:sz w:val="28"/>
          <w:szCs w:val="28"/>
        </w:rPr>
        <w:t>оценен в пределах</w:t>
      </w:r>
      <w:r w:rsidRPr="00A06186">
        <w:rPr>
          <w:rFonts w:ascii="Times New Roman" w:hAnsi="Times New Roman" w:cs="Times New Roman"/>
          <w:sz w:val="28"/>
          <w:szCs w:val="28"/>
        </w:rPr>
        <w:t xml:space="preserve"> 23,1 млн руб.</w:t>
      </w:r>
      <w:r w:rsidR="00B62583" w:rsidRPr="00B62583">
        <w:rPr>
          <w:rFonts w:ascii="Times New Roman" w:hAnsi="Times New Roman" w:cs="Times New Roman"/>
          <w:sz w:val="28"/>
          <w:szCs w:val="28"/>
        </w:rPr>
        <w:t xml:space="preserve"> </w:t>
      </w:r>
      <w:r w:rsidR="00B62583">
        <w:rPr>
          <w:rFonts w:ascii="Times New Roman" w:hAnsi="Times New Roman" w:cs="Times New Roman"/>
          <w:sz w:val="28"/>
          <w:szCs w:val="28"/>
        </w:rPr>
        <w:t>(+</w:t>
      </w:r>
      <w:r w:rsidR="00B62583" w:rsidRPr="00A06186">
        <w:rPr>
          <w:rFonts w:ascii="Times New Roman" w:hAnsi="Times New Roman" w:cs="Times New Roman"/>
          <w:sz w:val="28"/>
          <w:szCs w:val="28"/>
        </w:rPr>
        <w:t>2,3%</w:t>
      </w:r>
      <w:r w:rsidR="00B62583">
        <w:rPr>
          <w:rFonts w:ascii="Times New Roman" w:hAnsi="Times New Roman" w:cs="Times New Roman"/>
          <w:sz w:val="28"/>
          <w:szCs w:val="28"/>
        </w:rPr>
        <w:t xml:space="preserve">, </w:t>
      </w:r>
      <w:r w:rsidRPr="00A06186">
        <w:rPr>
          <w:rFonts w:ascii="Times New Roman" w:hAnsi="Times New Roman" w:cs="Times New Roman"/>
          <w:sz w:val="28"/>
          <w:szCs w:val="28"/>
        </w:rPr>
        <w:t xml:space="preserve">в реальном выражении </w:t>
      </w:r>
      <w:r w:rsidR="00B62583">
        <w:rPr>
          <w:rFonts w:ascii="Times New Roman" w:hAnsi="Times New Roman" w:cs="Times New Roman"/>
          <w:sz w:val="28"/>
          <w:szCs w:val="28"/>
        </w:rPr>
        <w:t>+</w:t>
      </w:r>
      <w:r w:rsidRPr="00A06186">
        <w:rPr>
          <w:rFonts w:ascii="Times New Roman" w:hAnsi="Times New Roman" w:cs="Times New Roman"/>
          <w:sz w:val="28"/>
          <w:szCs w:val="28"/>
        </w:rPr>
        <w:t>1,1%</w:t>
      </w:r>
      <w:r w:rsidR="00B62583">
        <w:rPr>
          <w:rFonts w:ascii="Times New Roman" w:hAnsi="Times New Roman" w:cs="Times New Roman"/>
          <w:sz w:val="28"/>
          <w:szCs w:val="28"/>
        </w:rPr>
        <w:t>)</w:t>
      </w:r>
      <w:r w:rsidRPr="00A06186">
        <w:rPr>
          <w:rFonts w:ascii="Times New Roman" w:hAnsi="Times New Roman" w:cs="Times New Roman"/>
          <w:sz w:val="28"/>
          <w:szCs w:val="28"/>
        </w:rPr>
        <w:t xml:space="preserve">. Из общего объема услуг данного сегмента 81,1% (-2,7 п.п.) </w:t>
      </w:r>
      <w:r w:rsidR="00F009D9">
        <w:rPr>
          <w:rFonts w:ascii="Times New Roman" w:hAnsi="Times New Roman" w:cs="Times New Roman"/>
          <w:sz w:val="28"/>
          <w:szCs w:val="28"/>
        </w:rPr>
        <w:t>выполнен</w:t>
      </w:r>
      <w:r w:rsidRPr="00A06186">
        <w:rPr>
          <w:rFonts w:ascii="Times New Roman" w:hAnsi="Times New Roman" w:cs="Times New Roman"/>
          <w:sz w:val="28"/>
          <w:szCs w:val="28"/>
        </w:rPr>
        <w:t xml:space="preserve"> негосударственны</w:t>
      </w:r>
      <w:r w:rsidR="00F009D9">
        <w:rPr>
          <w:rFonts w:ascii="Times New Roman" w:hAnsi="Times New Roman" w:cs="Times New Roman"/>
          <w:sz w:val="28"/>
          <w:szCs w:val="28"/>
        </w:rPr>
        <w:t>ми</w:t>
      </w:r>
      <w:r w:rsidRPr="00A0618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009D9">
        <w:rPr>
          <w:rFonts w:ascii="Times New Roman" w:hAnsi="Times New Roman" w:cs="Times New Roman"/>
          <w:sz w:val="28"/>
          <w:szCs w:val="28"/>
        </w:rPr>
        <w:t>ями</w:t>
      </w:r>
      <w:r w:rsidRPr="00A06186">
        <w:rPr>
          <w:rFonts w:ascii="Times New Roman" w:hAnsi="Times New Roman" w:cs="Times New Roman"/>
          <w:sz w:val="28"/>
          <w:szCs w:val="28"/>
        </w:rPr>
        <w:t xml:space="preserve"> (включая физических лиц)</w:t>
      </w:r>
      <w:r w:rsidR="00A928BD">
        <w:rPr>
          <w:rFonts w:ascii="Times New Roman" w:hAnsi="Times New Roman" w:cs="Times New Roman"/>
          <w:sz w:val="28"/>
          <w:szCs w:val="28"/>
        </w:rPr>
        <w:t xml:space="preserve">, </w:t>
      </w:r>
      <w:r w:rsidR="00B62583">
        <w:rPr>
          <w:rFonts w:ascii="Times New Roman" w:hAnsi="Times New Roman" w:cs="Times New Roman"/>
          <w:sz w:val="28"/>
          <w:szCs w:val="28"/>
        </w:rPr>
        <w:t xml:space="preserve">выручка которых </w:t>
      </w:r>
      <w:r w:rsidRPr="00A06186">
        <w:rPr>
          <w:rFonts w:ascii="Times New Roman" w:hAnsi="Times New Roman" w:cs="Times New Roman"/>
          <w:sz w:val="28"/>
          <w:szCs w:val="28"/>
        </w:rPr>
        <w:t>сформирова</w:t>
      </w:r>
      <w:r w:rsidR="00B62583">
        <w:rPr>
          <w:rFonts w:ascii="Times New Roman" w:hAnsi="Times New Roman" w:cs="Times New Roman"/>
          <w:sz w:val="28"/>
          <w:szCs w:val="28"/>
        </w:rPr>
        <w:t xml:space="preserve">на в </w:t>
      </w:r>
      <w:r w:rsidR="0062225A">
        <w:rPr>
          <w:rFonts w:ascii="Times New Roman" w:hAnsi="Times New Roman" w:cs="Times New Roman"/>
          <w:sz w:val="28"/>
          <w:szCs w:val="28"/>
        </w:rPr>
        <w:t>размере</w:t>
      </w:r>
      <w:r w:rsidRPr="00A06186">
        <w:rPr>
          <w:rFonts w:ascii="Times New Roman" w:hAnsi="Times New Roman" w:cs="Times New Roman"/>
          <w:sz w:val="28"/>
          <w:szCs w:val="28"/>
        </w:rPr>
        <w:t xml:space="preserve"> 18,7</w:t>
      </w:r>
      <w:r w:rsidR="00A928BD">
        <w:rPr>
          <w:rFonts w:ascii="Times New Roman" w:hAnsi="Times New Roman" w:cs="Times New Roman"/>
          <w:sz w:val="28"/>
          <w:szCs w:val="28"/>
        </w:rPr>
        <w:t> </w:t>
      </w:r>
      <w:r w:rsidRPr="00A06186">
        <w:rPr>
          <w:rFonts w:ascii="Times New Roman" w:hAnsi="Times New Roman" w:cs="Times New Roman"/>
          <w:sz w:val="28"/>
          <w:szCs w:val="28"/>
        </w:rPr>
        <w:t xml:space="preserve">млн руб. </w:t>
      </w:r>
    </w:p>
    <w:p w:rsidR="004560BA" w:rsidRDefault="004560BA" w:rsidP="00456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BA" w:rsidRDefault="004560BA" w:rsidP="004560BA">
      <w:pPr>
        <w:tabs>
          <w:tab w:val="left" w:pos="384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B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Инфляционные процессы на потребительском рынке </w:t>
      </w:r>
    </w:p>
    <w:p w:rsidR="004560BA" w:rsidRDefault="004560BA" w:rsidP="006222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>Согласно данным Государственной службы статистики ПМР, на внутреннем потребительском рынке республики в первой четверти 2021 года фиксируется более высокая интенсивность инфляционных процессов, чем в предшествующие год</w:t>
      </w:r>
      <w:r w:rsidR="005C2A7F">
        <w:rPr>
          <w:rFonts w:ascii="Times New Roman" w:hAnsi="Times New Roman" w:cs="Times New Roman"/>
          <w:sz w:val="28"/>
          <w:szCs w:val="28"/>
        </w:rPr>
        <w:t>ы</w:t>
      </w:r>
      <w:r w:rsidRPr="004560BA">
        <w:rPr>
          <w:rFonts w:ascii="Times New Roman" w:hAnsi="Times New Roman" w:cs="Times New Roman"/>
          <w:sz w:val="28"/>
          <w:szCs w:val="28"/>
        </w:rPr>
        <w:t xml:space="preserve"> (рис. </w:t>
      </w:r>
      <w:r w:rsidR="00717EA7">
        <w:rPr>
          <w:rFonts w:ascii="Times New Roman" w:hAnsi="Times New Roman" w:cs="Times New Roman"/>
          <w:sz w:val="28"/>
          <w:szCs w:val="28"/>
        </w:rPr>
        <w:t>4</w:t>
      </w:r>
      <w:r w:rsidRPr="004560BA">
        <w:rPr>
          <w:rFonts w:ascii="Times New Roman" w:hAnsi="Times New Roman" w:cs="Times New Roman"/>
          <w:sz w:val="28"/>
          <w:szCs w:val="28"/>
        </w:rPr>
        <w:t xml:space="preserve">). </w:t>
      </w:r>
      <w:r w:rsidR="005C2A7F" w:rsidRPr="00352D6D">
        <w:rPr>
          <w:rFonts w:ascii="Times New Roman" w:hAnsi="Times New Roman"/>
          <w:sz w:val="28"/>
        </w:rPr>
        <w:t>Таким образом, прервался отмечаемый на протяжении второго полугодия 2020 года тренд снижения инфляционного давления и сводный индекс потребительских цен в годовом выражении в марте достиг 2,3%.</w:t>
      </w:r>
    </w:p>
    <w:p w:rsidR="004560BA" w:rsidRPr="004560BA" w:rsidRDefault="004560BA" w:rsidP="004560BA">
      <w:pPr>
        <w:spacing w:after="0" w:line="240" w:lineRule="auto"/>
        <w:jc w:val="right"/>
        <w:rPr>
          <w:rFonts w:ascii="Times New Roman" w:hAnsi="Times New Roman"/>
          <w:b/>
          <w:i/>
          <w:sz w:val="28"/>
        </w:rPr>
      </w:pPr>
      <w:r w:rsidRPr="004560BA">
        <w:rPr>
          <w:rFonts w:ascii="Times New Roman" w:hAnsi="Times New Roman"/>
          <w:b/>
          <w:i/>
          <w:sz w:val="28"/>
        </w:rPr>
        <w:t xml:space="preserve">Рисунок </w:t>
      </w:r>
      <w:r w:rsidR="00717EA7">
        <w:rPr>
          <w:rFonts w:ascii="Times New Roman" w:hAnsi="Times New Roman"/>
          <w:b/>
          <w:i/>
          <w:sz w:val="28"/>
        </w:rPr>
        <w:t>4</w:t>
      </w:r>
    </w:p>
    <w:p w:rsidR="004560BA" w:rsidRPr="004560BA" w:rsidRDefault="004560BA" w:rsidP="00456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621184" wp14:editId="5346D862">
            <wp:extent cx="6655242" cy="3144520"/>
            <wp:effectExtent l="0" t="0" r="0" b="0"/>
            <wp:docPr id="149" name="Диаграмма 1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65D6" w:rsidRPr="004560BA" w:rsidRDefault="008165D6" w:rsidP="0081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 w:cs="Times New Roman"/>
          <w:sz w:val="28"/>
          <w:szCs w:val="28"/>
        </w:rPr>
        <w:t xml:space="preserve">При нисходящей динамике месячных темпов прироста потребительских цен с +1,0% в январе до +0,5% в марте, официальная инфляция за </w:t>
      </w:r>
      <w:r w:rsidRPr="004560BA">
        <w:rPr>
          <w:rFonts w:ascii="Times New Roman" w:hAnsi="Times New Roman" w:cs="Times New Roman"/>
          <w:sz w:val="28"/>
          <w:szCs w:val="28"/>
          <w:lang w:val="en-US"/>
        </w:rPr>
        <w:t>I </w:t>
      </w:r>
      <w:r w:rsidRPr="004560BA">
        <w:rPr>
          <w:rFonts w:ascii="Times New Roman" w:hAnsi="Times New Roman" w:cs="Times New Roman"/>
          <w:sz w:val="28"/>
          <w:szCs w:val="28"/>
        </w:rPr>
        <w:t xml:space="preserve">квартал достигла 2,1%, что является самым высоким значением за последние 3 года. </w:t>
      </w:r>
    </w:p>
    <w:p w:rsidR="004560BA" w:rsidRPr="004560BA" w:rsidRDefault="004560BA" w:rsidP="006222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60BA">
        <w:rPr>
          <w:rFonts w:ascii="Times New Roman" w:hAnsi="Times New Roman"/>
          <w:sz w:val="28"/>
        </w:rPr>
        <w:t xml:space="preserve">Наиболее весомая роль в повышении стоимости стандартной корзины потребительских товаров и услуг принадлежит тенденциям в </w:t>
      </w:r>
      <w:r w:rsidRPr="00352D6D">
        <w:rPr>
          <w:rFonts w:ascii="Times New Roman" w:hAnsi="Times New Roman"/>
          <w:sz w:val="28"/>
        </w:rPr>
        <w:t xml:space="preserve">сегменте продаж </w:t>
      </w:r>
      <w:r w:rsidRPr="00352D6D">
        <w:rPr>
          <w:rFonts w:ascii="Times New Roman" w:hAnsi="Times New Roman"/>
          <w:b/>
          <w:sz w:val="28"/>
        </w:rPr>
        <w:t>продуктов питания</w:t>
      </w:r>
      <w:r w:rsidRPr="004560BA">
        <w:rPr>
          <w:rFonts w:ascii="Times New Roman" w:hAnsi="Times New Roman"/>
          <w:sz w:val="28"/>
        </w:rPr>
        <w:t xml:space="preserve">: если за </w:t>
      </w:r>
      <w:r w:rsidRPr="00352D6D">
        <w:rPr>
          <w:rFonts w:ascii="Times New Roman" w:hAnsi="Times New Roman"/>
          <w:sz w:val="28"/>
        </w:rPr>
        <w:t>I</w:t>
      </w:r>
      <w:r w:rsidRPr="004560BA">
        <w:rPr>
          <w:rFonts w:ascii="Times New Roman" w:hAnsi="Times New Roman"/>
          <w:sz w:val="28"/>
        </w:rPr>
        <w:t> квартал прошлого года продовольствие в среднем подорожало на 1,7%, то в 2021 году усредненный масштаб повышательных корректировок достиг</w:t>
      </w:r>
      <w:r w:rsidR="00A06186">
        <w:rPr>
          <w:rFonts w:ascii="Times New Roman" w:hAnsi="Times New Roman"/>
          <w:sz w:val="28"/>
        </w:rPr>
        <w:t xml:space="preserve"> 3,0%.</w:t>
      </w:r>
    </w:p>
    <w:p w:rsidR="004560BA" w:rsidRPr="004560BA" w:rsidRDefault="004560BA" w:rsidP="006222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60BA">
        <w:rPr>
          <w:rFonts w:ascii="Times New Roman" w:hAnsi="Times New Roman"/>
          <w:sz w:val="28"/>
        </w:rPr>
        <w:t xml:space="preserve">Ключевой фактор – высокие темпы удорожания подсолнечного масла и сахара при дефиците, обусловленном низкими прошлогодними сборами сырья и неоптимистичными прогнозами текущего года. На фоне неэластичного спроса рост цен на подсолнечное масло в республике перешел в активную фазу осенью 2020 года, когда каждый месяц литр продукта дорожал ориентировочно на 1 руб. Однако особенно значимым был мартовский скачок: стоимость рафинированного подсолнечного масла по отслеживаемым позициям возросла сразу на 4,1 руб., нерафинированного – </w:t>
      </w:r>
      <w:r w:rsidR="00A06186">
        <w:rPr>
          <w:rFonts w:ascii="Times New Roman" w:hAnsi="Times New Roman"/>
          <w:sz w:val="28"/>
        </w:rPr>
        <w:t>на 2,4 руб.</w:t>
      </w:r>
    </w:p>
    <w:p w:rsidR="004560BA" w:rsidRPr="004560BA" w:rsidRDefault="004560BA" w:rsidP="006222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60BA">
        <w:rPr>
          <w:rFonts w:ascii="Times New Roman" w:hAnsi="Times New Roman"/>
          <w:sz w:val="28"/>
        </w:rPr>
        <w:t>Таким образом, за месяц подорожание по группе «растительное масло» составило 11,3%, за квартал – 20,9%, а в годовом выражении – 43,3%, что, учитывая низкий уровень обеспеченности республики подсолнечным маслом собственного производства, связано с фактором внешней инфляции. Вместе с тем на украинском рынке повышательные коррекции были даже более значительными (+21,5% за квартал и +48,5% за последние 12 месяцев), что послужило причиной рассмотрения Кабинетом министров Украины возможности установления нулевых квот на экспорт подсолнечного масла с 1 мая по 30 сентября 2021 года.</w:t>
      </w:r>
    </w:p>
    <w:p w:rsidR="004560BA" w:rsidRPr="004560BA" w:rsidRDefault="004560BA" w:rsidP="00622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0BA">
        <w:rPr>
          <w:rFonts w:ascii="Times New Roman" w:hAnsi="Times New Roman"/>
          <w:sz w:val="28"/>
          <w:szCs w:val="28"/>
        </w:rPr>
        <w:t xml:space="preserve">Существенно на потребительском бюджете сказался рост цен на сахар (+14,1% за январь-март и +32,1% с августа прошлого года). </w:t>
      </w:r>
    </w:p>
    <w:p w:rsidR="004560BA" w:rsidRPr="004560BA" w:rsidRDefault="004560BA" w:rsidP="00622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0BA">
        <w:rPr>
          <w:rFonts w:ascii="Times New Roman" w:hAnsi="Times New Roman"/>
          <w:sz w:val="28"/>
          <w:szCs w:val="28"/>
        </w:rPr>
        <w:t>Кроме того, резко – более чем на 10% за 3 месяца 2021 года – возросла стоимость сельди, цены на которую под давлением более высоких импортных цен начали повышаться с октября прошлого года.</w:t>
      </w:r>
    </w:p>
    <w:p w:rsidR="004560BA" w:rsidRPr="004560BA" w:rsidRDefault="004560BA" w:rsidP="00622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0BA">
        <w:rPr>
          <w:rFonts w:ascii="Times New Roman" w:hAnsi="Times New Roman"/>
          <w:sz w:val="28"/>
          <w:szCs w:val="28"/>
        </w:rPr>
        <w:t xml:space="preserve">Из перечня обследуемых продуктов более чувствительным, чем в </w:t>
      </w:r>
      <w:r w:rsidRPr="004560BA">
        <w:rPr>
          <w:rFonts w:ascii="Times New Roman" w:hAnsi="Times New Roman"/>
          <w:sz w:val="28"/>
          <w:szCs w:val="28"/>
          <w:lang w:val="en-US"/>
        </w:rPr>
        <w:t>I </w:t>
      </w:r>
      <w:r w:rsidRPr="004560BA">
        <w:rPr>
          <w:rFonts w:ascii="Times New Roman" w:hAnsi="Times New Roman"/>
          <w:sz w:val="28"/>
          <w:szCs w:val="28"/>
        </w:rPr>
        <w:t>квартале прошлого года, стало удорожание молока и молочной продукции (+2,6% против +1,3%), цены на которые из-за длительного засушливого периода подталкивал вверх фактор дефицита кормов и их удорожания.</w:t>
      </w:r>
    </w:p>
    <w:p w:rsidR="004560BA" w:rsidRPr="004560BA" w:rsidRDefault="004560BA" w:rsidP="00622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0BA">
        <w:rPr>
          <w:rFonts w:ascii="Times New Roman" w:hAnsi="Times New Roman"/>
          <w:sz w:val="28"/>
          <w:szCs w:val="28"/>
        </w:rPr>
        <w:t xml:space="preserve">Также наблюдался более весомый прирост цен на картофель (+5,9% при +2,2% годом ранее). Напротив, инфляция по группе «овощи» за 3 месяца года заметно меньше, чем в базисном периоде (+9,8% при +17,0% в январе-марте 2020 года). </w:t>
      </w:r>
    </w:p>
    <w:p w:rsidR="004560BA" w:rsidRPr="004560BA" w:rsidRDefault="004560BA" w:rsidP="00622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0BA">
        <w:rPr>
          <w:rFonts w:ascii="Times New Roman" w:hAnsi="Times New Roman"/>
          <w:sz w:val="28"/>
          <w:szCs w:val="28"/>
        </w:rPr>
        <w:t xml:space="preserve">Сдерживающее влияние на стоимость продовольственной корзины оказало удешевление фруктов и цитрусовых (-1,7% за </w:t>
      </w:r>
      <w:r w:rsidRPr="004560BA">
        <w:rPr>
          <w:rFonts w:ascii="Times New Roman" w:hAnsi="Times New Roman"/>
          <w:sz w:val="28"/>
          <w:szCs w:val="28"/>
          <w:lang w:val="en-US"/>
        </w:rPr>
        <w:t>I </w:t>
      </w:r>
      <w:r w:rsidRPr="004560BA">
        <w:rPr>
          <w:rFonts w:ascii="Times New Roman" w:hAnsi="Times New Roman"/>
          <w:sz w:val="28"/>
          <w:szCs w:val="28"/>
        </w:rPr>
        <w:t>квартал), а также меда (-2,2%).</w:t>
      </w:r>
    </w:p>
    <w:p w:rsidR="004560BA" w:rsidRPr="004560BA" w:rsidRDefault="004560BA" w:rsidP="00622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0BA">
        <w:rPr>
          <w:rFonts w:ascii="Times New Roman" w:hAnsi="Times New Roman"/>
          <w:sz w:val="28"/>
          <w:szCs w:val="28"/>
        </w:rPr>
        <w:t xml:space="preserve">Инфляция в </w:t>
      </w:r>
      <w:r w:rsidRPr="004560BA">
        <w:rPr>
          <w:rFonts w:ascii="Times New Roman" w:hAnsi="Times New Roman"/>
          <w:b/>
          <w:sz w:val="28"/>
          <w:szCs w:val="28"/>
        </w:rPr>
        <w:t>непродовольственном сегменте</w:t>
      </w:r>
      <w:r w:rsidRPr="004560BA">
        <w:rPr>
          <w:rFonts w:ascii="Times New Roman" w:hAnsi="Times New Roman"/>
          <w:sz w:val="28"/>
          <w:szCs w:val="28"/>
        </w:rPr>
        <w:t xml:space="preserve"> в </w:t>
      </w:r>
      <w:r w:rsidRPr="004560BA">
        <w:rPr>
          <w:rFonts w:ascii="Times New Roman" w:hAnsi="Times New Roman"/>
          <w:sz w:val="28"/>
          <w:szCs w:val="28"/>
          <w:lang w:val="en-US"/>
        </w:rPr>
        <w:t>I </w:t>
      </w:r>
      <w:r w:rsidRPr="004560BA">
        <w:rPr>
          <w:rFonts w:ascii="Times New Roman" w:hAnsi="Times New Roman"/>
          <w:sz w:val="28"/>
          <w:szCs w:val="28"/>
        </w:rPr>
        <w:t>квартале текущего года достигла 1,6%, что является достаточно высоким показателем в сопоставлении с аналогичным периодом 2020 года (+0,2%) и дефляцией в начале 2019 года (-0,7%).</w:t>
      </w:r>
    </w:p>
    <w:p w:rsidR="004560BA" w:rsidRPr="004560BA" w:rsidRDefault="004560BA" w:rsidP="00622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0BA">
        <w:rPr>
          <w:rFonts w:ascii="Times New Roman" w:hAnsi="Times New Roman"/>
          <w:sz w:val="28"/>
          <w:szCs w:val="28"/>
        </w:rPr>
        <w:t xml:space="preserve">Наблюдаемая в секторе динамика связана преимущественно с февральским удорожанием бензина (+7,7%) в результате роста нефтяных котировок на фоне некоторого восстановления деловой активности в мире. </w:t>
      </w:r>
    </w:p>
    <w:p w:rsidR="004560BA" w:rsidRPr="004560BA" w:rsidRDefault="004560BA" w:rsidP="00622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0BA">
        <w:rPr>
          <w:rFonts w:ascii="Times New Roman" w:hAnsi="Times New Roman"/>
          <w:sz w:val="28"/>
          <w:szCs w:val="28"/>
        </w:rPr>
        <w:t xml:space="preserve">Кроме того, на протяжении трех месяцев повышательный тренд отмечался по табачным изделиям (+4,4%), что связано с фактором импортируемой инфляцией – на молдавском рынке сигареты выросли в цене на 3,8% за квартал. Повышательная коррекция наблюдалась и по медикаментам (+3,7% за </w:t>
      </w:r>
      <w:r w:rsidRPr="004560BA">
        <w:rPr>
          <w:rFonts w:ascii="Times New Roman" w:hAnsi="Times New Roman"/>
          <w:sz w:val="28"/>
          <w:szCs w:val="28"/>
          <w:lang w:val="en-US"/>
        </w:rPr>
        <w:t>I </w:t>
      </w:r>
      <w:r w:rsidRPr="004560BA">
        <w:rPr>
          <w:rFonts w:ascii="Times New Roman" w:hAnsi="Times New Roman"/>
          <w:sz w:val="28"/>
          <w:szCs w:val="28"/>
        </w:rPr>
        <w:t xml:space="preserve">квартал), в частности практически в 1,5 раза подорожал мукалтин и более чем на 20% – амброксол. При этом стоимость 10 таблеток парацетамола сократилась на 17,4%. </w:t>
      </w:r>
    </w:p>
    <w:p w:rsidR="004560BA" w:rsidRPr="004560BA" w:rsidRDefault="004560BA" w:rsidP="00622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BA">
        <w:rPr>
          <w:rFonts w:ascii="Times New Roman" w:hAnsi="Times New Roman"/>
          <w:sz w:val="28"/>
        </w:rPr>
        <w:t xml:space="preserve">Стабильность или незначительные изменения стоимости большинства услуг обусловили формирование </w:t>
      </w:r>
      <w:r w:rsidRPr="004560BA">
        <w:rPr>
          <w:rFonts w:ascii="Times New Roman" w:hAnsi="Times New Roman"/>
          <w:b/>
          <w:sz w:val="28"/>
        </w:rPr>
        <w:t>индекса тарифов на услуги</w:t>
      </w:r>
      <w:r w:rsidRPr="004560BA">
        <w:rPr>
          <w:rFonts w:ascii="Times New Roman" w:hAnsi="Times New Roman"/>
          <w:sz w:val="28"/>
        </w:rPr>
        <w:t xml:space="preserve"> в </w:t>
      </w:r>
      <w:r w:rsidRPr="004560BA">
        <w:rPr>
          <w:rFonts w:ascii="Times New Roman" w:hAnsi="Times New Roman"/>
          <w:sz w:val="28"/>
          <w:lang w:val="en-US"/>
        </w:rPr>
        <w:t>I </w:t>
      </w:r>
      <w:r w:rsidRPr="004560BA">
        <w:rPr>
          <w:rFonts w:ascii="Times New Roman" w:hAnsi="Times New Roman"/>
          <w:sz w:val="28"/>
        </w:rPr>
        <w:t xml:space="preserve">квартале 2021 года на отметке 1,2%. Ощутимой была корректировка в начале года стоимости медицинских услуг (+12,4%), по большей части удорожание в группе затронуло стоматологические процедуры (первичный осмотр увеличился в цене на 22,0%, а </w:t>
      </w:r>
      <w:r w:rsidRPr="004560BA">
        <w:rPr>
          <w:rFonts w:ascii="Times New Roman" w:hAnsi="Times New Roman" w:cs="Times New Roman"/>
          <w:sz w:val="28"/>
          <w:szCs w:val="28"/>
        </w:rPr>
        <w:t xml:space="preserve">удаление зуба под местным обезболивающим – на 26,0%). Январские изменения цен коснулись также ремонта бытовых электротоваров (+2,3%) и услуг фотоателье (+4,0%). Кроме того, на протяжении последних двух месяцев растут тарифы на сжиженный газ (+3,1% в феврале и +3,0% в предыдущем месяце), а в марте немного дороже стало сдавать одежду в химчистку (+1,0%) и пользоваться услугами прачечной (+0,7%). </w:t>
      </w:r>
      <w:r w:rsidRPr="004560BA">
        <w:rPr>
          <w:rFonts w:ascii="Times New Roman" w:hAnsi="Times New Roman"/>
          <w:sz w:val="28"/>
          <w:szCs w:val="28"/>
        </w:rPr>
        <w:t>При этом в усредненном сопоставлении н</w:t>
      </w:r>
      <w:r w:rsidRPr="004560BA">
        <w:rPr>
          <w:rFonts w:ascii="Times New Roman" w:hAnsi="Times New Roman" w:cs="Times New Roman"/>
          <w:sz w:val="28"/>
          <w:szCs w:val="28"/>
        </w:rPr>
        <w:t xml:space="preserve">есколько подешевели за квартал услуги образования </w:t>
      </w:r>
      <w:r w:rsidRPr="004560BA">
        <w:rPr>
          <w:rFonts w:ascii="Times New Roman" w:hAnsi="Times New Roman" w:cs="Times New Roman"/>
          <w:sz w:val="28"/>
          <w:szCs w:val="28"/>
        </w:rPr>
        <w:br/>
        <w:t>(-0,8%) и пассажирского транспорта (-0,4%). В рамках социально-ориентированной тарифной политики государства на стабильном уровне сохранялись тарифы на услуги предприятий коммунального хозяйства.</w:t>
      </w:r>
    </w:p>
    <w:p w:rsidR="004560BA" w:rsidRDefault="004560BA" w:rsidP="00456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8BD" w:rsidRPr="00E977DD" w:rsidRDefault="00A928BD" w:rsidP="00A928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77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Уровень жизни населения</w:t>
      </w:r>
    </w:p>
    <w:p w:rsidR="00A928BD" w:rsidRPr="00A928BD" w:rsidRDefault="00A928BD" w:rsidP="00A928BD">
      <w:pPr>
        <w:widowControl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По данным Государственной службы статистики ПМР, среднемесячная заработная плата в целом по экономике по итогам января-марта 2021 года (без субъектов малого предпринимательства, некоммерческих организаций, силовых структур и таможенных органов) составила 5 103 руб., что в номинальном выражении на 7,0% выше базисного значения, а с учетом изменения уровня цен – на 4,8%.</w:t>
      </w:r>
    </w:p>
    <w:p w:rsidR="00A928BD" w:rsidRPr="00A928BD" w:rsidRDefault="00A928BD" w:rsidP="00A928BD">
      <w:pPr>
        <w:widowControl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Cs w:val="28"/>
          <w:shd w:val="clear" w:color="auto" w:fill="FFFFFF"/>
          <w:lang w:val="ru-MD" w:eastAsia="ru-RU"/>
        </w:rPr>
      </w:pP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Фиксируемый размер заработной платы 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MD" w:eastAsia="ru-RU"/>
        </w:rPr>
        <w:t>на фоне у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мере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MD" w:eastAsia="ru-RU"/>
        </w:rPr>
        <w:t>ной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динамик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MD" w:eastAsia="ru-RU"/>
        </w:rPr>
        <w:t>и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стоимости минимального набора товаров и услуг, необходимых для поддержания жизнедеятельности (+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MD" w:eastAsia="ru-RU"/>
        </w:rPr>
        <w:t>1,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7% до 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MD" w:eastAsia="ru-RU"/>
        </w:rPr>
        <w:t xml:space="preserve">1 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67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MD" w:eastAsia="ru-RU"/>
        </w:rPr>
        <w:t>8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руб.)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MD" w:eastAsia="ru-RU"/>
        </w:rPr>
        <w:t>,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обеспечил увеличение покупательной способности усредненной зарплаты до 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MD" w:eastAsia="ru-RU"/>
        </w:rPr>
        <w:t>3,04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наборов прожиточного минимума против 2,89 – в 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MD" w:eastAsia="ru-RU"/>
        </w:rPr>
        <w:t xml:space="preserve">январе-марте 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2020 год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ru-MD" w:eastAsia="ru-RU"/>
        </w:rPr>
        <w:t>а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</w:t>
      </w:r>
    </w:p>
    <w:p w:rsidR="005C2A7F" w:rsidRDefault="005C2A7F" w:rsidP="005C2A7F">
      <w:pPr>
        <w:widowControl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овышательный тренд среднемесячных выплат </w:t>
      </w:r>
      <w:r w:rsidR="00B33A3C"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отмеч</w:t>
      </w:r>
      <w:r w:rsidR="00B33A3C">
        <w:rPr>
          <w:rFonts w:ascii="Times New Roman" w:eastAsia="Times New Roman" w:hAnsi="Times New Roman" w:cs="Times New Roman"/>
          <w:sz w:val="28"/>
          <w:szCs w:val="24"/>
          <w:lang w:eastAsia="ru-RU"/>
        </w:rPr>
        <w:t>ен</w:t>
      </w:r>
      <w:r w:rsidR="00B33A3C"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практически во всех отраслях экономики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+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2,5% в сельском хо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зяйстве до +11,1% в страховании).</w:t>
      </w:r>
    </w:p>
    <w:p w:rsidR="00A928BD" w:rsidRPr="00A928BD" w:rsidRDefault="00A928BD" w:rsidP="00A928BD">
      <w:pPr>
        <w:widowControl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8B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 этом необходимо отметить, что в рассматриваемом периоде усилилась дифференциация по оплате труда в различных секторах экономики до 6,3 </w:t>
      </w:r>
      <w:r w:rsidR="0031446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раза 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(против 5,3 раза в январе-марте 2020 года). Традиционно самыми высокими оставались вознаграждения за труд в отрасли «электросвязь» и финансовых учреждениях, превышавшие среднереспубликанский уровень в 2,5 раза и в 1,8 раза соответственно</w:t>
      </w:r>
      <w:r w:rsidRPr="00A928BD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</w:p>
    <w:p w:rsidR="00A928BD" w:rsidRPr="00A928BD" w:rsidRDefault="00A928BD" w:rsidP="00A928BD">
      <w:pPr>
        <w:widowControl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Заметная корректировка систем оплаты труда, нацеленная на мотивацию работы в условиях эпидемиологических рисков и сохранения кадрового потенциала, затронула сферу здравоохранения (+40,1%)</w:t>
      </w:r>
      <w:r w:rsidRPr="00A928BD">
        <w:rPr>
          <w:rFonts w:ascii="Times New Roman" w:eastAsia="Times New Roman" w:hAnsi="Times New Roman" w:cs="Times New Roman"/>
          <w:sz w:val="28"/>
          <w:szCs w:val="24"/>
        </w:rPr>
        <w:t>, что позволило максимально приблизить уровень заработных плат работников</w:t>
      </w:r>
      <w:r w:rsidR="00D73BC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28BD">
        <w:rPr>
          <w:rFonts w:ascii="Times New Roman" w:eastAsia="Times New Roman" w:hAnsi="Times New Roman" w:cs="Times New Roman"/>
          <w:sz w:val="28"/>
          <w:szCs w:val="24"/>
        </w:rPr>
        <w:t>данной сферы к среднем</w:t>
      </w:r>
      <w:r w:rsidR="00D73BC1">
        <w:rPr>
          <w:rFonts w:ascii="Times New Roman" w:eastAsia="Times New Roman" w:hAnsi="Times New Roman" w:cs="Times New Roman"/>
          <w:sz w:val="28"/>
          <w:szCs w:val="24"/>
        </w:rPr>
        <w:t>у по экономике (отставание -6,3</w:t>
      </w:r>
      <w:r w:rsidRPr="00A928BD">
        <w:rPr>
          <w:rFonts w:ascii="Times New Roman" w:eastAsia="Times New Roman" w:hAnsi="Times New Roman" w:cs="Times New Roman"/>
          <w:sz w:val="28"/>
          <w:szCs w:val="24"/>
        </w:rPr>
        <w:t>%).</w:t>
      </w:r>
    </w:p>
    <w:p w:rsidR="00A928BD" w:rsidRPr="00A928BD" w:rsidRDefault="00A928BD" w:rsidP="00A928BD">
      <w:pPr>
        <w:widowControl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8BD">
        <w:rPr>
          <w:rFonts w:ascii="Times New Roman" w:eastAsia="Calibri" w:hAnsi="Times New Roman" w:cs="Times New Roman"/>
          <w:b/>
          <w:sz w:val="28"/>
          <w:szCs w:val="24"/>
        </w:rPr>
        <w:t>Во внебюджетном (хозрасчетном)</w:t>
      </w:r>
      <w:r w:rsidRPr="00A928BD">
        <w:rPr>
          <w:rFonts w:ascii="Times New Roman" w:eastAsia="Calibri" w:hAnsi="Times New Roman" w:cs="Times New Roman"/>
          <w:sz w:val="28"/>
          <w:szCs w:val="24"/>
        </w:rPr>
        <w:t xml:space="preserve"> секторе экономики начисленная среднемесячная заработная плата одного работника в январе-марте 2021 года выросла по отношению к базовому показателю 2020 года на 4,1%, </w:t>
      </w:r>
      <w:r w:rsidR="00B33A3C">
        <w:rPr>
          <w:rFonts w:ascii="Times New Roman" w:eastAsia="Calibri" w:hAnsi="Times New Roman" w:cs="Times New Roman"/>
          <w:sz w:val="28"/>
          <w:szCs w:val="24"/>
        </w:rPr>
        <w:t>достигнув</w:t>
      </w:r>
      <w:r w:rsidRPr="00A928BD">
        <w:rPr>
          <w:rFonts w:ascii="Times New Roman" w:eastAsia="Calibri" w:hAnsi="Times New Roman" w:cs="Times New Roman"/>
          <w:sz w:val="28"/>
          <w:szCs w:val="24"/>
        </w:rPr>
        <w:t xml:space="preserve"> 6 296 руб. Реальный ее размер (с учетом влияния инфляционного фактора) увеличился на 2,1%</w:t>
      </w:r>
      <w:r w:rsidR="00B33A3C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A928BD">
        <w:rPr>
          <w:rFonts w:ascii="Times New Roman" w:eastAsia="Calibri" w:hAnsi="Times New Roman" w:cs="Times New Roman"/>
          <w:sz w:val="28"/>
          <w:szCs w:val="24"/>
        </w:rPr>
        <w:t>обеспечивая возможность приобретения 3,75 расчетной стоимости минимально необходимого набора товаров и услуг (3,66 в январе-марте 2020 года).</w:t>
      </w:r>
    </w:p>
    <w:p w:rsidR="00A928BD" w:rsidRPr="00A928BD" w:rsidRDefault="00A928BD" w:rsidP="00A928BD">
      <w:pPr>
        <w:widowControl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 тем, в</w:t>
      </w:r>
      <w:r w:rsidR="0062225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едение ограничительных мероприятий оказало воздействие на хозяйственную деятельность организаций, обусловив снижение величины </w:t>
      </w:r>
      <w:r w:rsidRPr="00B33A3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ряде отраслей внебюджетного сектора. Наиболее уязвимыми в связи с длительными простоями оказались сотрудники хозрасчетных организаций культуры и искусства </w:t>
      </w:r>
      <w:r w:rsidR="00D73B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(-14,7%), </w:t>
      </w:r>
      <w:r w:rsidR="00B33A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также 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(-3,6%). Кроме того</w:t>
      </w:r>
      <w:r w:rsidR="00D73BC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понижение среднемесячных зарплат отмечается в сельском и лесном хозяйстве (-1,5% и -8,6% соответственно)</w:t>
      </w:r>
      <w:r w:rsidR="00C54B0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строительстве (-5,6%). </w:t>
      </w:r>
    </w:p>
    <w:p w:rsidR="00A928BD" w:rsidRPr="00A928BD" w:rsidRDefault="00A928BD" w:rsidP="00A928BD">
      <w:pPr>
        <w:widowControl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 среднемесячной номинальной заработной платы </w:t>
      </w:r>
      <w:r w:rsidRPr="00A928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индустрии</w:t>
      </w:r>
      <w:r w:rsidR="00D73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составил 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6 557 руб. (+3,4%, с учетом корректировки на инфляционную составляющую +1,3%), что на 28,5% выше среднереспубликанского уровня и на 4,1% – среднего показателя во внебюджетном секторе. </w:t>
      </w:r>
    </w:p>
    <w:p w:rsidR="00A928BD" w:rsidRPr="00A928BD" w:rsidRDefault="00A928BD" w:rsidP="00A928BD">
      <w:pPr>
        <w:widowControl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разрезе по</w:t>
      </w:r>
      <w:r w:rsidR="00D73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дотраслей промышленности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снижением заработных плат столкнулись работники электроэнергетики (-3,4%), химической (-1,4%), электротехнической промышленности (-4,1%), а также полиграфии (</w:t>
      </w:r>
      <w:r w:rsid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5,0%).</w:t>
      </w:r>
    </w:p>
    <w:p w:rsidR="00A928BD" w:rsidRPr="00A928BD" w:rsidRDefault="00A928BD" w:rsidP="00A928BD">
      <w:pPr>
        <w:widowControl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Заработная плата </w:t>
      </w:r>
      <w:r w:rsidRPr="00A928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отрасли «Сельское хозяйство»</w:t>
      </w:r>
      <w:r w:rsidRPr="00D73BC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принимая во внимание засушливый минувший сельскохозяйственный год и понесенные аграриями убы</w:t>
      </w:r>
      <w:r w:rsidR="00D73BC1">
        <w:rPr>
          <w:rFonts w:ascii="Times New Roman" w:eastAsia="Times New Roman" w:hAnsi="Times New Roman" w:cs="Times New Roman"/>
          <w:sz w:val="28"/>
          <w:szCs w:val="24"/>
          <w:lang w:eastAsia="ru-RU"/>
        </w:rPr>
        <w:t>тки, в рассматриваемом периоде с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низилась на 1,5% до 4 665 руб. (-3,5% с учетом корректировки на инфляционную составляющую). Не достигнув среднереспубликанск</w:t>
      </w:r>
      <w:r w:rsidR="00C54B00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</w:t>
      </w:r>
      <w:r w:rsidR="00C54B00">
        <w:rPr>
          <w:rFonts w:ascii="Times New Roman" w:eastAsia="Times New Roman" w:hAnsi="Times New Roman" w:cs="Times New Roman"/>
          <w:sz w:val="28"/>
          <w:szCs w:val="24"/>
          <w:lang w:eastAsia="ru-RU"/>
        </w:rPr>
        <w:t>ня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8,6%, данная величина состав</w:t>
      </w:r>
      <w:r w:rsidR="0062225A">
        <w:rPr>
          <w:rFonts w:ascii="Times New Roman" w:eastAsia="Times New Roman" w:hAnsi="Times New Roman" w:cs="Times New Roman"/>
          <w:sz w:val="28"/>
          <w:szCs w:val="24"/>
          <w:lang w:eastAsia="ru-RU"/>
        </w:rPr>
        <w:t>ила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74,1% среднего уровня оплаты труда во внебюджетном секторе.</w:t>
      </w:r>
    </w:p>
    <w:p w:rsidR="00A928BD" w:rsidRPr="00A928BD" w:rsidRDefault="00A928BD" w:rsidP="00A928BD">
      <w:pPr>
        <w:widowControl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28BD">
        <w:rPr>
          <w:rFonts w:ascii="Times New Roman" w:eastAsia="Times New Roman" w:hAnsi="Times New Roman" w:cs="Times New Roman"/>
          <w:sz w:val="28"/>
          <w:szCs w:val="24"/>
        </w:rPr>
        <w:t xml:space="preserve">Увеличение средней номинальной заработной платы занятых </w:t>
      </w:r>
      <w:r w:rsidRPr="00A928BD">
        <w:rPr>
          <w:rFonts w:ascii="Times New Roman" w:eastAsia="Times New Roman" w:hAnsi="Times New Roman" w:cs="Times New Roman"/>
          <w:b/>
          <w:sz w:val="28"/>
          <w:szCs w:val="24"/>
        </w:rPr>
        <w:t>в бюджетной сфере</w:t>
      </w:r>
      <w:r w:rsidRPr="00A928BD">
        <w:rPr>
          <w:rFonts w:ascii="Times New Roman" w:eastAsia="Times New Roman" w:hAnsi="Times New Roman" w:cs="Times New Roman"/>
          <w:sz w:val="28"/>
          <w:szCs w:val="24"/>
        </w:rPr>
        <w:t xml:space="preserve"> до 3 698 руб. (+13,6 % к базовой отметке 2020 года), что составляет 72,5% среднего значения по экономике, стало следствием дополнительных выплат и надбавок в связи с распространением коронавирусной инфекции некоторым категориям врачей и среднему медперсоналу. С</w:t>
      </w:r>
      <w:r w:rsidRPr="00A928BD">
        <w:rPr>
          <w:rFonts w:ascii="Times New Roman" w:eastAsia="Calibri" w:hAnsi="Times New Roman" w:cs="Times New Roman"/>
          <w:sz w:val="28"/>
          <w:szCs w:val="24"/>
        </w:rPr>
        <w:t xml:space="preserve"> учетом </w:t>
      </w:r>
      <w:r w:rsidRPr="00A928B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корректировки на инфляционный фактор</w:t>
      </w:r>
      <w:r w:rsidRPr="00A928BD">
        <w:rPr>
          <w:rFonts w:ascii="Times New Roman" w:eastAsia="Times New Roman" w:hAnsi="Times New Roman" w:cs="Times New Roman"/>
          <w:sz w:val="28"/>
          <w:szCs w:val="24"/>
        </w:rPr>
        <w:t xml:space="preserve"> повышение</w:t>
      </w:r>
      <w:r w:rsidRPr="00A928B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по отношению к параметрам января-марта 2020</w:t>
      </w:r>
      <w:r w:rsidR="00352D6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 </w:t>
      </w:r>
      <w:r w:rsidRPr="00A928BD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года </w:t>
      </w:r>
      <w:r w:rsidRPr="00A928BD">
        <w:rPr>
          <w:rFonts w:ascii="Times New Roman" w:eastAsia="Times New Roman" w:hAnsi="Times New Roman" w:cs="Times New Roman"/>
          <w:sz w:val="28"/>
          <w:szCs w:val="24"/>
        </w:rPr>
        <w:t>составило 11,4%.</w:t>
      </w:r>
    </w:p>
    <w:p w:rsidR="00A928BD" w:rsidRPr="00A928BD" w:rsidRDefault="00A928BD" w:rsidP="00A928BD">
      <w:pPr>
        <w:widowControl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в отрасли «Здравоохранение» (с учетом среднего и младшего медицинского, а также обслуживающего персонала) средняя заработная плата возросла до 4 736 руб. (+43,6%), сократив отрыв от среднего уров</w:t>
      </w:r>
      <w:r w:rsidR="00D73BC1">
        <w:rPr>
          <w:rFonts w:ascii="Times New Roman" w:eastAsia="Times New Roman" w:hAnsi="Times New Roman" w:cs="Times New Roman"/>
          <w:sz w:val="28"/>
          <w:szCs w:val="24"/>
          <w:lang w:eastAsia="ru-RU"/>
        </w:rPr>
        <w:t>ня по экономике до 7,2%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928BD" w:rsidRPr="00A928BD" w:rsidRDefault="00A928BD" w:rsidP="00A928BD">
      <w:pPr>
        <w:widowControl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Существенное повышение заработных плат достигнуто у работников жилищно-коммунального хозяйства (+25,</w:t>
      </w:r>
      <w:r w:rsidRPr="00832EE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>7</w:t>
      </w:r>
      <w:r w:rsidRP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>% до 3 2</w:t>
      </w:r>
      <w:r w:rsidRPr="00832EE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>61</w:t>
      </w:r>
      <w:r w:rsidRP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руб.)</w:t>
      </w:r>
      <w:r w:rsidRPr="00832EE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>, редакци</w:t>
      </w:r>
      <w:r w:rsidR="00C54B00" w:rsidRPr="00832EE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>й</w:t>
      </w:r>
      <w:r w:rsidRPr="00832EE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 xml:space="preserve"> и издательств (+6,1% до 4 389 руб.)</w:t>
      </w:r>
      <w:r w:rsidRP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социального обеспечения (+</w:t>
      </w:r>
      <w:r w:rsidRPr="00832EE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>4,9</w:t>
      </w:r>
      <w:r w:rsidRP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>% до 3 </w:t>
      </w:r>
      <w:r w:rsidRPr="00832EE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>034</w:t>
      </w:r>
      <w:r w:rsidRP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> руб.)</w:t>
      </w:r>
      <w:r w:rsidR="00832EED" w:rsidRP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2EED" w:rsidRP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>днако размер заработных плат занятых в данных секторах составляет порядка 60,0</w:t>
      </w:r>
      <w:r w:rsidRPr="00832EE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 xml:space="preserve">-86,0% </w:t>
      </w:r>
      <w:r w:rsidRP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среднереспубликанского уровня.</w:t>
      </w:r>
    </w:p>
    <w:p w:rsidR="00A928BD" w:rsidRPr="004560BA" w:rsidRDefault="00A928BD" w:rsidP="00352D6D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8B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 xml:space="preserve">По состоянию на 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r w:rsidRPr="00A928B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 xml:space="preserve">апреля 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2021 года задолженность по заработной плате в целом по республике </w:t>
      </w:r>
      <w:r w:rsidRPr="00A928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(без субъектов малого предпринимательства, религиозных и некоммерческих организаций, силовых структур и таможенных органов) </w:t>
      </w:r>
      <w:r w:rsidRPr="00A928B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>сократилась относительно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>базисного</w:t>
      </w:r>
      <w:r w:rsidRPr="00A928B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 xml:space="preserve"> 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значения на </w:t>
      </w:r>
      <w:r w:rsidRPr="00A928B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>7,4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Pr="00A928B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>и составила 5,9 млн руб.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или </w:t>
      </w:r>
      <w:r w:rsidRPr="00A928B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>1,4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% месячного фонда начисленной заработной платы. Вся сумма задолженности была накоплена во внебюджетном секторе и наибольший удельный вес в ее структуре сформировали организации промышленности (</w:t>
      </w:r>
      <w:r w:rsidRPr="00A928B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>61,7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%). Оставшиеся суммы приходятся на организации транспорта (</w:t>
      </w:r>
      <w:r w:rsidRPr="00A928B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>33,4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%)</w:t>
      </w:r>
      <w:r w:rsidR="00832E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28B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 xml:space="preserve">здравоохранения 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A928BD">
        <w:rPr>
          <w:rFonts w:ascii="Times New Roman" w:eastAsia="Times New Roman" w:hAnsi="Times New Roman" w:cs="Times New Roman"/>
          <w:sz w:val="28"/>
          <w:szCs w:val="24"/>
          <w:lang w:val="ru-MD" w:eastAsia="ru-RU"/>
        </w:rPr>
        <w:t>4,9</w:t>
      </w:r>
      <w:r w:rsidRPr="00A92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%). </w:t>
      </w:r>
    </w:p>
    <w:p w:rsidR="00A928BD" w:rsidRDefault="00A9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18" w:type="dxa"/>
        <w:tblInd w:w="96" w:type="dxa"/>
        <w:tblLook w:val="04A0" w:firstRow="1" w:lastRow="0" w:firstColumn="1" w:lastColumn="0" w:noHBand="0" w:noVBand="1"/>
      </w:tblPr>
      <w:tblGrid>
        <w:gridCol w:w="4245"/>
        <w:gridCol w:w="1143"/>
        <w:gridCol w:w="1371"/>
        <w:gridCol w:w="704"/>
        <w:gridCol w:w="206"/>
        <w:gridCol w:w="928"/>
        <w:gridCol w:w="290"/>
        <w:gridCol w:w="1331"/>
      </w:tblGrid>
      <w:tr w:rsidR="009C5F9D" w:rsidRPr="00A928BD" w:rsidTr="00522C60">
        <w:trPr>
          <w:trHeight w:val="300"/>
        </w:trPr>
        <w:tc>
          <w:tcPr>
            <w:tcW w:w="1021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9C5F9D" w:rsidRPr="00A928BD" w:rsidTr="00522C60">
        <w:trPr>
          <w:trHeight w:val="315"/>
        </w:trPr>
        <w:tc>
          <w:tcPr>
            <w:tcW w:w="10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A9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2:F67"/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статистические показатели за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A90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bookmarkStart w:id="1" w:name="_GoBack"/>
            <w:bookmarkEnd w:id="1"/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гг.</w:t>
            </w:r>
            <w:bookmarkEnd w:id="0"/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F9D" w:rsidRPr="00A928BD" w:rsidTr="00522C60">
        <w:trPr>
          <w:trHeight w:val="99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% к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январь-март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% к январю-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марту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C5F9D" w:rsidRPr="00A928BD" w:rsidTr="00522C60">
        <w:trPr>
          <w:trHeight w:val="447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Валовой внутренний продукт, темпы роста в сопоставимых ценах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13 903 957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9C5F9D" w:rsidRPr="00A928BD" w:rsidTr="00522C60">
        <w:trPr>
          <w:trHeight w:val="6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производства промышленной продукции, темпы роста в сопоставимых ценах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12 153 938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3 589 348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110,3</w:t>
            </w:r>
          </w:p>
        </w:tc>
      </w:tr>
      <w:tr w:rsidR="009C5F9D" w:rsidRPr="00A928BD" w:rsidTr="00522C60">
        <w:trPr>
          <w:trHeight w:val="6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производства по основным подотраслям промышленности, темпы роста в сопоставимых ценах: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электроэнергетика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4 021 629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1 074 971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черная металлургия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3 511 980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1 457 910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133,4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машиностроение и металлообработка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295 979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54 785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электротехническая промышленность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270 614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55 222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промышленность строительных материалов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597 331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63 690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промышленность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1 340 399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382 262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пищевая промышленность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1 634 589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386 552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106,8</w:t>
            </w:r>
          </w:p>
        </w:tc>
      </w:tr>
      <w:tr w:rsidR="009C5F9D" w:rsidRPr="00A928BD" w:rsidTr="00522C60">
        <w:trPr>
          <w:trHeight w:val="6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Оборот розничной торговли (без общепита), темпы роста в сопоставимых ценах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7 614,1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2 017,1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104,6</w:t>
            </w:r>
          </w:p>
        </w:tc>
      </w:tr>
      <w:tr w:rsidR="009C5F9D" w:rsidRPr="00A928BD" w:rsidTr="00522C60">
        <w:trPr>
          <w:trHeight w:val="323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Сводный индекс потребительских цен                                               (к декабрю предыдущего года)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101,45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цен на продовольственные товары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102,29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цен на непродовольственные товары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  <w:r w:rsidRPr="00A928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цен на услуги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101,87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9C5F9D" w:rsidRPr="00A928BD" w:rsidTr="00522C60">
        <w:trPr>
          <w:trHeight w:val="263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номинальная начисленная заработная плата одного работника </w:t>
            </w:r>
          </w:p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(без субъектов малого предпринимательства)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4 962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5 103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107,0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Экспорт, всего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долл.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633 105,1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184 284,5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122,4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экспорт без электроэнергии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 долл.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C5F9D" w:rsidRPr="00AF3EA6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F3E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473 218,5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C5F9D" w:rsidRPr="00AF3EA6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F3E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92,3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147 525,2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127,8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Экспорт по основным странам: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Российская Федерация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долл.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69 932,9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16 272,9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</w:t>
            </w: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в общей сумме экспорта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Республика Молдова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долл.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271 758,1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58 362,7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доля в общей сумме экспорта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Европейский союз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долл.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186 152,5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64 518,5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156,8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доля в общей сумме экспорта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Евразийский экономический союз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долл.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74 504,3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16 810,4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</w:tr>
      <w:tr w:rsidR="009C5F9D" w:rsidRPr="00A928BD" w:rsidTr="00522C60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доля в общей сумме экспорта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</w:p>
        </w:tc>
      </w:tr>
    </w:tbl>
    <w:p w:rsidR="009C5F9D" w:rsidRPr="00A928BD" w:rsidRDefault="009C5F9D" w:rsidP="009C5F9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C5F9D" w:rsidRPr="00A928BD" w:rsidRDefault="009C5F9D" w:rsidP="009C5F9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C5F9D" w:rsidRDefault="009C5F9D" w:rsidP="009C5F9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C5F9D" w:rsidRPr="00A928BD" w:rsidRDefault="009C5F9D" w:rsidP="009C5F9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C5F9D" w:rsidRPr="00A928BD" w:rsidRDefault="009C5F9D" w:rsidP="009C5F9D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28BD">
        <w:rPr>
          <w:rFonts w:ascii="Times New Roman" w:eastAsia="Times New Roman" w:hAnsi="Times New Roman" w:cs="Times New Roman"/>
          <w:lang w:eastAsia="ru-RU"/>
        </w:rPr>
        <w:t>Продолжение Приложения №1</w:t>
      </w:r>
    </w:p>
    <w:tbl>
      <w:tblPr>
        <w:tblW w:w="10326" w:type="dxa"/>
        <w:tblInd w:w="96" w:type="dxa"/>
        <w:tblLook w:val="04A0" w:firstRow="1" w:lastRow="0" w:firstColumn="1" w:lastColumn="0" w:noHBand="0" w:noVBand="1"/>
      </w:tblPr>
      <w:tblGrid>
        <w:gridCol w:w="4282"/>
        <w:gridCol w:w="1092"/>
        <w:gridCol w:w="1231"/>
        <w:gridCol w:w="1159"/>
        <w:gridCol w:w="1263"/>
        <w:gridCol w:w="1299"/>
      </w:tblGrid>
      <w:tr w:rsidR="009C5F9D" w:rsidRPr="00A928BD" w:rsidTr="00522C60">
        <w:trPr>
          <w:trHeight w:val="31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% к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году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январь-март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% к январю-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марту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C5F9D" w:rsidRPr="00A928BD" w:rsidTr="00522C60">
        <w:trPr>
          <w:trHeight w:val="171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Импорт, всего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125" w:right="-1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долл.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ind w:left="-22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1 052 714,8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276 488,0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Российская Федерация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долл.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403 569,7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93 224,3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</w:t>
            </w: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в общей сумме импорта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Республика Молдова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долл.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115 782,8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30 938,3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119,0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доля в общей сумме импорта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</w:p>
        </w:tc>
      </w:tr>
      <w:tr w:rsidR="009C5F9D" w:rsidRPr="00A928BD" w:rsidTr="00522C60">
        <w:trPr>
          <w:trHeight w:hRule="exact" w:val="289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Европейский союз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долл.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239 944,9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106,5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72 960,1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122,1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</w:t>
            </w: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в общей сумме импорта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Евразийский экономический союз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долл.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450 976,0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111 021,7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доля в общей сумме импорта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Импорт в ПМР (без газа)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 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EA2127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EA212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747 085,1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EA2127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96,0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203 820,9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113,6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импорта газа в общем объеме импорта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Экспорт в Российскую Федерацию, всего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тыс. </w:t>
            </w:r>
            <w:r w:rsidRPr="00A928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долл.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3924C8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24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69 932,9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C5F9D" w:rsidRPr="003924C8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24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C5F9D" w:rsidRPr="003924C8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24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16 272,9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C5F9D" w:rsidRPr="003924C8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24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94,2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основным товарным группам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продовольственные товары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тыс.долл.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9 837,7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3 347,6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188,0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продукция химической промышленности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тыс.долл.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7 108,4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1 607,3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текстильные материалы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тыс.долл.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9 035,3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1 906,1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одежда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тыс.долл.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3 847,4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1 118,3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обувь и части обуви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тыс.долл.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1 623,7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148,8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металлы и изделия из них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тыс.долл.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10 830,3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1 997,1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</w:tr>
      <w:tr w:rsidR="009C5F9D" w:rsidRPr="00A928BD" w:rsidTr="00522C60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9D" w:rsidRPr="00A928BD" w:rsidRDefault="009C5F9D" w:rsidP="005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машиностроительная продукция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9D" w:rsidRPr="00A928BD" w:rsidRDefault="009C5F9D" w:rsidP="00522C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тыс.долл.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20 418,8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A928B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3 121,9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9D" w:rsidRPr="0051401D" w:rsidRDefault="009C5F9D" w:rsidP="005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</w:t>
            </w:r>
          </w:p>
        </w:tc>
      </w:tr>
    </w:tbl>
    <w:p w:rsidR="009C5F9D" w:rsidRPr="00A928BD" w:rsidRDefault="009C5F9D" w:rsidP="009C5F9D">
      <w:pPr>
        <w:spacing w:after="200" w:line="276" w:lineRule="auto"/>
        <w:rPr>
          <w:rFonts w:ascii="Calibri" w:eastAsia="Times New Roman" w:hAnsi="Calibri" w:cs="Times New Roman"/>
          <w:sz w:val="4"/>
          <w:lang w:eastAsia="ru-RU"/>
        </w:rPr>
      </w:pPr>
    </w:p>
    <w:p w:rsidR="00134591" w:rsidRPr="007A0057" w:rsidRDefault="00134591" w:rsidP="009C1A8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34591" w:rsidRPr="007A0057" w:rsidSect="009C1A8C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F0" w:rsidRDefault="00C45FF0" w:rsidP="009C1A8C">
      <w:pPr>
        <w:spacing w:after="0" w:line="240" w:lineRule="auto"/>
      </w:pPr>
      <w:r>
        <w:separator/>
      </w:r>
    </w:p>
  </w:endnote>
  <w:endnote w:type="continuationSeparator" w:id="0">
    <w:p w:rsidR="00C45FF0" w:rsidRDefault="00C45FF0" w:rsidP="009C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F0" w:rsidRDefault="00C45FF0" w:rsidP="009C1A8C">
      <w:pPr>
        <w:spacing w:after="0" w:line="240" w:lineRule="auto"/>
      </w:pPr>
      <w:r>
        <w:separator/>
      </w:r>
    </w:p>
  </w:footnote>
  <w:footnote w:type="continuationSeparator" w:id="0">
    <w:p w:rsidR="00C45FF0" w:rsidRDefault="00C45FF0" w:rsidP="009C1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8C"/>
    <w:rsid w:val="000F56C2"/>
    <w:rsid w:val="00114A1E"/>
    <w:rsid w:val="00134591"/>
    <w:rsid w:val="00164EE9"/>
    <w:rsid w:val="00194534"/>
    <w:rsid w:val="001E27FA"/>
    <w:rsid w:val="002B3F5B"/>
    <w:rsid w:val="0031446B"/>
    <w:rsid w:val="00323C3F"/>
    <w:rsid w:val="00327B68"/>
    <w:rsid w:val="00352D6D"/>
    <w:rsid w:val="00356557"/>
    <w:rsid w:val="003B12CD"/>
    <w:rsid w:val="003B6216"/>
    <w:rsid w:val="004560BA"/>
    <w:rsid w:val="004A7E8D"/>
    <w:rsid w:val="004E53EE"/>
    <w:rsid w:val="004F3D6B"/>
    <w:rsid w:val="0051401D"/>
    <w:rsid w:val="005A749F"/>
    <w:rsid w:val="005C2A7F"/>
    <w:rsid w:val="0062225A"/>
    <w:rsid w:val="0062282B"/>
    <w:rsid w:val="00664B80"/>
    <w:rsid w:val="006B183B"/>
    <w:rsid w:val="006D3EA7"/>
    <w:rsid w:val="006E3A9F"/>
    <w:rsid w:val="00717EA7"/>
    <w:rsid w:val="007466BF"/>
    <w:rsid w:val="007A0057"/>
    <w:rsid w:val="007A7231"/>
    <w:rsid w:val="007C25B3"/>
    <w:rsid w:val="007D08F8"/>
    <w:rsid w:val="00804E60"/>
    <w:rsid w:val="008165D6"/>
    <w:rsid w:val="00832EED"/>
    <w:rsid w:val="00854DE9"/>
    <w:rsid w:val="008643AF"/>
    <w:rsid w:val="008A38F2"/>
    <w:rsid w:val="008E7906"/>
    <w:rsid w:val="009C1A8C"/>
    <w:rsid w:val="009C5F9D"/>
    <w:rsid w:val="009F0E15"/>
    <w:rsid w:val="00A06186"/>
    <w:rsid w:val="00A10D9C"/>
    <w:rsid w:val="00A40426"/>
    <w:rsid w:val="00A541C0"/>
    <w:rsid w:val="00A907C2"/>
    <w:rsid w:val="00A928BD"/>
    <w:rsid w:val="00AF3EA6"/>
    <w:rsid w:val="00B33A3C"/>
    <w:rsid w:val="00B62583"/>
    <w:rsid w:val="00B84D5B"/>
    <w:rsid w:val="00BF37B4"/>
    <w:rsid w:val="00C008FE"/>
    <w:rsid w:val="00C45FF0"/>
    <w:rsid w:val="00C54B00"/>
    <w:rsid w:val="00C9398B"/>
    <w:rsid w:val="00CA4657"/>
    <w:rsid w:val="00D73BC1"/>
    <w:rsid w:val="00DE42C8"/>
    <w:rsid w:val="00E80F48"/>
    <w:rsid w:val="00EA2127"/>
    <w:rsid w:val="00ED3C04"/>
    <w:rsid w:val="00F009D9"/>
    <w:rsid w:val="00F326CC"/>
    <w:rsid w:val="00F34015"/>
    <w:rsid w:val="00F416DC"/>
    <w:rsid w:val="00FA6665"/>
    <w:rsid w:val="00FA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EE24"/>
  <w15:chartTrackingRefBased/>
  <w15:docId w15:val="{90EC952E-D91E-495A-83FB-F501642C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6CC"/>
  </w:style>
  <w:style w:type="paragraph" w:styleId="1">
    <w:name w:val="heading 1"/>
    <w:basedOn w:val="a"/>
    <w:next w:val="a"/>
    <w:link w:val="10"/>
    <w:uiPriority w:val="99"/>
    <w:qFormat/>
    <w:rsid w:val="009C1A8C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A8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9C1A8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1A8C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1A8C"/>
    <w:rPr>
      <w:rFonts w:cs="Times New Roman"/>
      <w:vertAlign w:val="superscript"/>
    </w:rPr>
  </w:style>
  <w:style w:type="table" w:styleId="a6">
    <w:name w:val="Table Grid"/>
    <w:basedOn w:val="a1"/>
    <w:uiPriority w:val="59"/>
    <w:rsid w:val="009C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560BA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456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533662076983126E-2"/>
          <c:y val="4.3650793650793648E-2"/>
          <c:w val="0.81200473092844472"/>
          <c:h val="0.643598300212473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shade val="30000"/>
                    <a:satMod val="115000"/>
                  </a:schemeClr>
                </a:gs>
                <a:gs pos="50000">
                  <a:schemeClr val="accent1">
                    <a:shade val="67500"/>
                    <a:satMod val="115000"/>
                  </a:schemeClr>
                </a:gs>
                <a:gs pos="100000">
                  <a:schemeClr val="accent1">
                    <a:shade val="100000"/>
                    <a:satMod val="115000"/>
                  </a:schemeClr>
                </a:gs>
              </a:gsLst>
              <a:path path="circle">
                <a:fillToRect l="100000" t="100000"/>
              </a:path>
              <a:tileRect r="-100000" b="-10000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2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DEC4-4534-A387-64376BD0B4A5}"/>
              </c:ext>
            </c:extLst>
          </c:dPt>
          <c:dPt>
            <c:idx val="13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DEC4-4534-A387-64376BD0B4A5}"/>
              </c:ext>
            </c:extLst>
          </c:dPt>
          <c:dPt>
            <c:idx val="14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DEC4-4534-A387-64376BD0B4A5}"/>
              </c:ext>
            </c:extLst>
          </c:dPt>
          <c:dPt>
            <c:idx val="15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DEC4-4534-A387-64376BD0B4A5}"/>
              </c:ext>
            </c:extLst>
          </c:dPt>
          <c:dPt>
            <c:idx val="16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DEC4-4534-A387-64376BD0B4A5}"/>
              </c:ext>
            </c:extLst>
          </c:dPt>
          <c:dPt>
            <c:idx val="17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DEC4-4534-A387-64376BD0B4A5}"/>
              </c:ext>
            </c:extLst>
          </c:dPt>
          <c:dPt>
            <c:idx val="18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DEC4-4534-A387-64376BD0B4A5}"/>
              </c:ext>
            </c:extLst>
          </c:dPt>
          <c:dPt>
            <c:idx val="19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DEC4-4534-A387-64376BD0B4A5}"/>
              </c:ext>
            </c:extLst>
          </c:dPt>
          <c:dPt>
            <c:idx val="20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DEC4-4534-A387-64376BD0B4A5}"/>
              </c:ext>
            </c:extLst>
          </c:dPt>
          <c:dPt>
            <c:idx val="21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DEC4-4534-A387-64376BD0B4A5}"/>
              </c:ext>
            </c:extLst>
          </c:dPt>
          <c:dPt>
            <c:idx val="22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DEC4-4534-A387-64376BD0B4A5}"/>
              </c:ext>
            </c:extLst>
          </c:dPt>
          <c:dPt>
            <c:idx val="23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DEC4-4534-A387-64376BD0B4A5}"/>
              </c:ext>
            </c:extLst>
          </c:dPt>
          <c:dPt>
            <c:idx val="2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9-DEC4-4534-A387-64376BD0B4A5}"/>
              </c:ext>
            </c:extLst>
          </c:dPt>
          <c:dPt>
            <c:idx val="2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B-DEC4-4534-A387-64376BD0B4A5}"/>
              </c:ext>
            </c:extLst>
          </c:dPt>
          <c:dPt>
            <c:idx val="2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D-BB6B-43B9-9B12-2C07D1921333}"/>
              </c:ext>
            </c:extLst>
          </c:dPt>
          <c:cat>
            <c:strRef>
              <c:f>Лист1!$A$2:$A$28</c:f>
              <c:strCache>
                <c:ptCount val="2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январь</c:v>
                </c:pt>
                <c:pt idx="13">
                  <c:v>февраль</c:v>
                </c:pt>
                <c:pt idx="14">
                  <c:v>март</c:v>
                </c:pt>
                <c:pt idx="15">
                  <c:v>апрель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  <c:pt idx="19">
                  <c:v>август</c:v>
                </c:pt>
                <c:pt idx="20">
                  <c:v>сентябрь</c:v>
                </c:pt>
                <c:pt idx="21">
                  <c:v>октябрь</c:v>
                </c:pt>
                <c:pt idx="22">
                  <c:v>ноябрь</c:v>
                </c:pt>
                <c:pt idx="23">
                  <c:v>декабрь</c:v>
                </c:pt>
                <c:pt idx="24">
                  <c:v>январь</c:v>
                </c:pt>
                <c:pt idx="25">
                  <c:v>февраль</c:v>
                </c:pt>
                <c:pt idx="26">
                  <c:v>март</c:v>
                </c:pt>
              </c:strCache>
            </c:strRef>
          </c:cat>
          <c:val>
            <c:numRef>
              <c:f>Лист1!$B$2:$B$28</c:f>
              <c:numCache>
                <c:formatCode>#,##0.0</c:formatCode>
                <c:ptCount val="27"/>
                <c:pt idx="0">
                  <c:v>743.18799999999999</c:v>
                </c:pt>
                <c:pt idx="1">
                  <c:v>861.75900000000001</c:v>
                </c:pt>
                <c:pt idx="2">
                  <c:v>1010.769</c:v>
                </c:pt>
                <c:pt idx="3">
                  <c:v>1052.1410000000001</c:v>
                </c:pt>
                <c:pt idx="4">
                  <c:v>980.12800000000004</c:v>
                </c:pt>
                <c:pt idx="5">
                  <c:v>1015.487</c:v>
                </c:pt>
                <c:pt idx="6">
                  <c:v>1139.5</c:v>
                </c:pt>
                <c:pt idx="7">
                  <c:v>1134.2</c:v>
                </c:pt>
                <c:pt idx="8">
                  <c:v>1080.3</c:v>
                </c:pt>
                <c:pt idx="9">
                  <c:v>1076</c:v>
                </c:pt>
                <c:pt idx="10">
                  <c:v>1004.7</c:v>
                </c:pt>
                <c:pt idx="11">
                  <c:v>1055</c:v>
                </c:pt>
                <c:pt idx="12">
                  <c:v>873.96699999999998</c:v>
                </c:pt>
                <c:pt idx="13">
                  <c:v>963.53599999999994</c:v>
                </c:pt>
                <c:pt idx="14">
                  <c:v>983.93899999999996</c:v>
                </c:pt>
                <c:pt idx="15">
                  <c:v>819.88800000000003</c:v>
                </c:pt>
                <c:pt idx="16">
                  <c:v>918.40800000000002</c:v>
                </c:pt>
                <c:pt idx="17">
                  <c:v>1038.011</c:v>
                </c:pt>
                <c:pt idx="18">
                  <c:v>1085.5</c:v>
                </c:pt>
                <c:pt idx="19">
                  <c:v>1113.8</c:v>
                </c:pt>
                <c:pt idx="20">
                  <c:v>1038</c:v>
                </c:pt>
                <c:pt idx="21">
                  <c:v>1134.3</c:v>
                </c:pt>
                <c:pt idx="22">
                  <c:v>1101.9000000000001</c:v>
                </c:pt>
                <c:pt idx="23">
                  <c:v>1079.0999999999999</c:v>
                </c:pt>
                <c:pt idx="24">
                  <c:v>1052.9000000000001</c:v>
                </c:pt>
                <c:pt idx="25">
                  <c:v>1171.9000000000001</c:v>
                </c:pt>
                <c:pt idx="26" formatCode="General">
                  <c:v>1364.5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DEC4-4534-A387-64376BD0B4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50929704"/>
        <c:axId val="25093008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Лист1!$A$2:$A$28</c:f>
              <c:strCache>
                <c:ptCount val="2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январь</c:v>
                </c:pt>
                <c:pt idx="13">
                  <c:v>февраль</c:v>
                </c:pt>
                <c:pt idx="14">
                  <c:v>март</c:v>
                </c:pt>
                <c:pt idx="15">
                  <c:v>апрель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  <c:pt idx="19">
                  <c:v>август</c:v>
                </c:pt>
                <c:pt idx="20">
                  <c:v>сентябрь</c:v>
                </c:pt>
                <c:pt idx="21">
                  <c:v>октябрь</c:v>
                </c:pt>
                <c:pt idx="22">
                  <c:v>ноябрь</c:v>
                </c:pt>
                <c:pt idx="23">
                  <c:v>декабрь</c:v>
                </c:pt>
                <c:pt idx="24">
                  <c:v>январь</c:v>
                </c:pt>
                <c:pt idx="25">
                  <c:v>февраль</c:v>
                </c:pt>
                <c:pt idx="26">
                  <c:v>март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12">
                  <c:v>1.1759702793909481</c:v>
                </c:pt>
                <c:pt idx="13">
                  <c:v>1.1181037853970772</c:v>
                </c:pt>
                <c:pt idx="14">
                  <c:v>0.97345585390925127</c:v>
                </c:pt>
                <c:pt idx="15">
                  <c:v>0.77925677261887905</c:v>
                </c:pt>
                <c:pt idx="16">
                  <c:v>0.93702863299487416</c:v>
                </c:pt>
                <c:pt idx="17">
                  <c:v>1.022180490739911</c:v>
                </c:pt>
                <c:pt idx="18">
                  <c:v>0.952610794207986</c:v>
                </c:pt>
                <c:pt idx="19">
                  <c:v>0.98201375418797388</c:v>
                </c:pt>
                <c:pt idx="20">
                  <c:v>0.96084420994168296</c:v>
                </c:pt>
                <c:pt idx="21">
                  <c:v>1.0541821561338289</c:v>
                </c:pt>
                <c:pt idx="22">
                  <c:v>1.0967452971036131</c:v>
                </c:pt>
                <c:pt idx="23">
                  <c:v>1.0228436018957345</c:v>
                </c:pt>
                <c:pt idx="24">
                  <c:v>1.2047365632798495</c:v>
                </c:pt>
                <c:pt idx="25">
                  <c:v>1.2162493150229987</c:v>
                </c:pt>
                <c:pt idx="26">
                  <c:v>1.3867729605188941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DEC4-4534-A387-64376BD0B4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0976288"/>
        <c:axId val="250930472"/>
      </c:lineChart>
      <c:catAx>
        <c:axId val="250929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930088"/>
        <c:crosses val="autoZero"/>
        <c:auto val="1"/>
        <c:lblAlgn val="ctr"/>
        <c:lblOffset val="100"/>
        <c:noMultiLvlLbl val="0"/>
      </c:catAx>
      <c:valAx>
        <c:axId val="25093008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Объем</a:t>
                </a:r>
                <a:r>
                  <a:rPr lang="ru-R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промышленного производства, млн руб.</a:t>
                </a:r>
                <a:endParaRPr lang="ru-R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2622917995688149E-3"/>
              <c:y val="8.761557682987468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929704"/>
        <c:crosses val="autoZero"/>
        <c:crossBetween val="between"/>
      </c:valAx>
      <c:valAx>
        <c:axId val="250930472"/>
        <c:scaling>
          <c:orientation val="minMax"/>
          <c:max val="1.4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Темп</a:t>
                </a:r>
                <a:r>
                  <a:rPr lang="ru-R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роста к соответсвующему месяцу предыдущего года</a:t>
                </a:r>
                <a:endParaRPr lang="ru-R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%" sourceLinked="0"/>
        <c:majorTickMark val="out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976288"/>
        <c:crosses val="max"/>
        <c:crossBetween val="between"/>
        <c:majorUnit val="0.2"/>
      </c:valAx>
      <c:catAx>
        <c:axId val="2509762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509304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1"/>
            </a:pPr>
            <a:r>
              <a:rPr lang="ru-RU" sz="1201"/>
              <a:t>Помесячная динамика</a:t>
            </a:r>
            <a:r>
              <a:rPr lang="ru-RU" sz="1201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 </a:t>
            </a:r>
            <a:r>
              <a:rPr lang="ru-RU" sz="1201"/>
              <a:t>экспорта в 2019-2021 годах, млн долл.</a:t>
            </a:r>
          </a:p>
        </c:rich>
      </c:tx>
      <c:layout>
        <c:manualLayout>
          <c:xMode val="edge"/>
          <c:yMode val="edge"/>
          <c:x val="0.15047978353555891"/>
          <c:y val="3.404480689913760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185451123091894E-2"/>
          <c:y val="0.20135669425898867"/>
          <c:w val="0.93038899503868044"/>
          <c:h val="0.5051843218788588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ln w="25414">
              <a:solidFill>
                <a:srgbClr val="4472C4">
                  <a:lumMod val="75000"/>
                  <a:alpha val="95000"/>
                </a:srgbClr>
              </a:solidFill>
              <a:prstDash val="dash"/>
            </a:ln>
          </c:spPr>
          <c:marker>
            <c:symbol val="diamond"/>
            <c:size val="8"/>
            <c:spPr>
              <a:solidFill>
                <a:srgbClr val="4472C4">
                  <a:lumMod val="75000"/>
                </a:srgbClr>
              </a:solidFill>
              <a:ln>
                <a:solidFill>
                  <a:schemeClr val="tx1"/>
                </a:solidFill>
              </a:ln>
            </c:spPr>
          </c:marker>
          <c:dPt>
            <c:idx val="10"/>
            <c:bubble3D val="0"/>
            <c:spPr>
              <a:ln w="25414">
                <a:solidFill>
                  <a:sysClr val="windowText" lastClr="000000">
                    <a:alpha val="95000"/>
                  </a:sysClr>
                </a:solidFill>
                <a:prstDash val="dash"/>
              </a:ln>
            </c:spPr>
            <c:extLst>
              <c:ext xmlns:c16="http://schemas.microsoft.com/office/drawing/2014/chart" uri="{C3380CC4-5D6E-409C-BE32-E72D297353CC}">
                <c16:uniqueId val="{00000001-3BA4-44FB-BEF1-FE5A28C886A0}"/>
              </c:ext>
            </c:extLst>
          </c:dPt>
          <c:dPt>
            <c:idx val="11"/>
            <c:marker>
              <c:spPr>
                <a:solidFill>
                  <a:sysClr val="windowText" lastClr="000000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  <c:spPr>
              <a:ln w="25414" cmpd="sng">
                <a:solidFill>
                  <a:sysClr val="windowText" lastClr="000000">
                    <a:alpha val="95000"/>
                  </a:sysClr>
                </a:solidFill>
                <a:prstDash val="dash"/>
              </a:ln>
            </c:spPr>
            <c:extLst>
              <c:ext xmlns:c16="http://schemas.microsoft.com/office/drawing/2014/chart" uri="{C3380CC4-5D6E-409C-BE32-E72D297353CC}">
                <c16:uniqueId val="{00000003-3BA4-44FB-BEF1-FE5A28C886A0}"/>
              </c:ext>
            </c:extLst>
          </c:dPt>
          <c:cat>
            <c:strRef>
              <c:f>Лист1!$A$2:$A$13</c:f>
              <c:strCache>
                <c:ptCount val="12"/>
                <c:pt idx="0">
                  <c:v>январь </c:v>
                </c:pt>
                <c:pt idx="1">
                  <c:v>февраль</c:v>
                </c:pt>
                <c:pt idx="2">
                  <c:v>март 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 </c:v>
                </c:pt>
                <c:pt idx="7">
                  <c:v>август </c:v>
                </c:pt>
                <c:pt idx="8">
                  <c:v>сентябрь</c:v>
                </c:pt>
                <c:pt idx="9">
                  <c:v>октябрь </c:v>
                </c:pt>
                <c:pt idx="10">
                  <c:v>ноябрь </c:v>
                </c:pt>
                <c:pt idx="11">
                  <c:v>декабрь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33.6</c:v>
                </c:pt>
                <c:pt idx="1">
                  <c:v>48.9</c:v>
                </c:pt>
                <c:pt idx="2" formatCode="#,##0.0">
                  <c:v>62.883000000000003</c:v>
                </c:pt>
                <c:pt idx="3" formatCode="#,##0.0">
                  <c:v>55.6980000000001</c:v>
                </c:pt>
                <c:pt idx="4" formatCode="#,##0.0">
                  <c:v>57.853000000000002</c:v>
                </c:pt>
                <c:pt idx="5" formatCode="#,##0.0">
                  <c:v>44.734000000000002</c:v>
                </c:pt>
                <c:pt idx="6" formatCode="#,##0.0">
                  <c:v>60.6980000000001</c:v>
                </c:pt>
                <c:pt idx="7" formatCode="#,##0.0">
                  <c:v>58.053000000000004</c:v>
                </c:pt>
                <c:pt idx="8" formatCode="#,##0.0">
                  <c:v>62.648000000000003</c:v>
                </c:pt>
                <c:pt idx="9" formatCode="#,##0.0">
                  <c:v>59.52</c:v>
                </c:pt>
                <c:pt idx="10" formatCode="#,##0.0">
                  <c:v>54.053000000000004</c:v>
                </c:pt>
                <c:pt idx="11" formatCode="#,##0.0">
                  <c:v>58.690000000000012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BA4-44FB-BEF1-FE5A28C886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ln w="9525" cmpd="sng">
              <a:solidFill>
                <a:sysClr val="windowText" lastClr="000000"/>
              </a:solidFill>
            </a:ln>
          </c:spPr>
          <c:marker>
            <c:symbol val="circle"/>
            <c:size val="8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dPt>
            <c:idx val="10"/>
            <c:bubble3D val="0"/>
            <c:spPr>
              <a:ln w="9525" cmpd="sng">
                <a:solidFill>
                  <a:sysClr val="windowText" lastClr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3BA4-44FB-BEF1-FE5A28C886A0}"/>
              </c:ext>
            </c:extLst>
          </c:dPt>
          <c:dPt>
            <c:idx val="11"/>
            <c:bubble3D val="0"/>
            <c:spPr>
              <a:ln w="9525" cmpd="sng">
                <a:solidFill>
                  <a:sysClr val="windowText" lastClr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3BA4-44FB-BEF1-FE5A28C886A0}"/>
              </c:ext>
            </c:extLst>
          </c:dPt>
          <c:cat>
            <c:strRef>
              <c:f>Лист1!$A$2:$A$13</c:f>
              <c:strCache>
                <c:ptCount val="12"/>
                <c:pt idx="0">
                  <c:v>январь </c:v>
                </c:pt>
                <c:pt idx="1">
                  <c:v>февраль</c:v>
                </c:pt>
                <c:pt idx="2">
                  <c:v>март 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 </c:v>
                </c:pt>
                <c:pt idx="7">
                  <c:v>август </c:v>
                </c:pt>
                <c:pt idx="8">
                  <c:v>сентябрь</c:v>
                </c:pt>
                <c:pt idx="9">
                  <c:v>октябрь </c:v>
                </c:pt>
                <c:pt idx="10">
                  <c:v>ноябрь </c:v>
                </c:pt>
                <c:pt idx="11">
                  <c:v>декабрь </c:v>
                </c:pt>
              </c:strCache>
            </c:strRef>
          </c:cat>
          <c:val>
            <c:numRef>
              <c:f>Лист1!$C$2:$C$13</c:f>
              <c:numCache>
                <c:formatCode>#,##0.0</c:formatCode>
                <c:ptCount val="12"/>
                <c:pt idx="0">
                  <c:v>46</c:v>
                </c:pt>
                <c:pt idx="1">
                  <c:v>54.5</c:v>
                </c:pt>
                <c:pt idx="2">
                  <c:v>50.091428000000001</c:v>
                </c:pt>
                <c:pt idx="3">
                  <c:v>38.106867000000001</c:v>
                </c:pt>
                <c:pt idx="4">
                  <c:v>46.941073999999993</c:v>
                </c:pt>
                <c:pt idx="5">
                  <c:v>49.792793000000138</c:v>
                </c:pt>
                <c:pt idx="6">
                  <c:v>52.215000000000003</c:v>
                </c:pt>
                <c:pt idx="7">
                  <c:v>54.47</c:v>
                </c:pt>
                <c:pt idx="8">
                  <c:v>54.77</c:v>
                </c:pt>
                <c:pt idx="9">
                  <c:v>64.519000000000005</c:v>
                </c:pt>
                <c:pt idx="10">
                  <c:v>63.04</c:v>
                </c:pt>
                <c:pt idx="11">
                  <c:v>58.63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3BA4-44FB-BEF1-FE5A28C886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spPr>
            <a:ln>
              <a:solidFill>
                <a:srgbClr val="00B050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00B05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 </c:v>
                </c:pt>
                <c:pt idx="1">
                  <c:v>февраль</c:v>
                </c:pt>
                <c:pt idx="2">
                  <c:v>март 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 </c:v>
                </c:pt>
                <c:pt idx="7">
                  <c:v>август </c:v>
                </c:pt>
                <c:pt idx="8">
                  <c:v>сентябрь</c:v>
                </c:pt>
                <c:pt idx="9">
                  <c:v>октябрь </c:v>
                </c:pt>
                <c:pt idx="10">
                  <c:v>ноябрь </c:v>
                </c:pt>
                <c:pt idx="11">
                  <c:v>декабрь </c:v>
                </c:pt>
              </c:strCache>
            </c:strRef>
          </c:cat>
          <c:val>
            <c:numRef>
              <c:f>Лист1!$D$2:$D$13</c:f>
              <c:numCache>
                <c:formatCode>#,##0.0</c:formatCode>
                <c:ptCount val="12"/>
                <c:pt idx="0">
                  <c:v>54</c:v>
                </c:pt>
                <c:pt idx="1">
                  <c:v>59.6</c:v>
                </c:pt>
                <c:pt idx="2" formatCode="0.0">
                  <c:v>70.7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3BA4-44FB-BEF1-FE5A28C886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195776"/>
        <c:axId val="251196160"/>
      </c:lineChart>
      <c:catAx>
        <c:axId val="251195776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 b="1"/>
            </a:pPr>
            <a:endParaRPr lang="ru-RU"/>
          </a:p>
        </c:txPr>
        <c:crossAx val="251196160"/>
        <c:crosses val="autoZero"/>
        <c:auto val="1"/>
        <c:lblAlgn val="ctr"/>
        <c:lblOffset val="100"/>
        <c:noMultiLvlLbl val="0"/>
      </c:catAx>
      <c:valAx>
        <c:axId val="251196160"/>
        <c:scaling>
          <c:orientation val="minMax"/>
          <c:max val="90"/>
          <c:min val="3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 b="1"/>
            </a:pPr>
            <a:endParaRPr lang="ru-RU"/>
          </a:p>
        </c:txPr>
        <c:crossAx val="251195776"/>
        <c:crosses val="autoZero"/>
        <c:crossBetween val="between"/>
        <c:majorUnit val="20"/>
      </c:valAx>
      <c:spPr>
        <a:noFill/>
      </c:spPr>
    </c:plotArea>
    <c:legend>
      <c:legendPos val="b"/>
      <c:layout>
        <c:manualLayout>
          <c:xMode val="edge"/>
          <c:yMode val="edge"/>
          <c:x val="0.24499328619471386"/>
          <c:y val="0.87724160715592803"/>
          <c:w val="0.50589167853245565"/>
          <c:h val="0.11592488087090159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1"/>
            </a:pPr>
            <a:r>
              <a:rPr lang="ru-RU" sz="1201"/>
              <a:t>Помесячная динамика импорта в 2019-2021 годах, млн долл.</a:t>
            </a:r>
          </a:p>
        </c:rich>
      </c:tx>
      <c:layout>
        <c:manualLayout>
          <c:xMode val="edge"/>
          <c:yMode val="edge"/>
          <c:x val="0.17682495209571197"/>
          <c:y val="3.23624595469255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0895043095143412E-2"/>
          <c:y val="0.16513067656436989"/>
          <c:w val="0.91437565494051365"/>
          <c:h val="0.561723159647896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ln w="25414">
              <a:solidFill>
                <a:srgbClr val="002060"/>
              </a:solidFill>
              <a:prstDash val="dash"/>
            </a:ln>
          </c:spPr>
          <c:marker>
            <c:spPr>
              <a:solidFill>
                <a:srgbClr val="4472C4">
                  <a:lumMod val="75000"/>
                </a:srgbClr>
              </a:solidFill>
              <a:ln>
                <a:solidFill>
                  <a:srgbClr val="4472C4">
                    <a:lumMod val="75000"/>
                    <a:alpha val="95000"/>
                  </a:srgbClr>
                </a:solidFill>
              </a:ln>
            </c:spPr>
          </c:marker>
          <c:dPt>
            <c:idx val="10"/>
            <c:marker>
              <c:symbol val="diamond"/>
              <c:size val="8"/>
              <c:spPr>
                <a:solidFill>
                  <a:srgbClr val="1F497D"/>
                </a:solidFill>
                <a:ln>
                  <a:solidFill>
                    <a:srgbClr val="4F81BD"/>
                  </a:solidFill>
                  <a:prstDash val="sysDash"/>
                </a:ln>
              </c:spPr>
            </c:marker>
            <c:bubble3D val="0"/>
            <c:spPr>
              <a:ln w="25414">
                <a:solidFill>
                  <a:srgbClr val="1F497D"/>
                </a:solidFill>
                <a:prstDash val="dash"/>
              </a:ln>
            </c:spPr>
            <c:extLst>
              <c:ext xmlns:c16="http://schemas.microsoft.com/office/drawing/2014/chart" uri="{C3380CC4-5D6E-409C-BE32-E72D297353CC}">
                <c16:uniqueId val="{00000001-4F87-49DB-BC0A-B3F710C9ED07}"/>
              </c:ext>
            </c:extLst>
          </c:dPt>
          <c:dPt>
            <c:idx val="11"/>
            <c:marker>
              <c:symbol val="diamond"/>
              <c:size val="7"/>
              <c:spPr>
                <a:solidFill>
                  <a:srgbClr val="4472C4">
                    <a:lumMod val="75000"/>
                  </a:srgbClr>
                </a:solidFill>
                <a:ln>
                  <a:solidFill>
                    <a:sysClr val="windowText" lastClr="000000">
                      <a:alpha val="95000"/>
                    </a:sysClr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4F87-49DB-BC0A-B3F710C9ED07}"/>
              </c:ext>
            </c:extLst>
          </c:dPt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84.1</c:v>
                </c:pt>
                <c:pt idx="1">
                  <c:v>100.8</c:v>
                </c:pt>
                <c:pt idx="2" formatCode="#,##0.0">
                  <c:v>108.803</c:v>
                </c:pt>
                <c:pt idx="3" formatCode="#,##0.0">
                  <c:v>113.304</c:v>
                </c:pt>
                <c:pt idx="4" formatCode="#,##0.0">
                  <c:v>106.205</c:v>
                </c:pt>
                <c:pt idx="5" formatCode="#,##0.0">
                  <c:v>91.271999999999991</c:v>
                </c:pt>
                <c:pt idx="6" formatCode="#,##0.0">
                  <c:v>103.468</c:v>
                </c:pt>
                <c:pt idx="7" formatCode="#,##0.0">
                  <c:v>94.29</c:v>
                </c:pt>
                <c:pt idx="8" formatCode="#,##0.0">
                  <c:v>98.391000000000005</c:v>
                </c:pt>
                <c:pt idx="9" formatCode="#,##0.0">
                  <c:v>95.410000000000025</c:v>
                </c:pt>
                <c:pt idx="10" formatCode="#,##0.0">
                  <c:v>97.016999999999996</c:v>
                </c:pt>
                <c:pt idx="11" formatCode="#,##0.0">
                  <c:v>115.49600000000002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F87-49DB-BC0A-B3F710C9ED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ln w="9525">
              <a:solidFill>
                <a:sysClr val="windowText" lastClr="000000"/>
              </a:solidFill>
              <a:prstDash val="solid"/>
            </a:ln>
          </c:spPr>
          <c:marker>
            <c:symbol val="circle"/>
            <c:size val="7"/>
            <c:spPr>
              <a:solidFill>
                <a:sysClr val="windowText" lastClr="000000"/>
              </a:solidFill>
              <a:ln>
                <a:solidFill>
                  <a:schemeClr val="tx1"/>
                </a:solidFill>
              </a:ln>
            </c:spPr>
          </c:marker>
          <c:dPt>
            <c:idx val="10"/>
            <c:marker>
              <c:spPr>
                <a:solidFill>
                  <a:sysClr val="windowText" lastClr="000000"/>
                </a:solidFill>
                <a:ln>
                  <a:solidFill>
                    <a:sysClr val="windowText" lastClr="000000"/>
                  </a:solidFill>
                </a:ln>
              </c:spPr>
            </c:marker>
            <c:bubble3D val="0"/>
            <c:spPr>
              <a:ln w="9525" cmpd="sng">
                <a:solidFill>
                  <a:sysClr val="windowText" lastClr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4F87-49DB-BC0A-B3F710C9ED07}"/>
              </c:ext>
            </c:extLst>
          </c:dPt>
          <c:dPt>
            <c:idx val="11"/>
            <c:marker>
              <c:spPr>
                <a:solidFill>
                  <a:sysClr val="windowText" lastClr="000000"/>
                </a:solidFill>
                <a:ln>
                  <a:solidFill>
                    <a:sysClr val="windowText" lastClr="000000"/>
                  </a:solidFill>
                </a:ln>
              </c:spPr>
            </c:marker>
            <c:bubble3D val="0"/>
            <c:spPr>
              <a:ln w="9525" cmpd="sng">
                <a:solidFill>
                  <a:sysClr val="windowText" lastClr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4F87-49DB-BC0A-B3F710C9ED07}"/>
              </c:ext>
            </c:extLst>
          </c:dPt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#,##0.0</c:formatCode>
                <c:ptCount val="12"/>
                <c:pt idx="0">
                  <c:v>91</c:v>
                </c:pt>
                <c:pt idx="1">
                  <c:v>94.2</c:v>
                </c:pt>
                <c:pt idx="2">
                  <c:v>99.408180999999999</c:v>
                </c:pt>
                <c:pt idx="3">
                  <c:v>78.461605000000034</c:v>
                </c:pt>
                <c:pt idx="4">
                  <c:v>68.868979999999979</c:v>
                </c:pt>
                <c:pt idx="5">
                  <c:v>80.406400000000005</c:v>
                </c:pt>
                <c:pt idx="6">
                  <c:v>82.337000000000003</c:v>
                </c:pt>
                <c:pt idx="7">
                  <c:v>85.921999999999997</c:v>
                </c:pt>
                <c:pt idx="8">
                  <c:v>83.41100000000003</c:v>
                </c:pt>
                <c:pt idx="9">
                  <c:v>89.361999999999995</c:v>
                </c:pt>
                <c:pt idx="10">
                  <c:v>85.778999999999982</c:v>
                </c:pt>
                <c:pt idx="11">
                  <c:v>113.52200000000001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4F87-49DB-BC0A-B3F710C9ED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ln>
              <a:solidFill>
                <a:srgbClr val="00B050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00B050"/>
              </a:solidFill>
              <a:ln>
                <a:solidFill>
                  <a:srgbClr val="92D050"/>
                </a:solidFill>
              </a:ln>
            </c:spPr>
          </c:marker>
          <c:dLbls>
            <c:dLbl>
              <c:idx val="0"/>
              <c:layout>
                <c:manualLayout>
                  <c:x val="-3.4206306787814701E-2"/>
                  <c:y val="6.9076099017052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F87-49DB-BC0A-B3F710C9ED07}"/>
                </c:ext>
              </c:extLst>
            </c:dLbl>
            <c:dLbl>
              <c:idx val="1"/>
              <c:layout>
                <c:manualLayout>
                  <c:x val="-3.6809815950920678E-2"/>
                  <c:y val="0.10355987055016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4F87-49DB-BC0A-B3F710C9ED07}"/>
                </c:ext>
              </c:extLst>
            </c:dLbl>
            <c:dLbl>
              <c:idx val="2"/>
              <c:layout>
                <c:manualLayout>
                  <c:x val="-4.8939641109298583E-2"/>
                  <c:y val="-8.9120353501739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4F87-49DB-BC0A-B3F710C9ED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#,##0.0</c:formatCode>
                <c:ptCount val="12"/>
                <c:pt idx="0">
                  <c:v>77.400000000000006</c:v>
                </c:pt>
                <c:pt idx="1">
                  <c:v>92.1</c:v>
                </c:pt>
                <c:pt idx="2" formatCode="0.0">
                  <c:v>107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4F87-49DB-BC0A-B3F710C9ED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694376"/>
        <c:axId val="251694784"/>
      </c:lineChart>
      <c:catAx>
        <c:axId val="251694376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 b="1"/>
            </a:pPr>
            <a:endParaRPr lang="ru-RU"/>
          </a:p>
        </c:txPr>
        <c:crossAx val="251694784"/>
        <c:crosses val="autoZero"/>
        <c:auto val="1"/>
        <c:lblAlgn val="ctr"/>
        <c:lblOffset val="100"/>
        <c:noMultiLvlLbl val="0"/>
      </c:catAx>
      <c:valAx>
        <c:axId val="251694784"/>
        <c:scaling>
          <c:orientation val="minMax"/>
          <c:max val="120"/>
          <c:min val="6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 b="1"/>
            </a:pPr>
            <a:endParaRPr lang="ru-RU"/>
          </a:p>
        </c:txPr>
        <c:crossAx val="251694376"/>
        <c:crosses val="autoZero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3253174333020788"/>
          <c:y val="0.8842822680725102"/>
          <c:w val="0.33633351149118118"/>
          <c:h val="0.10959167866886572"/>
        </c:manualLayout>
      </c:layout>
      <c:overlay val="0"/>
      <c:txPr>
        <a:bodyPr/>
        <a:lstStyle/>
        <a:p>
          <a:pPr>
            <a:defRPr sz="1000" b="1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Динамика темпов прироста потребительских цен, </a:t>
            </a:r>
            <a:br>
              <a:rPr lang="ru-RU" sz="1200" b="1"/>
            </a:br>
            <a:r>
              <a:rPr lang="ru-RU" sz="1200" b="1"/>
              <a:t>% к предыдущему месяцу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ln w="25400" cap="rnd">
              <a:solidFill>
                <a:srgbClr val="4472C4"/>
              </a:solidFill>
              <a:prstDash val="dash"/>
              <a:round/>
            </a:ln>
            <a:effectLst/>
          </c:spPr>
          <c:marker>
            <c:symbol val="diamond"/>
            <c:size val="8"/>
            <c:spPr>
              <a:solidFill>
                <a:schemeClr val="accent1"/>
              </a:solidFill>
              <a:ln w="9525">
                <a:solidFill>
                  <a:srgbClr val="0070C0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0.89000000000000024</c:v>
                </c:pt>
                <c:pt idx="1">
                  <c:v>0.2</c:v>
                </c:pt>
                <c:pt idx="2">
                  <c:v>0.4300000000000001</c:v>
                </c:pt>
                <c:pt idx="3">
                  <c:v>0.55000000000000004</c:v>
                </c:pt>
                <c:pt idx="4">
                  <c:v>1.1100000000000001</c:v>
                </c:pt>
                <c:pt idx="5">
                  <c:v>-0.25</c:v>
                </c:pt>
                <c:pt idx="6">
                  <c:v>-0.26</c:v>
                </c:pt>
                <c:pt idx="7">
                  <c:v>-0.1</c:v>
                </c:pt>
                <c:pt idx="8">
                  <c:v>0.89000000000000024</c:v>
                </c:pt>
                <c:pt idx="9">
                  <c:v>0.61000000000000021</c:v>
                </c:pt>
                <c:pt idx="10">
                  <c:v>0.18000000000000005</c:v>
                </c:pt>
                <c:pt idx="11">
                  <c:v>0.3600000000000001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9F9-4674-A272-B08105604A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ln w="12700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ysClr val="windowText" lastClr="000000"/>
              </a:solidFill>
              <a:ln w="9525">
                <a:solidFill>
                  <a:sysClr val="windowText" lastClr="000000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0.8500000000000002</c:v>
                </c:pt>
                <c:pt idx="1">
                  <c:v>1.0000000000000004E-2</c:v>
                </c:pt>
                <c:pt idx="2">
                  <c:v>0.35000000000000009</c:v>
                </c:pt>
                <c:pt idx="3">
                  <c:v>1.03</c:v>
                </c:pt>
                <c:pt idx="4">
                  <c:v>-0.27</c:v>
                </c:pt>
                <c:pt idx="5">
                  <c:v>5.0000000000000017E-2</c:v>
                </c:pt>
                <c:pt idx="6">
                  <c:v>-0.84000000000000019</c:v>
                </c:pt>
                <c:pt idx="7">
                  <c:v>-1.02</c:v>
                </c:pt>
                <c:pt idx="8">
                  <c:v>0.3000000000000001</c:v>
                </c:pt>
                <c:pt idx="9">
                  <c:v>0.6000000000000002</c:v>
                </c:pt>
                <c:pt idx="10">
                  <c:v>4.0000000000000015E-2</c:v>
                </c:pt>
                <c:pt idx="11">
                  <c:v>0.3600000000000001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9F9-4674-A272-B08105604A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square"/>
            <c:size val="7"/>
            <c:spPr>
              <a:solidFill>
                <a:srgbClr val="00B050"/>
              </a:solidFill>
              <a:ln w="9525">
                <a:noFill/>
              </a:ln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marker>
          <c:dPt>
            <c:idx val="2"/>
            <c:marker>
              <c:spPr>
                <a:solidFill>
                  <a:srgbClr val="00B050"/>
                </a:solidFill>
                <a:ln w="19050">
                  <a:noFill/>
                </a:ln>
                <a:scene3d>
                  <a:camera prst="orthographicFront"/>
                  <a:lightRig rig="threePt" dir="t"/>
                </a:scene3d>
                <a:sp3d>
                  <a:bevelT prst="angle"/>
                </a:sp3d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11E1-41E3-9862-45E8C3090928}"/>
              </c:ext>
            </c:extLst>
          </c:dPt>
          <c:dLbls>
            <c:dLbl>
              <c:idx val="0"/>
              <c:layout>
                <c:manualLayout>
                  <c:x val="-1.86967301797199E-2"/>
                  <c:y val="-4.4215015328253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8ED-477D-A837-58ECED91B17D}"/>
                </c:ext>
              </c:extLst>
            </c:dLbl>
            <c:dLbl>
              <c:idx val="1"/>
              <c:layout>
                <c:manualLayout>
                  <c:x val="-2.1517851776161567E-2"/>
                  <c:y val="-4.7901110503351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8ED-477D-A837-58ECED91B17D}"/>
                </c:ext>
              </c:extLst>
            </c:dLbl>
            <c:dLbl>
              <c:idx val="2"/>
              <c:layout>
                <c:manualLayout>
                  <c:x val="-3.1585321872933857E-2"/>
                  <c:y val="-5.2504038772213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1E1-41E3-9862-45E8C309092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1.04</c:v>
                </c:pt>
                <c:pt idx="1">
                  <c:v>0.56000000000000005</c:v>
                </c:pt>
                <c:pt idx="2">
                  <c:v>0.45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ED-477D-A837-58ECED91B1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695568"/>
        <c:axId val="251695960"/>
      </c:lineChart>
      <c:catAx>
        <c:axId val="25169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1695960"/>
        <c:crosses val="autoZero"/>
        <c:auto val="1"/>
        <c:lblAlgn val="ctr"/>
        <c:lblOffset val="100"/>
        <c:noMultiLvlLbl val="0"/>
      </c:catAx>
      <c:valAx>
        <c:axId val="25169596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169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0.08711</cdr:x>
      <cdr:y>0.6799</cdr:y>
    </cdr:from>
    <cdr:to>
      <cdr:x>0.08814</cdr:x>
      <cdr:y>0.92039</cdr:y>
    </cdr:to>
    <cdr:cxnSp macro="">
      <cdr:nvCxnSpPr>
        <cdr:cNvPr id="6" name="Прямая соединительная линия 5"/>
        <cdr:cNvCxnSpPr/>
      </cdr:nvCxnSpPr>
      <cdr:spPr>
        <a:xfrm xmlns:a="http://schemas.openxmlformats.org/drawingml/2006/main">
          <a:off x="561216" y="2160424"/>
          <a:ext cx="6636" cy="764166"/>
        </a:xfrm>
        <a:prstGeom xmlns:a="http://schemas.openxmlformats.org/drawingml/2006/main" prst="line">
          <a:avLst/>
        </a:prstGeom>
        <a:ln xmlns:a="http://schemas.openxmlformats.org/drawingml/2006/main" w="9525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0.44971</cdr:x>
      <cdr:y>0.6845</cdr:y>
    </cdr:from>
    <cdr:to>
      <cdr:x>0.45074</cdr:x>
      <cdr:y>0.92499</cdr:y>
    </cdr:to>
    <cdr:cxnSp macro="">
      <cdr:nvCxnSpPr>
        <cdr:cNvPr id="15" name="Прямая соединительная линия 14"/>
        <cdr:cNvCxnSpPr/>
      </cdr:nvCxnSpPr>
      <cdr:spPr>
        <a:xfrm xmlns:a="http://schemas.openxmlformats.org/drawingml/2006/main">
          <a:off x="2897374" y="2082879"/>
          <a:ext cx="6636" cy="731792"/>
        </a:xfrm>
        <a:prstGeom xmlns:a="http://schemas.openxmlformats.org/drawingml/2006/main" prst="line">
          <a:avLst/>
        </a:prstGeom>
        <a:ln xmlns:a="http://schemas.openxmlformats.org/drawingml/2006/main" w="9525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0.80828</cdr:x>
      <cdr:y>0.68917</cdr:y>
    </cdr:from>
    <cdr:to>
      <cdr:x>0.80931</cdr:x>
      <cdr:y>0.92966</cdr:y>
    </cdr:to>
    <cdr:cxnSp macro="">
      <cdr:nvCxnSpPr>
        <cdr:cNvPr id="17" name="Прямая соединительная линия 16"/>
        <cdr:cNvCxnSpPr/>
      </cdr:nvCxnSpPr>
      <cdr:spPr>
        <a:xfrm xmlns:a="http://schemas.openxmlformats.org/drawingml/2006/main">
          <a:off x="5207517" y="2097089"/>
          <a:ext cx="6636" cy="731792"/>
        </a:xfrm>
        <a:prstGeom xmlns:a="http://schemas.openxmlformats.org/drawingml/2006/main" prst="line">
          <a:avLst/>
        </a:prstGeom>
        <a:ln xmlns:a="http://schemas.openxmlformats.org/drawingml/2006/main" w="9525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0.71303</cdr:x>
      <cdr:y>0.84835</cdr:y>
    </cdr:from>
    <cdr:to>
      <cdr:x>0.8022</cdr:x>
      <cdr:y>0.92029</cdr:y>
    </cdr:to>
    <cdr:sp macro="" textlink="">
      <cdr:nvSpPr>
        <cdr:cNvPr id="18" name="Надпись 1"/>
        <cdr:cNvSpPr txBox="1"/>
      </cdr:nvSpPr>
      <cdr:spPr>
        <a:xfrm xmlns:a="http://schemas.openxmlformats.org/drawingml/2006/main">
          <a:off x="4524095" y="2715069"/>
          <a:ext cx="565777" cy="230237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0.83122</cdr:x>
      <cdr:y>0.8785</cdr:y>
    </cdr:from>
    <cdr:to>
      <cdr:x>0.89948</cdr:x>
      <cdr:y>0.95044</cdr:y>
    </cdr:to>
    <cdr:sp macro="" textlink="">
      <cdr:nvSpPr>
        <cdr:cNvPr id="21" name="Надпись 20"/>
        <cdr:cNvSpPr txBox="1"/>
      </cdr:nvSpPr>
      <cdr:spPr>
        <a:xfrm xmlns:a="http://schemas.openxmlformats.org/drawingml/2006/main">
          <a:off x="5355288" y="2604597"/>
          <a:ext cx="439780" cy="2132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2021</a:t>
          </a:r>
        </a:p>
      </cdr:txBody>
    </cdr:sp>
  </cdr:relSizeAnchor>
  <cdr:relSizeAnchor xmlns:cdr="http://schemas.openxmlformats.org/drawingml/2006/chartDrawing">
    <cdr:from>
      <cdr:x>0.64098</cdr:x>
      <cdr:y>0.88364</cdr:y>
    </cdr:from>
    <cdr:to>
      <cdr:x>0.70924</cdr:x>
      <cdr:y>0.95558</cdr:y>
    </cdr:to>
    <cdr:sp macro="" textlink="">
      <cdr:nvSpPr>
        <cdr:cNvPr id="23" name="Надпись 22"/>
        <cdr:cNvSpPr txBox="1"/>
      </cdr:nvSpPr>
      <cdr:spPr>
        <a:xfrm xmlns:a="http://schemas.openxmlformats.org/drawingml/2006/main">
          <a:off x="4129676" y="2619837"/>
          <a:ext cx="439780" cy="2132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202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0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0.25063</cdr:x>
      <cdr:y>0.88364</cdr:y>
    </cdr:from>
    <cdr:to>
      <cdr:x>0.31889</cdr:x>
      <cdr:y>0.95558</cdr:y>
    </cdr:to>
    <cdr:sp macro="" textlink="">
      <cdr:nvSpPr>
        <cdr:cNvPr id="24" name="Надпись 23"/>
        <cdr:cNvSpPr txBox="1"/>
      </cdr:nvSpPr>
      <cdr:spPr>
        <a:xfrm xmlns:a="http://schemas.openxmlformats.org/drawingml/2006/main">
          <a:off x="1614734" y="2619837"/>
          <a:ext cx="439780" cy="2132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20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19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0.90017</cdr:x>
      <cdr:y>0.68917</cdr:y>
    </cdr:from>
    <cdr:to>
      <cdr:x>0.9012</cdr:x>
      <cdr:y>0.92966</cdr:y>
    </cdr:to>
    <cdr:cxnSp macro="">
      <cdr:nvCxnSpPr>
        <cdr:cNvPr id="9" name="Прямая соединительная линия 8"/>
        <cdr:cNvCxnSpPr/>
      </cdr:nvCxnSpPr>
      <cdr:spPr>
        <a:xfrm xmlns:a="http://schemas.openxmlformats.org/drawingml/2006/main">
          <a:off x="5799530" y="2043262"/>
          <a:ext cx="6636" cy="713008"/>
        </a:xfrm>
        <a:prstGeom xmlns:a="http://schemas.openxmlformats.org/drawingml/2006/main" prst="line">
          <a:avLst/>
        </a:prstGeom>
        <a:ln xmlns:a="http://schemas.openxmlformats.org/drawingml/2006/main" w="9525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191D-306F-4CC0-BE5B-486F42CD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12</Pages>
  <Words>4345</Words>
  <Characters>24768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 Алексей</dc:creator>
  <cp:keywords/>
  <dc:description/>
  <cp:lastModifiedBy>Коваленко Валентина Анатольевна</cp:lastModifiedBy>
  <cp:revision>36</cp:revision>
  <cp:lastPrinted>2021-05-12T13:18:00Z</cp:lastPrinted>
  <dcterms:created xsi:type="dcterms:W3CDTF">2021-05-12T05:58:00Z</dcterms:created>
  <dcterms:modified xsi:type="dcterms:W3CDTF">2021-05-13T09:37:00Z</dcterms:modified>
</cp:coreProperties>
</file>