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/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jc w:val="right"/>
        <w:spacing w:after="0"/>
        <w:rPr/>
      </w:pPr>
      <w:r>
        <w:drawing>
          <wp:inline xmlns:wp="http://schemas.openxmlformats.org/drawingml/2006/wordprocessingDrawing">
            <wp:extent cy="952500" cx="952500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y="952500" cx="9525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right"/>
        <w:pStyle w:val="NormalWeb"/>
        <w:rPr/>
      </w:pPr>
      <w:r>
        <w:fldChar w:fldCharType="begin" w:fldLock="false" w:dirty="false"/>
      </w:r>
      <w:r>
        <w:rPr/>
        <w:instrText xml:space="preserve"> HYPERLINK "https://pravopmr.ru/View.aspx?id=95UbSBcQ%2bQV2FGYy0VkB6A%3d%3d" </w:instrText>
      </w:r>
      <w:r>
        <w:fldChar w:fldCharType="separate"/>
      </w:r>
      <w:r>
        <w:rPr>
          <w:rStyle w:val="Hyperlink"/>
        </w:rPr>
        <w:t>ссылка на документ</w:t>
      </w:r>
      <w:r>
        <w:fldChar w:fldCharType="end"/>
      </w:r>
    </w:p>
    <w:p>
      <w:pPr>
        <w:jc w:val="center"/>
        <w:pStyle w:val="NormalWeb"/>
        <w:rPr>
          <w:i w:val="true"/>
          <w:sz w:val="24"/>
        </w:rPr>
      </w:pPr>
      <w:r>
        <w:rPr>
          <w:i w:val="true"/>
          <w:sz w:val="24"/>
        </w:rPr>
        <w:t>(редакция № 2 на 19 апреля 2022 г.)</w:t>
      </w:r>
    </w:p>
    <w:p>
      <w:pPr>
        <w:pStyle w:val="head"/>
        <w:rPr/>
      </w:pPr>
      <w:r>
        <w:rPr>
          <w:b w:val="true"/>
        </w:rPr>
        <w:t>ПРАВИТЕЛЬСТВО ПРИДНЕСТРОВСКОЙ МОЛДАВСКОЙ РЕСПУБЛИКИ</w:t>
      </w:r>
    </w:p>
    <w:p>
      <w:pPr>
        <w:pStyle w:val="head"/>
        <w:rPr/>
      </w:pPr>
      <w:r>
        <w:rPr>
          <w:b w:val="true"/>
        </w:rPr>
        <w:t>ПОСТАНОВЛЕНИЕ</w:t>
      </w:r>
    </w:p>
    <w:p>
      <w:pPr>
        <w:pStyle w:val="head"/>
        <w:rPr/>
      </w:pPr>
      <w:r>
        <w:rPr>
          <w:b w:val="true"/>
        </w:rPr>
        <w:t>от 30 марта 2022 г.</w:t>
      </w:r>
      <w:r>
        <w:br/>
      </w:r>
      <w:r>
        <w:rPr>
          <w:b w:val="true"/>
        </w:rPr>
        <w:t>№ 103</w:t>
      </w:r>
    </w:p>
    <w:p>
      <w:pPr>
        <w:pStyle w:val="head"/>
        <w:rPr/>
      </w:pPr>
      <w:r>
        <w:rPr>
          <w:b w:val="true"/>
        </w:rPr>
        <w:t>Об утверждении состава и Положения о порядке деятельности Специальной комиссии при Правительстве Приднестровской Молдавской Республики по регулированию вывоза из Приднестровской Молдавской Республики в соответствии с таможенной процедурой экспорта отдельных категорий продовольственных товаров</w:t>
      </w:r>
    </w:p>
    <w:p>
      <w:pPr>
        <w:pStyle w:val="head"/>
        <w:rPr/>
      </w:pPr>
      <w:r>
        <w:rPr/>
        <w:t>САЗ (04.04.2022) № 22-12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 соответствии со с</w:t>
      </w:r>
      <w:r>
        <w:fldChar w:fldCharType="begin" w:fldLock="false" w:dirty="false"/>
      </w:r>
      <w:r>
        <w:rPr/>
        <w:instrText xml:space="preserve"> HYPERLINK "https://pravopmr.ru/View.aspx?id=ail%2b65fV%2bSK9WIjXFL9V4Q%3d%3d#p735" \o "(ВСТУПИЛ В СИЛУ 17.01.1996) Конституция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татьей 76-6 Конституции Приднестровской Молдавской Республики</w:t>
      </w:r>
      <w:r>
        <w:fldChar w:fldCharType="end"/>
      </w:r>
      <w:r>
        <w:rPr>
          <w:sz w:val="24"/>
        </w:rPr>
        <w:t xml:space="preserve">, </w:t>
      </w:r>
      <w:r>
        <w:fldChar w:fldCharType="begin" w:fldLock="false" w:dirty="false"/>
      </w:r>
      <w:r>
        <w:rPr/>
        <w:instrText xml:space="preserve"> HYPERLINK "https://pravopmr.ru/View.aspx?id=0UYXIXZZC85BBKRjhEHaWg%3d%3d" \o "(ВСТУПИЛ В СИЛУ 30.12.2011) О Правительстве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Конституционным законом Приднестровской Молдавской Республики от 30 ноября 2011 года № 224-КЗ-V "О Правительстве Приднестровской Молдавской Республики"</w:t>
      </w:r>
      <w:r>
        <w:fldChar w:fldCharType="end"/>
      </w:r>
      <w:r>
        <w:rPr>
          <w:sz w:val="24"/>
        </w:rPr>
        <w:t xml:space="preserve"> (САЗ 11-48) Правительство Приднестровской Молдавской Республики постановляет: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1. Создать Специальную комиссию при Правительстве Приднестровской Молдавской Республики по регулированию вывоза из Приднестровской Молдавской Республики в соответствии с таможенной процедурой экспорта отдельных категорий продовольственных товаров (далее - Специальная комиссия) в следующем составе: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председатель Специальной комиссии - заместитель Председателя Правительства Приднестровской Молдавской Республики - министр экономического развития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заместитель председателя Специальной комиссии - министр сельского хозяйства и природных ресурсов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члены Специальной комиссии: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1) депутат Верховного Совета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2) заместитель министра экономического развития - начальник Государственной службы экономической активности Министерства экономического развития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3) представитель Администрации Президента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4) представитель Министерства финансов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5) представитель Министерства внутренних дел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6) представитель Государственного таможенного комитета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2. Обязанность по организационно-техническому обеспечению деятельности Специальной комиссии возложить на Министерство экономического развития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3. Утвердить Положение о порядке деятельности Специальной комиссии согласно Приложению к настоящему Постановлению.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4. Настоящее Постановление вступает в силу со дня вступления в силу </w:t>
      </w:r>
      <w:r>
        <w:fldChar w:fldCharType="begin" w:fldLock="false" w:dirty="false"/>
      </w:r>
      <w:r>
        <w:rPr/>
        <w:instrText xml:space="preserve"> HYPERLINK "https://pravopmr.ru/View.aspx?id=8YMyJgwS0NGstT4Yipk2ZA%3d%3d" \o "(ВСТУПИЛ В СИЛУ 31.03.2022) О запрете вывоза из Приднестровской Молдавской Республики в соответствии с таможенной процедурой экспорта отдельных категорий продовольственных товаров" </w:instrText>
      </w:r>
      <w:r>
        <w:fldChar w:fldCharType="separate"/>
      </w:r>
      <w:r>
        <w:rPr>
          <w:sz w:val="24"/>
          <w:color w:val="0066CC"/>
          <w:rStyle w:val="Hyperlink"/>
        </w:rPr>
        <w:t>Указа Президента Приднестровской Молдавской Республики от 30 марта 2022 года № 113 "О запрете вывоза из Приднестровской Молдавской Республики в соответствии с таможенной процедурой экспорта отдельных категорий продовольственных товаров"</w:t>
      </w:r>
      <w:r>
        <w:fldChar w:fldCharType="end"/>
      </w:r>
      <w:r>
        <w:rPr>
          <w:sz w:val="24"/>
        </w:rPr>
        <w:t xml:space="preserve"> (САЗ 22-12).</w:t>
      </w:r>
    </w:p>
    <w:p>
      <w:pPr>
        <w:jc w:val="left"/>
        <w:spacing w:lineRule="auto"/>
        <w:pStyle w:val="NormalWeb"/>
        <w:rPr>
          <w:sz w:val="24"/>
        </w:rPr>
      </w:pPr>
      <w:r>
        <w:rPr>
          <w:b w:val="true"/>
          <w:sz w:val="24"/>
        </w:rPr>
        <w:t>ПРЕДСЕДАТЕЛЬ ПРАВИТЕЛЬСТВА А.МАРТЫНОВ</w:t>
      </w:r>
    </w:p>
    <w:p>
      <w:pPr>
        <w:jc w:val="left"/>
        <w:spacing w:lineRule="auto"/>
        <w:pStyle w:val="NormalWeb"/>
        <w:rPr>
          <w:sz w:val="24"/>
        </w:rPr>
      </w:pPr>
      <w:r>
        <w:rPr>
          <w:sz w:val="24"/>
        </w:rPr>
        <w:t>г. Тирасполь</w:t>
      </w:r>
      <w:r>
        <w:br/>
      </w:r>
      <w:r>
        <w:rPr>
          <w:sz w:val="24"/>
        </w:rPr>
        <w:t>30 марта 2022 г.</w:t>
      </w:r>
      <w:r>
        <w:br/>
      </w:r>
      <w:r>
        <w:rPr>
          <w:sz w:val="24"/>
        </w:rPr>
        <w:t>№ 103</w:t>
      </w:r>
    </w:p>
    <w:p>
      <w:pPr>
        <w:jc w:val="right"/>
        <w:spacing w:lineRule="auto"/>
        <w:pStyle w:val="NormalWeb"/>
        <w:rPr>
          <w:sz w:val="24"/>
        </w:rPr>
      </w:pPr>
      <w:r>
        <w:rPr>
          <w:sz w:val="24"/>
        </w:rPr>
        <w:t>ПРИЛОЖЕНИЕ</w:t>
      </w:r>
      <w:r>
        <w:br/>
      </w:r>
      <w:r>
        <w:rPr>
          <w:sz w:val="24"/>
        </w:rPr>
        <w:t>к Постановлению Правительства</w:t>
      </w:r>
      <w:r>
        <w:br/>
      </w:r>
      <w:r>
        <w:rPr>
          <w:sz w:val="24"/>
        </w:rPr>
        <w:t>Приднестровской Молдавской</w:t>
      </w:r>
      <w:r>
        <w:br/>
      </w:r>
      <w:r>
        <w:rPr>
          <w:sz w:val="24"/>
        </w:rPr>
        <w:t>Республики</w:t>
      </w:r>
      <w:r>
        <w:br/>
      </w:r>
      <w:r>
        <w:rPr>
          <w:sz w:val="24"/>
        </w:rPr>
        <w:t>от 30 марта 2022 года № 103</w:t>
      </w:r>
    </w:p>
    <w:p>
      <w:pPr>
        <w:jc w:val="center"/>
        <w:spacing w:lineRule="auto"/>
        <w:ind w:firstLine="480"/>
        <w:pStyle w:val="Heading1"/>
        <w:rPr/>
      </w:pPr>
      <w:r>
        <w:rPr>
          <w:b w:val="true"/>
        </w:rPr>
        <w:t>ПОЛОЖЕНИЕ</w:t>
      </w:r>
      <w:r>
        <w:br/>
      </w:r>
      <w:r>
        <w:rPr>
          <w:b w:val="true"/>
        </w:rPr>
        <w:t>о порядке деятельности Специальной комиссии при Правительстве Приднестровской Молдавской Республики по регулированию вывоза из Приднестровской Молдавской Республики в соответствии с таможенной процедурой экспорта отдельных категорий продовольственных товаров</w:t>
      </w:r>
    </w:p>
    <w:p>
      <w:pPr>
        <w:jc w:val="center"/>
        <w:spacing w:lineRule="auto"/>
        <w:ind w:firstLine="480"/>
        <w:pStyle w:val="Heading2"/>
        <w:rPr/>
      </w:pPr>
      <w:r>
        <w:rPr>
          <w:b w:val="true"/>
        </w:rPr>
        <w:t>1. Общие положения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1. Настоящее Положение предусматривает порядок деятельности Специальной комиссии при Правительстве Приднестровской Молдавской Республики по регулированию вывоза из Приднестровской Молдавской Республики в соответствии с таможенной процедурой экспорта отдельных категорий продовольственных товаров (далее - Специальная комиссия).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2. Специальная комиссия в своей деятельности руководствуется Конституцией Приднестровской Молдавской Республики, Гражданским кодексом Приднестровской Молдавской Республики, Таможенным кодексом Приднестровской Молдавской Республики, нормативными правовыми актами Президента Приднестровской Молдавской Республики, устанавливающими запрет экспорта с территории Приднестровской Молдавской Республики продовольственных товаров, иными правовыми актами Приднестровской Молдавской Республики и настоящим Положением.</w:t>
      </w:r>
    </w:p>
    <w:p>
      <w:pPr>
        <w:jc w:val="center"/>
        <w:spacing w:lineRule="auto"/>
        <w:ind w:firstLine="480"/>
        <w:pStyle w:val="Heading2"/>
        <w:rPr/>
      </w:pPr>
      <w:r>
        <w:rPr>
          <w:b w:val="true"/>
        </w:rPr>
        <w:t>2. Правовое положение и порядок работы Специальной комиссии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3. Специальная комиссия рассматривает письменные обращения заявителей о возможности вывоза из Приднестровской Молдавской Республики в соответствии с таможенной процедурой экспорта продовольственных товаров, классифицируемых в товарных группах Товарной номенклатуры внешнеэкономической деятельности: 01-04, 07-12, 15-21, 22 (за исключением товарных позиций 2203-2208) (далее - товары).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Заявителями могут выступать юридические лица независимо от организационно-правовой формы и формы собственности и индивидуальные предприниматели.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4. Письменное обращение заявителя должно содержать сведения о заявителе: наименование, юридический адрес, контактный номер телефона, почтовый адрес, по которому должен быть направлен ответ, фамилия, имя, отчество (при наличии), должность ответственного представителя юридического лица.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К письменному обращению заявителя должны прилагаться следующие документы: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письменное обоснование целесообразности экспорта товаров в условиях действия ограничений на территории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копия внешнеэкономического договора (дополнительного соглашения), спецификация на конкретную партию товара, экспорт которой планируется осуществить, приложения и (или) дополнения к данному договору;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  <w:color w:val="FF0000"/>
        </w:rPr>
        <w:t>Исключен(-а)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5. Заседание Специальной комиссии проводится в сроки, установленные председателем Специальной комиссии.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6. Заседание Специальной комиссии является правомочным при участии не менее 2/3 (двух третей) от общего количества ее членов.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7. В голосовании принимают участие все члены Специальной комиссии, присутствующие на заседании.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8. Все решения Специальной комиссии принимаются путем проведения (по решению Специальной комиссии) открытого либо закрытого голосования - простым большинством голосов. В случае равенства голосов принимается решение, за которое проголосовал председатель Специальной комиссии.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При этом каждый член Специальной комиссии обязан выразить свое мнение путем голосования "за" или "против".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9. Все решения, принятые на заседании Специальной комиссии, оформляются протоколом, который подписывается председателем и всеми членами Специальной комиссии.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Специальной комиссией проводится голосование по всему протоколу в целом. В случае разногласия членов Специальной комиссии по отдельным пунктам протокола голосование проводится по каждому решению Специальной комиссии в отдельности. При этом член Специальной комиссии, проголосовавший "против", обязан подписать протокол и вправе отразить свое мнение в письменном виде как приложение к протоколу.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10. Члены Специальной комиссии обязаны присутствовать на всех заседаниях Специальной комиссии.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11. В случае, когда присутствие какого-либо члена Специальной комиссии на заседании невозможно по уважительным причинам, при представлении доверенности (либо письма о делегировании) производится его замена с внесением изменения в протокол Специальной комиссии.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12. Специальная комиссия рассматривает поступившее обращение от заявителя в течение 30 (тридцати) рабочих дней cо дня поступления.</w:t>
      </w:r>
    </w:p>
    <w:p>
      <w:pPr>
        <w:jc w:val="center"/>
        <w:spacing w:lineRule="auto"/>
        <w:ind w:firstLine="480"/>
        <w:pStyle w:val="Heading2"/>
        <w:rPr/>
      </w:pPr>
      <w:r>
        <w:rPr>
          <w:b w:val="true"/>
        </w:rPr>
        <w:t>3. Полномочия и права Специальной комиссии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13. Специальная комиссия обязана осуществлять все необходимые действия, связанные с рассмотрением вопросов о возможности и объемах экспорта товаров из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14. В случае недостаточности либо отсутствия информации, необходимой для разрешения возникших вопросов о возможности и объемах экспорта товаров из Приднестровской Молдавской Республики или иных вопросов, возникающих в процессе работы Специальной комиссии, Специальная комиссия вправе направлять обращения и запрашивать в соответствующих органах государственной власти Приднестровской Молдавской Республики и организациях необходимую информацию, а также получать разъяснения и дополнительные сведения, необходимые для осуществления своей деятельности.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15. Специальная комиссия полномочна привлекать к своей работе иных представителей исполнительных органов государственной власти Приднестровской Молдавской Республики, экспертов, независимых оценщиков, консультационных, аудиторских и других организаций на безвозмездной основе.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16. В целях рассмотрения вопроса о возможности экспорта из Приднестровской Молдавской Республики продовольственных товаров Специальная комиссия определяет объем допустимого экспорта товаров в натуральном выражении.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17. Объем допустимого к экспорту товара складывается при прогнозном расчете нормы потребления данного товара в его помесячном исчислении с учетом информации об остатках, а также прогноза производства в выбранном горизонте планирования, учитывающем сезонность производства либо иные воздействующие факторы.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18. Решение о возможности и объемах экспорта заявленного товара из Приднестровской Молдавской Республики может быть принято при выполнении следующих критериев: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объем товара, заявленного к экспорту, не превышает установленного объема допустимого экспорта данной категории товара;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совокупный объем производства и импорта рассматриваемой категории товаров на территории Приднестровской Молдавской Республики в текущем периоде осуществляется в размере, достаточном для покрытия потребности внутреннего рынка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несущественное отклонение ежемесячных показателей внешнеторгового оборота (экспорт, импорт) по рассматриваемой категории товаров за текущий финансовый год в сравнении с предшествующим аналогичным периодом, что подтверждает сохранение конъюнктуры рынка.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  <w:color w:val="FF0000"/>
        </w:rPr>
        <w:t>Исключен(-а)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20. Решение о невозможности экспорта из Приднестровской Молдавской Республики заявленных товаров может быть принято в случае: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отсутствия объема допустимого экспорта по товару, заявленному к экспорту, определенного Специальной комиссией в соответствии с настоящим Положением;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с заявлением обратилось ненадлежащее лицо;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документы, прилагаемые к заявлению и перечисленные в пункте 4 настоящего Положения, а также запрашиваемые Специальной комиссией в соответствии с пунктом 14 настоящего Положения, представлены не в полном объеме;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не выполняются критерии, указанные в пункте 18 настоящего Положения.</w:t>
      </w:r>
    </w:p>
    <w:p>
      <w:pPr>
        <w:jc w:val="center"/>
        <w:spacing w:lineRule="auto"/>
        <w:ind w:firstLine="480"/>
        <w:pStyle w:val="Heading2"/>
        <w:rPr/>
      </w:pPr>
      <w:r>
        <w:rPr>
          <w:b w:val="true"/>
        </w:rPr>
        <w:t>4. Заключительные Положения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21. Итогом работы Специальной комиссии является принятие соответствующего решения, отраженного в протоколе заседания Специальной комиссии: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о возможности и объемах экспорта товаров из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о невозможности экспорта товаров из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22. В течение 2 (двух) рабочих дней со дня проведения заседания Специальной комиссии заявителю выдается выписка из протокола заседания Специальной комиссии с отражением соответствующего решения на обращение заявителя.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Выписка из протокола заседания Специальной комиссии подписывается председателем Специальной комиссии, а в случае его отсутствия - заместителем председателя Специальной комиссии.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23. Копия протокола заседания Специальной комиссии в течение 2 (двух) рабочих дней со дня проведения заседания Специальной комиссии направляется в Государственный таможенный комитет Приднестровской Молдавской Республики в целях осуществления таможенного оформления экспорта товаров из Приднестровской Молдавской Республики.</w:t>
      </w:r>
    </w:p>
    <w:sectPr>
      <w:headerReference r:id="rId2" w:type="default"/>
      <w:footerReference r:id="rId3" w:type="default"/>
    </w:sectPr>
  </w:body>
</w:document>
</file>

<file path=word/footer1.xml><?xml version="1.0" encoding="utf-8"?>
<w:ftr xmlns:w="http://schemas.openxmlformats.org/wordprocessingml/2006/main">
  <w:p>
    <w:pPr>
      <w:jc w:val="right"/>
      <w:rPr/>
    </w:pPr>
    <w:r>
      <w:rPr/>
      <w:t>для внутреннего пользования</w:t>
    </w:r>
  </w:p>
</w:ftr>
</file>

<file path=word/header1.xml><?xml version="1.0" encoding="utf-8"?>
<w:hdr xmlns:r="http://schemas.openxmlformats.org/officeDocument/2006/relationships" xmlns:w="http://schemas.openxmlformats.org/wordprocessingml/2006/main">
  <w:p>
    <w:pPr>
      <w:rPr/>
    </w:pPr>
    <w:r>
      <w:rPr>
        <w:b w:val="true"/>
      </w:rPr>
      <w:t xml:space="preserve">© Законы Приднестровья, </w:t>
    </w:r>
    <w:r>
      <w:rPr/>
      <w:t>ООО "АйСиТи"</w:t>
    </w:r>
  </w:p>
</w:hdr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</w:rPr>
    </w:rPrDefault>
    <w:pPrDefault>
      <w:pPr/>
    </w:pPrDefault>
  </w:docDefaults>
  <w:style w:styleId="Normal" w:type="paragraph" w:default="true" w:customStyle="false">
    <w:name w:val="Normal"/>
    <w:qFormat w:val="true"/>
    <w:uiPriority w:val="0"/>
    <w:rPr>
      <w:sz w:val="24"/>
    </w:rPr>
    <w:pPr/>
  </w:style>
  <w:style w:styleId="TableNormal" w:type="table" w:default="true" w:customStyle="false">
    <w:name w:val="Table Normal"/>
    <w:uiPriority w:val="59"/>
    <w:rPr/>
    <w:pPr/>
    <w:tblPr>
      <w:tblCellMar>
        <w:left w:w="108" w:type="dxa"/>
        <w:top w:w="0" w:type="dxa"/>
        <w:right w:w="108" w:type="dxa"/>
        <w:bottom w:w="0" w:type="dxa"/>
      </w:tblCellMar>
    </w:tblPr>
    <w:trPr/>
    <w:tcPr/>
  </w:style>
  <w:style w:styleId="head" w:type="paragraph" w:default="false" w:customStyle="false">
    <w:name w:val="head"/>
    <w:basedOn w:val="Normal"/>
    <w:rPr>
      <w:sz w:val="28"/>
    </w:rPr>
    <w:pPr>
      <w:jc w:val="center"/>
      <w:spacing w:after="100" w:before="100" w:afterAutospacing="true" w:beforeAutospacing="true"/>
    </w:pPr>
  </w:style>
  <w:style w:styleId="nolink" w:type="paragraph" w:default="false" w:customStyle="false">
    <w:name w:val="nolink"/>
    <w:basedOn w:val="Normal"/>
    <w:rPr>
      <w:color w:val="FF0000"/>
    </w:rPr>
    <w:pPr>
      <w:spacing w:after="100" w:before="100" w:afterAutospacing="true" w:beforeAutospacing="true"/>
    </w:pPr>
  </w:style>
  <w:style w:styleId="plink" w:type="paragraph" w:default="false" w:customStyle="false">
    <w:name w:val="plink"/>
    <w:basedOn w:val="Normal"/>
    <w:rPr/>
    <w:pPr>
      <w:spacing w:after="100" w:before="100" w:afterAutospacing="true" w:beforeAutospacing="true"/>
    </w:pPr>
  </w:style>
  <w:style w:styleId="repealed" w:type="paragraph" w:default="false" w:customStyle="false">
    <w:name w:val="repealed"/>
    <w:basedOn w:val="Normal"/>
    <w:rPr>
      <w:strike w:val="true"/>
      <w:color w:val="B65843"/>
    </w:rPr>
    <w:pPr>
      <w:spacing w:after="100" w:before="100" w:afterAutospacing="true" w:beforeAutospacing="true"/>
    </w:pPr>
  </w:style>
  <w:style w:styleId="textdoc" w:type="paragraph" w:default="false" w:customStyle="false">
    <w:name w:val="textdoc"/>
    <w:basedOn w:val="Normal"/>
    <w:rPr/>
    <w:pPr>
      <w:spacing w:after="100" w:before="100" w:afterAutospacing="true" w:beforeAutospacing="true"/>
    </w:pPr>
  </w:style>
  <w:style w:styleId="Heading1" w:type="paragraph" w:default="false" w:customStyle="false">
    <w:name w:val="Heading 1"/>
    <w:qFormat w:val="true"/>
    <w:basedOn w:val="Normal"/>
    <w:next w:val="Normal"/>
    <w:link w:val="Heading1Char"/>
    <w:uiPriority w:val="9"/>
    <w:rPr>
      <w:b w:val="true"/>
      <w:sz w:val="48"/>
      <w:rFonts w:ascii="Cambria" w:hAnsi="Cambria" w:cs="Cambria" w:asciiTheme="majorHAnsi" w:hAnsiTheme="majorHAnsi"/>
      <w:color w:val="4F81BD" w:themeColor="accent1"/>
    </w:rPr>
    <w:pPr>
      <w:spacing w:after="280" w:before="280" w:afterAutospacing="false" w:beforeAutospacing="false"/>
      <w:keepLines w:val="true"/>
      <w:outlineLvl w:val="0"/>
    </w:pPr>
  </w:style>
  <w:style w:styleId="Heading2" w:type="paragraph" w:default="false" w:customStyle="false">
    <w:name w:val="Heading 2"/>
    <w:qFormat w:val="true"/>
    <w:basedOn w:val="Normal"/>
    <w:next w:val="Normal"/>
    <w:link w:val="Heading2Char"/>
    <w:uiPriority w:val="9"/>
    <w:rPr>
      <w:b w:val="true"/>
      <w:sz w:val="36"/>
      <w:rFonts w:ascii="Cambria" w:hAnsi="Cambria" w:cs="Cambria" w:asciiTheme="majorHAnsi" w:hAnsiTheme="majorHAnsi"/>
      <w:color w:val="4F81BD" w:themeColor="accent1"/>
    </w:rPr>
    <w:pPr>
      <w:spacing w:after="280" w:before="280" w:afterAutospacing="false" w:beforeAutospacing="false"/>
      <w:keepLines w:val="true"/>
      <w:outlineLvl w:val="1"/>
    </w:pPr>
  </w:style>
  <w:style w:styleId="Hyperlink" w:type="character" w:default="false" w:customStyle="false">
    <w:name w:val="Hyperlink"/>
    <w:qFormat w:val="true"/>
    <w:uiPriority w:val="99"/>
    <w:rPr>
      <w:color w:val="0066CC"/>
      <w:u w:color="0000FF" w:val="single"/>
    </w:rPr>
    <w:pPr/>
  </w:style>
  <w:style w:styleId="NormalWeb" w:type="paragraph" w:default="false" w:customStyle="false">
    <w:name w:val="Normal (Web)"/>
    <w:basedOn w:val="Normal"/>
    <w:uiPriority w:val="99"/>
    <w:rPr/>
    <w:pPr>
      <w:spacing w:after="100" w:before="100" w:afterAutospacing="true" w:beforeAutospacing="true"/>
    </w:p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/word/theme/theme1.xml" /><Relationship Id="rId2" Type="http://schemas.openxmlformats.org/officeDocument/2006/relationships/header" Target="/word/header1.xml" /><Relationship Id="rId3" Type="http://schemas.openxmlformats.org/officeDocument/2006/relationships/footer" Target="/word/footer1.xml" /><Relationship Id="rId4" Type="http://schemas.openxmlformats.org/officeDocument/2006/relationships/settings" Target="/word/settings.xml" /><Relationship Id="rId5" Type="http://schemas.openxmlformats.org/officeDocument/2006/relationships/styles" Target="/word/styles.xml" /><Relationship Id="rId6" Type="http://schemas.openxmlformats.org/officeDocument/2006/relationships/image" Target="/word/media/image1.jpg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</a:theme>
</file>