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 </w:t>
                </w:r>
                <w:r w:rsidR="00B201EF" w:rsidRPr="00B25EFD">
                  <w:rPr>
                    <w:rFonts w:ascii="Times New Roman" w:hAnsi="Times New Roman" w:cs="Times New Roman"/>
                    <w:b/>
                    <w:sz w:val="20"/>
                    <w:szCs w:val="20"/>
                  </w:rPr>
                  <w:t xml:space="preserve"> </w:t>
                </w:r>
                <w:r w:rsidR="00F010FF"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983EB2">
            <w:rPr>
              <w:rFonts w:ascii="Times New Roman" w:hAnsi="Times New Roman" w:cs="Times New Roman"/>
              <w:b/>
            </w:rPr>
            <w:t xml:space="preserve">                  </w:t>
          </w:r>
          <w:r w:rsidR="00FA4061">
            <w:rPr>
              <w:rFonts w:ascii="Times New Roman" w:hAnsi="Times New Roman" w:cs="Times New Roman"/>
              <w:b/>
            </w:rPr>
            <w:t xml:space="preserve">              </w:t>
          </w:r>
          <w:r w:rsidR="005E47FB">
            <w:rPr>
              <w:rFonts w:ascii="Times New Roman" w:hAnsi="Times New Roman" w:cs="Times New Roman"/>
              <w:b/>
            </w:rPr>
            <w:t xml:space="preserve">   </w:t>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722482" w:rsidRDefault="00722482" w:rsidP="00722482">
      <w:pPr>
        <w:spacing w:after="0" w:line="240" w:lineRule="auto"/>
        <w:jc w:val="center"/>
        <w:rPr>
          <w:rFonts w:ascii="Times New Roman" w:hAnsi="Times New Roman" w:cs="Times New Roman"/>
          <w:bCs/>
          <w:sz w:val="24"/>
          <w:szCs w:val="24"/>
        </w:rPr>
      </w:pPr>
      <w:r>
        <w:rPr>
          <w:rFonts w:ascii="Times New Roman" w:hAnsi="Times New Roman" w:cs="Times New Roman"/>
          <w:vanish/>
          <w:sz w:val="24"/>
          <w:szCs w:val="24"/>
        </w:rPr>
        <w:t>┌</w:t>
      </w:r>
      <w:r w:rsidRPr="00722482">
        <w:rPr>
          <w:rFonts w:ascii="Times New Roman" w:hAnsi="Times New Roman" w:cs="Times New Roman"/>
          <w:bCs/>
          <w:sz w:val="24"/>
          <w:szCs w:val="24"/>
        </w:rPr>
        <w:t xml:space="preserve">Об утверждении </w:t>
      </w:r>
      <w:r>
        <w:rPr>
          <w:rFonts w:ascii="Times New Roman" w:hAnsi="Times New Roman" w:cs="Times New Roman"/>
          <w:bCs/>
          <w:sz w:val="24"/>
          <w:szCs w:val="24"/>
        </w:rPr>
        <w:t>стандартов раскрытия информации</w:t>
      </w:r>
    </w:p>
    <w:p w:rsidR="00983EB2" w:rsidRPr="00722482" w:rsidRDefault="00722482" w:rsidP="00722482">
      <w:pPr>
        <w:spacing w:after="0" w:line="240" w:lineRule="auto"/>
        <w:jc w:val="center"/>
        <w:rPr>
          <w:rFonts w:ascii="Times New Roman" w:hAnsi="Times New Roman" w:cs="Times New Roman"/>
          <w:sz w:val="24"/>
          <w:szCs w:val="24"/>
        </w:rPr>
      </w:pPr>
      <w:r w:rsidRPr="00722482">
        <w:rPr>
          <w:rFonts w:ascii="Times New Roman" w:hAnsi="Times New Roman" w:cs="Times New Roman"/>
          <w:bCs/>
          <w:sz w:val="24"/>
          <w:szCs w:val="24"/>
        </w:rPr>
        <w:t>субъектами естественных монополий в электроэнергетике</w:t>
      </w:r>
    </w:p>
    <w:p w:rsidR="005673D2" w:rsidRPr="00B25EFD" w:rsidRDefault="005673D2" w:rsidP="00EE658F">
      <w:pPr>
        <w:spacing w:after="0" w:line="240" w:lineRule="auto"/>
        <w:ind w:firstLine="708"/>
        <w:jc w:val="center"/>
        <w:rPr>
          <w:rFonts w:ascii="Times New Roman" w:hAnsi="Times New Roman" w:cs="Times New Roman"/>
          <w:b/>
          <w:sz w:val="24"/>
          <w:szCs w:val="24"/>
        </w:rPr>
      </w:pPr>
    </w:p>
    <w:p w:rsidR="004D183A" w:rsidRDefault="00334414"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34414">
        <w:rPr>
          <w:rFonts w:ascii="Times New Roman" w:hAnsi="Times New Roman" w:cs="Times New Roman"/>
          <w:color w:val="000000"/>
          <w:sz w:val="24"/>
          <w:szCs w:val="24"/>
        </w:rPr>
        <w:t>В соответствии с Законом Приднестровской Молдавской Республики от 28</w:t>
      </w:r>
      <w:r w:rsidR="00A80C6B">
        <w:rPr>
          <w:rFonts w:ascii="Times New Roman" w:hAnsi="Times New Roman" w:cs="Times New Roman"/>
          <w:color w:val="000000"/>
          <w:sz w:val="24"/>
          <w:szCs w:val="24"/>
        </w:rPr>
        <w:t> </w:t>
      </w:r>
      <w:r w:rsidRPr="00334414">
        <w:rPr>
          <w:rFonts w:ascii="Times New Roman" w:hAnsi="Times New Roman" w:cs="Times New Roman"/>
          <w:color w:val="000000"/>
          <w:sz w:val="24"/>
          <w:szCs w:val="24"/>
        </w:rPr>
        <w:t>сентября 2009 года № 874-3-IV «Об электроэнергетике» (САЗ 09-40)</w:t>
      </w:r>
      <w:r w:rsidR="00301AB2">
        <w:rPr>
          <w:rFonts w:ascii="Times New Roman" w:hAnsi="Times New Roman" w:cs="Times New Roman"/>
          <w:color w:val="000000"/>
          <w:sz w:val="24"/>
          <w:szCs w:val="24"/>
        </w:rPr>
        <w:t xml:space="preserve">, </w:t>
      </w:r>
      <w:r w:rsidR="00301AB2" w:rsidRPr="00301AB2">
        <w:rPr>
          <w:rFonts w:ascii="Times New Roman" w:hAnsi="Times New Roman" w:cs="Times New Roman"/>
          <w:color w:val="000000"/>
          <w:sz w:val="24"/>
          <w:szCs w:val="24"/>
        </w:rPr>
        <w:t>с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(САЗ 21-52), от 24 января 2022 года № 19 (САЗ 22-3), от 14 апреля 2022 года № 133 (САЗ 22- 14), от 16 августа 2022 года № 300 (САЗ 22-32), от 23 декабря 2022 года № 489 (САЗ 22-50)</w:t>
      </w:r>
      <w:r w:rsidR="008E3DA3">
        <w:rPr>
          <w:rFonts w:ascii="Times New Roman" w:hAnsi="Times New Roman" w:cs="Times New Roman"/>
          <w:color w:val="000000"/>
          <w:sz w:val="24"/>
          <w:szCs w:val="24"/>
        </w:rPr>
        <w:t>,</w:t>
      </w:r>
      <w:r w:rsidR="00301AB2" w:rsidRPr="00301AB2">
        <w:rPr>
          <w:rFonts w:ascii="Times New Roman" w:eastAsia="Times New Roman" w:hAnsi="Times New Roman" w:cs="Times New Roman"/>
          <w:sz w:val="24"/>
          <w:szCs w:val="24"/>
        </w:rPr>
        <w:t xml:space="preserve"> </w:t>
      </w:r>
      <w:r w:rsidR="00301AB2" w:rsidRPr="00301AB2">
        <w:rPr>
          <w:rFonts w:ascii="Times New Roman" w:hAnsi="Times New Roman" w:cs="Times New Roman"/>
          <w:color w:val="000000"/>
          <w:sz w:val="24"/>
          <w:szCs w:val="24"/>
        </w:rPr>
        <w:t>приказываю:</w:t>
      </w: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301AB2" w:rsidRPr="00301AB2" w:rsidRDefault="00301AB2" w:rsidP="00301AB2">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301AB2">
        <w:rPr>
          <w:rFonts w:ascii="Times New Roman" w:hAnsi="Times New Roman" w:cs="Times New Roman"/>
          <w:color w:val="000000"/>
          <w:sz w:val="24"/>
          <w:szCs w:val="24"/>
        </w:rPr>
        <w:t>.</w:t>
      </w:r>
      <w:r w:rsidR="008E3DA3">
        <w:rPr>
          <w:rFonts w:ascii="Times New Roman" w:hAnsi="Times New Roman" w:cs="Times New Roman"/>
          <w:color w:val="000000"/>
          <w:sz w:val="24"/>
          <w:szCs w:val="24"/>
        </w:rPr>
        <w:t> </w:t>
      </w:r>
      <w:r w:rsidR="004B654B" w:rsidRPr="004B654B">
        <w:rPr>
          <w:rFonts w:ascii="Times New Roman" w:hAnsi="Times New Roman" w:cs="Times New Roman"/>
          <w:color w:val="000000"/>
          <w:sz w:val="24"/>
          <w:szCs w:val="24"/>
        </w:rPr>
        <w:t>Утвердить Стандарты раскрытия информации субъектами естественных монополий в электроэнергетике</w:t>
      </w:r>
      <w:r w:rsidRPr="00301AB2">
        <w:rPr>
          <w:rFonts w:ascii="Times New Roman" w:hAnsi="Times New Roman" w:cs="Times New Roman"/>
          <w:color w:val="000000"/>
          <w:sz w:val="24"/>
          <w:szCs w:val="24"/>
        </w:rPr>
        <w:t xml:space="preserve">, согласно </w:t>
      </w:r>
      <w:proofErr w:type="gramStart"/>
      <w:r w:rsidRPr="00301AB2">
        <w:rPr>
          <w:rFonts w:ascii="Times New Roman" w:hAnsi="Times New Roman" w:cs="Times New Roman"/>
          <w:color w:val="000000"/>
          <w:sz w:val="24"/>
          <w:szCs w:val="24"/>
        </w:rPr>
        <w:t>П</w:t>
      </w:r>
      <w:r w:rsidR="008E3DA3">
        <w:rPr>
          <w:rFonts w:ascii="Times New Roman" w:hAnsi="Times New Roman" w:cs="Times New Roman"/>
          <w:color w:val="000000"/>
          <w:sz w:val="24"/>
          <w:szCs w:val="24"/>
        </w:rPr>
        <w:t>риложению</w:t>
      </w:r>
      <w:proofErr w:type="gramEnd"/>
      <w:r w:rsidR="008E3DA3">
        <w:rPr>
          <w:rFonts w:ascii="Times New Roman" w:hAnsi="Times New Roman" w:cs="Times New Roman"/>
          <w:color w:val="000000"/>
          <w:sz w:val="24"/>
          <w:szCs w:val="24"/>
        </w:rPr>
        <w:t xml:space="preserve"> к настоящему Приказу.</w:t>
      </w:r>
    </w:p>
    <w:p w:rsidR="00301AB2" w:rsidRPr="00301AB2" w:rsidRDefault="00301AB2" w:rsidP="00301AB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1AB2">
        <w:rPr>
          <w:rFonts w:ascii="Times New Roman" w:hAnsi="Times New Roman" w:cs="Times New Roman"/>
          <w:color w:val="000000"/>
          <w:sz w:val="24"/>
          <w:szCs w:val="24"/>
        </w:rPr>
        <w:t>2.</w:t>
      </w:r>
      <w:r w:rsidR="008E3DA3">
        <w:rPr>
          <w:rFonts w:ascii="Times New Roman" w:hAnsi="Times New Roman" w:cs="Times New Roman"/>
          <w:color w:val="000000"/>
          <w:sz w:val="24"/>
          <w:szCs w:val="24"/>
        </w:rPr>
        <w:t> </w:t>
      </w:r>
      <w:r w:rsidRPr="00301AB2">
        <w:rPr>
          <w:rFonts w:ascii="Times New Roman" w:hAnsi="Times New Roman" w:cs="Times New Roman"/>
          <w:color w:val="000000"/>
          <w:sz w:val="24"/>
          <w:szCs w:val="24"/>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D183A" w:rsidRDefault="00301AB2" w:rsidP="00301AB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01AB2">
        <w:rPr>
          <w:rFonts w:ascii="Times New Roman" w:hAnsi="Times New Roman" w:cs="Times New Roman"/>
          <w:color w:val="000000"/>
          <w:sz w:val="24"/>
          <w:szCs w:val="24"/>
        </w:rPr>
        <w:t>3.</w:t>
      </w:r>
      <w:r w:rsidR="008E3DA3">
        <w:rPr>
          <w:rFonts w:ascii="Times New Roman" w:hAnsi="Times New Roman" w:cs="Times New Roman"/>
          <w:color w:val="000000"/>
          <w:sz w:val="24"/>
          <w:szCs w:val="24"/>
        </w:rPr>
        <w:t> </w:t>
      </w:r>
      <w:r w:rsidRPr="00301AB2">
        <w:rPr>
          <w:rFonts w:ascii="Times New Roman" w:hAnsi="Times New Roman" w:cs="Times New Roman"/>
          <w:color w:val="000000"/>
          <w:sz w:val="24"/>
          <w:szCs w:val="24"/>
        </w:rPr>
        <w:t>Настоящий Приказ вступает в силу со дня, следующего за днем его официального опубликования.</w:t>
      </w:r>
    </w:p>
    <w:p w:rsidR="004D183A" w:rsidRDefault="004D183A" w:rsidP="004D183A">
      <w:pPr>
        <w:spacing w:after="0" w:line="240" w:lineRule="auto"/>
        <w:jc w:val="both"/>
        <w:rPr>
          <w:rFonts w:ascii="Times New Roman" w:hAnsi="Times New Roman" w:cs="Times New Roman"/>
          <w:b/>
          <w:sz w:val="24"/>
          <w:szCs w:val="24"/>
        </w:rPr>
      </w:pPr>
    </w:p>
    <w:p w:rsidR="004D183A" w:rsidRDefault="004D183A" w:rsidP="00983EB2">
      <w:pPr>
        <w:spacing w:after="0" w:line="240" w:lineRule="auto"/>
        <w:ind w:right="-143"/>
        <w:jc w:val="both"/>
        <w:rPr>
          <w:rFonts w:ascii="Times New Roman" w:hAnsi="Times New Roman" w:cs="Times New Roman"/>
          <w:b/>
          <w:sz w:val="24"/>
          <w:szCs w:val="24"/>
        </w:rPr>
      </w:pPr>
    </w:p>
    <w:p w:rsidR="004B654B" w:rsidRDefault="004B654B" w:rsidP="00983EB2">
      <w:pPr>
        <w:spacing w:after="0" w:line="240" w:lineRule="auto"/>
        <w:ind w:right="-143"/>
        <w:jc w:val="both"/>
        <w:rPr>
          <w:rFonts w:ascii="Times New Roman" w:hAnsi="Times New Roman" w:cs="Times New Roman"/>
          <w:b/>
          <w:sz w:val="24"/>
          <w:szCs w:val="24"/>
        </w:rPr>
      </w:pPr>
    </w:p>
    <w:p w:rsidR="004B654B" w:rsidRPr="004B654B" w:rsidRDefault="004B654B" w:rsidP="004B654B">
      <w:pPr>
        <w:spacing w:after="0" w:line="240" w:lineRule="auto"/>
        <w:rPr>
          <w:rFonts w:ascii="Times New Roman" w:hAnsi="Times New Roman" w:cs="Times New Roman"/>
          <w:sz w:val="24"/>
          <w:szCs w:val="24"/>
        </w:rPr>
      </w:pPr>
      <w:r w:rsidRPr="004B654B">
        <w:rPr>
          <w:rFonts w:ascii="Times New Roman" w:hAnsi="Times New Roman" w:cs="Times New Roman"/>
          <w:sz w:val="24"/>
          <w:szCs w:val="24"/>
        </w:rPr>
        <w:t>Заместитель Председателя Правительства</w:t>
      </w:r>
    </w:p>
    <w:p w:rsidR="004B654B" w:rsidRPr="004B654B" w:rsidRDefault="004B654B" w:rsidP="004B654B">
      <w:pPr>
        <w:spacing w:after="0" w:line="240" w:lineRule="auto"/>
        <w:rPr>
          <w:rFonts w:ascii="Times New Roman" w:hAnsi="Times New Roman" w:cs="Times New Roman"/>
          <w:sz w:val="24"/>
          <w:szCs w:val="24"/>
        </w:rPr>
      </w:pPr>
      <w:r w:rsidRPr="004B654B">
        <w:rPr>
          <w:rFonts w:ascii="Times New Roman" w:hAnsi="Times New Roman" w:cs="Times New Roman"/>
          <w:sz w:val="24"/>
          <w:szCs w:val="24"/>
        </w:rPr>
        <w:t>Приднестровской Молдавской Республики –</w:t>
      </w:r>
    </w:p>
    <w:p w:rsidR="004B654B" w:rsidRPr="004B654B" w:rsidRDefault="004B654B" w:rsidP="004B654B">
      <w:pPr>
        <w:spacing w:after="0" w:line="240" w:lineRule="auto"/>
        <w:rPr>
          <w:rFonts w:ascii="Times New Roman" w:hAnsi="Times New Roman" w:cs="Times New Roman"/>
          <w:sz w:val="24"/>
          <w:szCs w:val="24"/>
        </w:rPr>
      </w:pPr>
      <w:r w:rsidRPr="004B654B">
        <w:rPr>
          <w:rFonts w:ascii="Times New Roman" w:hAnsi="Times New Roman" w:cs="Times New Roman"/>
          <w:sz w:val="24"/>
          <w:szCs w:val="24"/>
        </w:rPr>
        <w:t>министр экономического развития</w:t>
      </w:r>
    </w:p>
    <w:p w:rsidR="004B654B" w:rsidRDefault="004B654B" w:rsidP="004B654B">
      <w:pPr>
        <w:spacing w:after="0" w:line="240" w:lineRule="auto"/>
        <w:ind w:right="-143"/>
        <w:jc w:val="both"/>
        <w:rPr>
          <w:rFonts w:ascii="Times New Roman" w:hAnsi="Times New Roman" w:cs="Times New Roman"/>
          <w:sz w:val="24"/>
          <w:szCs w:val="24"/>
        </w:rPr>
      </w:pPr>
      <w:r w:rsidRPr="004B654B">
        <w:rPr>
          <w:rFonts w:ascii="Times New Roman" w:hAnsi="Times New Roman" w:cs="Times New Roman"/>
          <w:sz w:val="24"/>
          <w:szCs w:val="24"/>
        </w:rPr>
        <w:t xml:space="preserve">Приднестровской Молдавской Республики                                                        С.А. </w:t>
      </w:r>
      <w:proofErr w:type="spellStart"/>
      <w:r w:rsidRPr="004B654B">
        <w:rPr>
          <w:rFonts w:ascii="Times New Roman" w:hAnsi="Times New Roman" w:cs="Times New Roman"/>
          <w:sz w:val="24"/>
          <w:szCs w:val="24"/>
        </w:rPr>
        <w:t>Оболоник</w:t>
      </w:r>
      <w:proofErr w:type="spellEnd"/>
    </w:p>
    <w:p w:rsidR="004B654B" w:rsidRDefault="004B654B">
      <w:pPr>
        <w:rPr>
          <w:rFonts w:ascii="Times New Roman" w:hAnsi="Times New Roman" w:cs="Times New Roman"/>
          <w:b/>
          <w:sz w:val="24"/>
          <w:szCs w:val="24"/>
        </w:rPr>
      </w:pPr>
      <w:r>
        <w:rPr>
          <w:rFonts w:ascii="Times New Roman" w:hAnsi="Times New Roman" w:cs="Times New Roman"/>
          <w:b/>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sz w:val="24"/>
          <w:szCs w:val="28"/>
        </w:rPr>
      </w:pPr>
      <w:bookmarkStart w:id="0" w:name="_GoBack"/>
      <w:r w:rsidRPr="004B654B">
        <w:rPr>
          <w:rFonts w:ascii="Times New Roman" w:eastAsia="Times New Roman" w:hAnsi="Times New Roman" w:cs="Times New Roman"/>
          <w:sz w:val="24"/>
          <w:szCs w:val="28"/>
        </w:rPr>
        <w:lastRenderedPageBreak/>
        <w:t>Приложение</w:t>
      </w:r>
    </w:p>
    <w:p w:rsidR="008E3DA3" w:rsidRPr="008E3DA3" w:rsidRDefault="008E3DA3" w:rsidP="008E3DA3">
      <w:pPr>
        <w:spacing w:after="0" w:line="240" w:lineRule="auto"/>
        <w:ind w:firstLine="4678"/>
        <w:contextualSpacing/>
        <w:jc w:val="right"/>
        <w:rPr>
          <w:rFonts w:ascii="Times New Roman" w:hAnsi="Times New Roman" w:cs="Times New Roman"/>
          <w:sz w:val="24"/>
          <w:szCs w:val="24"/>
        </w:rPr>
      </w:pPr>
      <w:r>
        <w:rPr>
          <w:rFonts w:ascii="Times New Roman" w:hAnsi="Times New Roman" w:cs="Times New Roman"/>
          <w:sz w:val="24"/>
          <w:szCs w:val="24"/>
        </w:rPr>
        <w:t>к Приказу Министерства</w:t>
      </w:r>
    </w:p>
    <w:p w:rsidR="008E3DA3" w:rsidRPr="008E3DA3" w:rsidRDefault="008E3DA3" w:rsidP="008E3DA3">
      <w:pPr>
        <w:spacing w:after="0" w:line="240" w:lineRule="auto"/>
        <w:ind w:firstLine="4678"/>
        <w:contextualSpacing/>
        <w:jc w:val="right"/>
        <w:rPr>
          <w:rFonts w:ascii="Times New Roman" w:hAnsi="Times New Roman" w:cs="Times New Roman"/>
          <w:sz w:val="24"/>
          <w:szCs w:val="24"/>
        </w:rPr>
      </w:pPr>
      <w:r>
        <w:rPr>
          <w:rFonts w:ascii="Times New Roman" w:hAnsi="Times New Roman" w:cs="Times New Roman"/>
          <w:sz w:val="24"/>
          <w:szCs w:val="24"/>
        </w:rPr>
        <w:t>экономического развития</w:t>
      </w:r>
    </w:p>
    <w:p w:rsidR="008E3DA3" w:rsidRPr="008E3DA3" w:rsidRDefault="008E3DA3" w:rsidP="008E3DA3">
      <w:pPr>
        <w:spacing w:after="0" w:line="240" w:lineRule="auto"/>
        <w:ind w:firstLine="4678"/>
        <w:contextualSpacing/>
        <w:jc w:val="right"/>
        <w:rPr>
          <w:rFonts w:ascii="Times New Roman" w:hAnsi="Times New Roman" w:cs="Times New Roman"/>
          <w:sz w:val="24"/>
          <w:szCs w:val="24"/>
        </w:rPr>
      </w:pPr>
      <w:r w:rsidRPr="008E3DA3">
        <w:rPr>
          <w:rFonts w:ascii="Times New Roman" w:hAnsi="Times New Roman" w:cs="Times New Roman"/>
          <w:sz w:val="24"/>
          <w:szCs w:val="24"/>
        </w:rPr>
        <w:t>Придне</w:t>
      </w:r>
      <w:r>
        <w:rPr>
          <w:rFonts w:ascii="Times New Roman" w:hAnsi="Times New Roman" w:cs="Times New Roman"/>
          <w:sz w:val="24"/>
          <w:szCs w:val="24"/>
        </w:rPr>
        <w:t>стровской Молдавской Республики</w:t>
      </w:r>
    </w:p>
    <w:p w:rsidR="004B654B" w:rsidRPr="004B654B" w:rsidRDefault="004B654B" w:rsidP="004B654B">
      <w:pPr>
        <w:spacing w:after="0" w:line="240" w:lineRule="auto"/>
        <w:jc w:val="right"/>
        <w:rPr>
          <w:rFonts w:ascii="Times New Roman" w:eastAsia="Times New Roman" w:hAnsi="Times New Roman" w:cs="Times New Roman"/>
          <w:sz w:val="24"/>
          <w:szCs w:val="28"/>
        </w:rPr>
      </w:pPr>
      <w:r w:rsidRPr="004B654B">
        <w:rPr>
          <w:rFonts w:ascii="Times New Roman" w:eastAsia="Times New Roman" w:hAnsi="Times New Roman" w:cs="Times New Roman"/>
          <w:sz w:val="24"/>
          <w:szCs w:val="28"/>
        </w:rPr>
        <w:t>от__________________№_____</w:t>
      </w:r>
    </w:p>
    <w:p w:rsidR="004B654B" w:rsidRPr="004B654B" w:rsidRDefault="004B654B" w:rsidP="004B654B">
      <w:pPr>
        <w:rPr>
          <w:rFonts w:ascii="Calibri" w:eastAsia="Times New Roman" w:hAnsi="Calibri" w:cs="Times New Roman"/>
        </w:rPr>
      </w:pPr>
    </w:p>
    <w:p w:rsidR="004B654B" w:rsidRPr="004B654B" w:rsidRDefault="004B654B" w:rsidP="004B654B">
      <w:pPr>
        <w:spacing w:after="0" w:line="240" w:lineRule="auto"/>
        <w:jc w:val="center"/>
        <w:rPr>
          <w:rFonts w:ascii="Times New Roman" w:eastAsia="Times New Roman" w:hAnsi="Times New Roman" w:cs="Times New Roman"/>
          <w:sz w:val="24"/>
          <w:szCs w:val="24"/>
        </w:rPr>
      </w:pPr>
      <w:r w:rsidRPr="004B654B">
        <w:rPr>
          <w:rFonts w:ascii="Times New Roman" w:eastAsia="Times New Roman" w:hAnsi="Times New Roman" w:cs="Times New Roman"/>
          <w:sz w:val="24"/>
          <w:szCs w:val="24"/>
        </w:rPr>
        <w:t xml:space="preserve">Стандарты раскрытия информации </w:t>
      </w:r>
      <w:bookmarkStart w:id="1" w:name="_Hlk129965704"/>
      <w:r w:rsidRPr="004B654B">
        <w:rPr>
          <w:rFonts w:ascii="Times New Roman" w:eastAsia="Times New Roman" w:hAnsi="Times New Roman" w:cs="Times New Roman"/>
          <w:sz w:val="24"/>
          <w:szCs w:val="24"/>
        </w:rPr>
        <w:t>субъектами естественных монополий в электроэнергетике</w:t>
      </w:r>
      <w:bookmarkEnd w:id="1"/>
    </w:p>
    <w:p w:rsidR="004B654B" w:rsidRPr="004B654B" w:rsidRDefault="004B654B" w:rsidP="004B654B">
      <w:pPr>
        <w:spacing w:after="0" w:line="240" w:lineRule="auto"/>
        <w:jc w:val="both"/>
        <w:rPr>
          <w:rFonts w:ascii="Times New Roman" w:eastAsia="Times New Roman" w:hAnsi="Times New Roman" w:cs="Times New Roman"/>
          <w:sz w:val="24"/>
          <w:szCs w:val="24"/>
        </w:rPr>
      </w:pP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1. Настоящий документ в соответствии со </w:t>
      </w:r>
      <w:hyperlink r:id="rId7" w:anchor="block_21" w:history="1">
        <w:r w:rsidRPr="004B654B">
          <w:rPr>
            <w:rFonts w:ascii="Times New Roman" w:eastAsia="Times New Roman" w:hAnsi="Times New Roman" w:cs="Times New Roman"/>
            <w:color w:val="000000"/>
            <w:sz w:val="24"/>
            <w:szCs w:val="24"/>
          </w:rPr>
          <w:t>статьей 5</w:t>
        </w:r>
      </w:hyperlink>
      <w:r w:rsidRPr="004B654B">
        <w:rPr>
          <w:rFonts w:ascii="Times New Roman" w:eastAsia="Times New Roman" w:hAnsi="Times New Roman" w:cs="Times New Roman"/>
          <w:color w:val="000000"/>
          <w:sz w:val="24"/>
          <w:szCs w:val="24"/>
        </w:rPr>
        <w:t xml:space="preserve"> Закона Приднестровской Молдавской Республики «Об электроэнергетике» устанавливает требования к составу информации, раскрываемой субъектами естественных монополий в электроэнергетике, а также к порядку, способам и срокам ее раскрытия.</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естественных монополий в электроэнергетике, являющимися обладателями такой информации.</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Понятия, используемые в настоящем документе, употребляются в значениях, определенных Законом Приднестровской Молдавской Республики «Об электроэнергетике» и иными нормативными правовыми актами Приднестровской молдавской Республики.</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 Субъекты естественных монополий в электроэнергетике обязаны раскрывать информацию в соответствии с настоящим документом.</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 Субъектами естественных монополий в электроэнергетике информация раскрывается путем ее:</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а) опубликования на официальных сайтах субъектами естественных монополий в электроэнергетике или ином официальном сайте в информационно-телекоммуникационной сети «Интернет» (далее - сеть «Интернет»), определяемом </w:t>
      </w:r>
      <w:bookmarkStart w:id="2" w:name="_Hlk129849677"/>
      <w:r w:rsidRPr="004B654B">
        <w:rPr>
          <w:rFonts w:ascii="Times New Roman" w:eastAsia="Times New Roman" w:hAnsi="Times New Roman" w:cs="Times New Roman"/>
          <w:color w:val="000000"/>
          <w:sz w:val="24"/>
          <w:szCs w:val="24"/>
        </w:rPr>
        <w:t>уполномоченным Правительством Приднестровской Молдавской Республики исполнительным органом государственной власти</w:t>
      </w:r>
      <w:bookmarkEnd w:id="2"/>
      <w:r w:rsidRPr="004B654B">
        <w:rPr>
          <w:rFonts w:ascii="Times New Roman" w:eastAsia="Times New Roman" w:hAnsi="Times New Roman" w:cs="Times New Roman"/>
          <w:color w:val="000000"/>
          <w:sz w:val="24"/>
          <w:szCs w:val="24"/>
        </w:rPr>
        <w:t>, в целях обеспечения доступа к информации о регулируемой деятельности субъектов естественных монополий;</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б) предоставления по письменному запросу заинтересованных лиц.</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 Субъекты естественных монополий в электроэнергетике ведут учет запросов информации, а также хранят копии отказов в предоставлении информации в течение 5 лет.</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 Отказ в предоставлении информации может быть обжалован в установленном законодательством Приднестровской Молдавской Республики порядке в уполномоченный Правительством Приднестровской Молдавской Республики исполнительный орган государственной власти и (или) в суд.</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6. Для подписи субъектами естественных монополий в электроэнергетике информации, которая в соответствии с настоящим документом раскрывается в форме электронных документов, подписанных усиленной </w:t>
      </w:r>
      <w:hyperlink r:id="rId8" w:anchor="block_54" w:history="1">
        <w:r w:rsidRPr="004B654B">
          <w:rPr>
            <w:rFonts w:ascii="Times New Roman" w:eastAsia="Times New Roman" w:hAnsi="Times New Roman" w:cs="Times New Roman"/>
            <w:color w:val="000000"/>
            <w:sz w:val="24"/>
            <w:szCs w:val="24"/>
          </w:rPr>
          <w:t>квалифицированной электронной подписью</w:t>
        </w:r>
      </w:hyperlink>
      <w:r w:rsidRPr="004B654B">
        <w:rPr>
          <w:rFonts w:ascii="Times New Roman" w:eastAsia="Times New Roman" w:hAnsi="Times New Roman" w:cs="Times New Roman"/>
          <w:color w:val="000000"/>
          <w:sz w:val="24"/>
          <w:szCs w:val="24"/>
        </w:rPr>
        <w:t xml:space="preserve">, используется усиленная квалифицированная электронная подпись лица, имеющего право действовать от имени субъекта рынков электрической энергии без доверенности, или его представителя, действующего на основании доверенности, в соответствии с </w:t>
      </w:r>
      <w:hyperlink r:id="rId9" w:anchor="block_1000" w:history="1">
        <w:r w:rsidRPr="004B654B">
          <w:rPr>
            <w:rFonts w:ascii="Times New Roman" w:eastAsia="Times New Roman" w:hAnsi="Times New Roman" w:cs="Times New Roman"/>
            <w:color w:val="000000"/>
            <w:sz w:val="24"/>
            <w:szCs w:val="24"/>
          </w:rPr>
          <w:t>правилами</w:t>
        </w:r>
      </w:hyperlink>
      <w:r w:rsidRPr="004B654B">
        <w:rPr>
          <w:rFonts w:ascii="Times New Roman" w:eastAsia="Times New Roman" w:hAnsi="Times New Roman" w:cs="Times New Roman"/>
          <w:color w:val="000000"/>
          <w:sz w:val="24"/>
          <w:szCs w:val="24"/>
        </w:rPr>
        <w:t xml:space="preserve"> использования усиленной квалифицированной электронной подписи, в соответствии с нормами действующего законодательства Приднестровской Молдавской Республики.</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7. Субъекты естественных монополий в электроэнергетике раскрывают информацию об основных показателях деятельности согласно Приложению № 1 к настоящим стандартам.</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8.</w:t>
      </w:r>
      <w:r w:rsidRPr="004B654B">
        <w:rPr>
          <w:rFonts w:ascii="Calibri" w:eastAsia="Times New Roman" w:hAnsi="Calibri" w:cs="Times New Roman"/>
        </w:rPr>
        <w:t> </w:t>
      </w:r>
      <w:r w:rsidRPr="004B654B">
        <w:rPr>
          <w:rFonts w:ascii="Times New Roman" w:eastAsia="Times New Roman" w:hAnsi="Times New Roman" w:cs="Times New Roman"/>
          <w:color w:val="000000"/>
          <w:sz w:val="24"/>
          <w:szCs w:val="24"/>
        </w:rPr>
        <w:t>Субъекты естественных монополий в электроэнергетике – сетевые организации раскрывают информацию о показателях деятельности сетевой организации согласно Приложениям № 2, № 3, № 4, №5 к настоящим стандартам.</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9. Субъект естественных монополий в электроэнергетике – системный оператор раскрывает информацию о показателях деятельности системного оператора согласно Приложению № 6 к настоящим стандартам.</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10. Субъекты естественных монополий в электроэнергетике раскрывают информацию на официальных сайтах субъектов естественных монополий в электроэнергетике или ином официальном сайте уполномоченного Правительством Приднестровской Молдавской Республики исполнительного органа государственной власти ежегодно, не позднее 1 апреля.</w:t>
      </w:r>
    </w:p>
    <w:p w:rsidR="004B654B" w:rsidRPr="004B654B" w:rsidRDefault="004B654B" w:rsidP="004B654B">
      <w:pPr>
        <w:spacing w:after="0" w:line="240" w:lineRule="auto"/>
        <w:ind w:firstLine="567"/>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w:t>
      </w:r>
      <w:r w:rsidRPr="004B654B">
        <w:rPr>
          <w:rFonts w:ascii="Calibri" w:eastAsia="Times New Roman" w:hAnsi="Calibri" w:cs="Times New Roman"/>
        </w:rPr>
        <w:t> </w:t>
      </w:r>
      <w:r w:rsidRPr="004B654B">
        <w:rPr>
          <w:rFonts w:ascii="Times New Roman" w:eastAsia="Times New Roman" w:hAnsi="Times New Roman" w:cs="Times New Roman"/>
          <w:color w:val="000000"/>
          <w:sz w:val="24"/>
          <w:szCs w:val="24"/>
        </w:rPr>
        <w:t>Любые изменения раскрытой информации (за исключением информации, предоставляемой по письменным запросам потребителей (заинтересованных лиц)) подлежат опубликованию субъектами естественных монополий в электроэнергетике с даты принятия соответствующего решения в течение следующего периода времени на официальных сайтах субъектов естественных монополий в электроэнергетике, в целях обеспечения доступа к информации о регулируемой деятельности субъектов естественных монополий, в течение 5 рабочих дней.</w:t>
      </w:r>
    </w:p>
    <w:p w:rsidR="004B654B" w:rsidRPr="004B654B" w:rsidRDefault="004B654B" w:rsidP="004B654B">
      <w:pPr>
        <w:spacing w:after="160" w:line="259"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br w:type="page"/>
      </w:r>
    </w:p>
    <w:p w:rsidR="004B654B" w:rsidRPr="004B654B" w:rsidRDefault="004B654B" w:rsidP="004B654B">
      <w:pPr>
        <w:spacing w:after="0" w:line="240" w:lineRule="auto"/>
        <w:ind w:firstLine="567"/>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lastRenderedPageBreak/>
        <w:t>Приложение № 1</w:t>
      </w:r>
    </w:p>
    <w:p w:rsidR="004B654B" w:rsidRPr="004B654B" w:rsidRDefault="004B654B" w:rsidP="004B654B">
      <w:pPr>
        <w:spacing w:after="0" w:line="240" w:lineRule="auto"/>
        <w:ind w:firstLine="567"/>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 xml:space="preserve">к </w:t>
      </w:r>
      <w:hyperlink r:id="rId10" w:anchor="block_1000" w:history="1">
        <w:r w:rsidRPr="004B654B">
          <w:rPr>
            <w:rFonts w:ascii="Times New Roman" w:eastAsia="Times New Roman" w:hAnsi="Times New Roman" w:cs="Times New Roman"/>
            <w:bCs/>
            <w:color w:val="000000"/>
            <w:sz w:val="24"/>
            <w:szCs w:val="24"/>
          </w:rPr>
          <w:t>стандартам</w:t>
        </w:r>
      </w:hyperlink>
      <w:r w:rsidRPr="004B654B">
        <w:rPr>
          <w:rFonts w:ascii="Times New Roman" w:eastAsia="Times New Roman" w:hAnsi="Times New Roman" w:cs="Times New Roman"/>
          <w:bCs/>
          <w:color w:val="000000"/>
          <w:sz w:val="24"/>
          <w:szCs w:val="24"/>
        </w:rPr>
        <w:t xml:space="preserve"> раскрытия информации</w:t>
      </w:r>
    </w:p>
    <w:p w:rsidR="004B654B" w:rsidRPr="004B654B" w:rsidRDefault="004B654B" w:rsidP="004B654B">
      <w:pPr>
        <w:spacing w:after="0" w:line="240" w:lineRule="auto"/>
        <w:ind w:firstLine="567"/>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ind w:firstLine="567"/>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(форма)</w:t>
      </w:r>
    </w:p>
    <w:p w:rsidR="004B654B" w:rsidRPr="004B654B" w:rsidRDefault="004B654B" w:rsidP="004B654B">
      <w:pPr>
        <w:spacing w:after="0" w:line="240" w:lineRule="auto"/>
        <w:ind w:firstLine="567"/>
        <w:jc w:val="right"/>
        <w:rPr>
          <w:rFonts w:ascii="Times New Roman" w:eastAsia="Times New Roman" w:hAnsi="Times New Roman" w:cs="Times New Roman"/>
          <w:color w:val="000000"/>
          <w:sz w:val="24"/>
          <w:szCs w:val="24"/>
        </w:rPr>
      </w:pPr>
    </w:p>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b/>
          <w:bCs/>
          <w:color w:val="000000"/>
          <w:sz w:val="24"/>
          <w:szCs w:val="24"/>
        </w:rPr>
        <w:t>Информация о субъекте естественных монополий в электроэнергетике</w:t>
      </w:r>
      <w:r w:rsidRPr="004B654B">
        <w:rPr>
          <w:rFonts w:ascii="Times New Roman" w:eastAsia="Times New Roman" w:hAnsi="Times New Roman" w:cs="Times New Roman"/>
          <w:bCs/>
          <w:color w:val="000000"/>
          <w:sz w:val="24"/>
          <w:szCs w:val="24"/>
        </w:rPr>
        <w:t xml:space="preserve"> ______________________________________ год</w:t>
      </w:r>
    </w:p>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bCs/>
          <w:color w:val="000000"/>
          <w:sz w:val="24"/>
          <w:szCs w:val="24"/>
        </w:rPr>
        <w:t>(отчетный период)</w:t>
      </w: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____________________________________________________________</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_____________</w:t>
      </w:r>
    </w:p>
    <w:p w:rsidR="004B654B" w:rsidRPr="004B654B" w:rsidRDefault="004B654B" w:rsidP="008E3DA3">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(полное и сокращенное наименование юридического лица)</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______________________________</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___________________________________________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p w:rsidR="004B654B" w:rsidRPr="004B654B" w:rsidRDefault="004B654B" w:rsidP="008E3DA3">
      <w:pPr>
        <w:spacing w:after="0" w:line="240" w:lineRule="auto"/>
        <w:jc w:val="both"/>
        <w:rPr>
          <w:rFonts w:ascii="Times New Roman" w:eastAsia="Times New Roman" w:hAnsi="Times New Roman" w:cs="Times New Roman"/>
          <w:b/>
          <w:color w:val="000000"/>
          <w:sz w:val="24"/>
          <w:szCs w:val="24"/>
        </w:rPr>
      </w:pPr>
      <w:r w:rsidRPr="004B654B">
        <w:rPr>
          <w:rFonts w:ascii="Times New Roman" w:eastAsia="Times New Roman" w:hAnsi="Times New Roman" w:cs="Times New Roman"/>
          <w:b/>
          <w:bCs/>
          <w:color w:val="000000"/>
          <w:sz w:val="24"/>
          <w:szCs w:val="24"/>
        </w:rPr>
        <w:t>I. Информация об организации</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Полное наименование_______________________________________</w:t>
      </w:r>
      <w:r w:rsidRPr="004B654B">
        <w:rPr>
          <w:rFonts w:ascii="Times New Roman" w:eastAsia="Times New Roman" w:hAnsi="Times New Roman" w:cs="Times New Roman"/>
          <w:color w:val="000000"/>
          <w:sz w:val="24"/>
          <w:szCs w:val="24"/>
          <w:u w:val="single"/>
        </w:rPr>
        <w:t xml:space="preserve">             </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________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Сокращенное наименование___________________________________</w:t>
      </w:r>
      <w:r w:rsidRPr="004B654B">
        <w:rPr>
          <w:rFonts w:ascii="Times New Roman" w:eastAsia="Times New Roman" w:hAnsi="Times New Roman" w:cs="Times New Roman"/>
          <w:color w:val="000000"/>
          <w:sz w:val="24"/>
          <w:szCs w:val="24"/>
          <w:u w:val="single"/>
        </w:rPr>
        <w:t xml:space="preserve"> </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_____________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Место нахождения________________________________________________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________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Фактический адрес__________________________________________________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w:t>
      </w:r>
      <w:proofErr w:type="gramStart"/>
      <w:r w:rsidRPr="004B654B">
        <w:rPr>
          <w:rFonts w:ascii="Times New Roman" w:eastAsia="Times New Roman" w:hAnsi="Times New Roman" w:cs="Times New Roman"/>
          <w:color w:val="000000"/>
          <w:sz w:val="24"/>
          <w:szCs w:val="24"/>
        </w:rPr>
        <w:t>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w:t>
      </w:r>
      <w:proofErr w:type="gramEnd"/>
      <w:r w:rsidRPr="004B654B">
        <w:rPr>
          <w:rFonts w:ascii="Times New Roman" w:eastAsia="Times New Roman" w:hAnsi="Times New Roman" w:cs="Times New Roman"/>
          <w:color w:val="000000"/>
          <w:sz w:val="24"/>
          <w:szCs w:val="24"/>
        </w:rPr>
        <w:t>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Фискальный код _______________________________________________________</w:t>
      </w:r>
      <w:r w:rsidRPr="004B654B">
        <w:rPr>
          <w:rFonts w:ascii="Times New Roman" w:eastAsia="Times New Roman" w:hAnsi="Times New Roman" w:cs="Times New Roman"/>
          <w:color w:val="000000"/>
          <w:sz w:val="24"/>
          <w:szCs w:val="24"/>
          <w:u w:val="single"/>
        </w:rPr>
        <w:t xml:space="preserve">      </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u w:val="single"/>
        </w:rPr>
        <w:t xml:space="preserve">  </w:t>
      </w:r>
      <w:r w:rsidR="008E3DA3">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Ф.И.О. руководителя___________________________________________________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Адрес электронной почты_______________________________________________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___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Контактный телефон______________________________________________________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w:t>
      </w:r>
    </w:p>
    <w:p w:rsidR="004B654B" w:rsidRPr="004B654B" w:rsidRDefault="004B654B" w:rsidP="008E3DA3">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Факс___________________________________________________________________</w:t>
      </w:r>
      <w:r w:rsidRPr="004B654B">
        <w:rPr>
          <w:rFonts w:ascii="Times New Roman" w:eastAsia="Times New Roman" w:hAnsi="Times New Roman" w:cs="Times New Roman"/>
          <w:color w:val="000000"/>
          <w:sz w:val="24"/>
          <w:szCs w:val="24"/>
          <w:u w:val="single"/>
        </w:rPr>
        <w:t xml:space="preserve">           </w:t>
      </w:r>
      <w:r w:rsidRPr="004B654B">
        <w:rPr>
          <w:rFonts w:ascii="Times New Roman" w:eastAsia="Times New Roman" w:hAnsi="Times New Roman" w:cs="Times New Roman"/>
          <w:color w:val="000000"/>
          <w:sz w:val="24"/>
          <w:szCs w:val="24"/>
        </w:rPr>
        <w:t>_</w:t>
      </w: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r w:rsidRPr="004B654B">
        <w:rPr>
          <w:rFonts w:ascii="Times New Roman" w:eastAsia="Times New Roman" w:hAnsi="Times New Roman" w:cs="Times New Roman"/>
          <w:b/>
          <w:bCs/>
          <w:color w:val="000000"/>
          <w:sz w:val="24"/>
          <w:szCs w:val="24"/>
        </w:rPr>
        <w:t>II. Основные показатели деятельности организации</w:t>
      </w:r>
    </w:p>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tbl>
      <w:tblPr>
        <w:tblW w:w="9616" w:type="dxa"/>
        <w:tblLook w:val="04A0" w:firstRow="1" w:lastRow="0" w:firstColumn="1" w:lastColumn="0" w:noHBand="0" w:noVBand="1"/>
      </w:tblPr>
      <w:tblGrid>
        <w:gridCol w:w="696"/>
        <w:gridCol w:w="5163"/>
        <w:gridCol w:w="1912"/>
        <w:gridCol w:w="1912"/>
      </w:tblGrid>
      <w:tr w:rsidR="004B654B" w:rsidRPr="004B654B" w:rsidTr="004B654B">
        <w:trPr>
          <w:trHeight w:val="1563"/>
        </w:trPr>
        <w:tc>
          <w:tcPr>
            <w:tcW w:w="62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п/п</w:t>
            </w:r>
          </w:p>
        </w:tc>
        <w:tc>
          <w:tcPr>
            <w:tcW w:w="5163" w:type="dxa"/>
            <w:tcBorders>
              <w:top w:val="single" w:sz="8" w:space="0" w:color="auto"/>
              <w:left w:val="nil"/>
              <w:bottom w:val="single" w:sz="8" w:space="0" w:color="auto"/>
              <w:right w:val="single" w:sz="4"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Наименование показателя</w:t>
            </w:r>
          </w:p>
        </w:tc>
        <w:tc>
          <w:tcPr>
            <w:tcW w:w="1912" w:type="dxa"/>
            <w:tcBorders>
              <w:top w:val="single" w:sz="8" w:space="0" w:color="auto"/>
              <w:left w:val="nil"/>
              <w:bottom w:val="single" w:sz="8" w:space="0" w:color="auto"/>
              <w:right w:val="single" w:sz="4" w:space="0" w:color="auto"/>
            </w:tcBorders>
            <w:shd w:val="clear" w:color="auto" w:fill="auto"/>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Фактические показатели за отчетный период, тыс. руб. ПМР</w:t>
            </w:r>
          </w:p>
        </w:tc>
        <w:tc>
          <w:tcPr>
            <w:tcW w:w="1912" w:type="dxa"/>
            <w:tcBorders>
              <w:top w:val="single" w:sz="8" w:space="0" w:color="auto"/>
              <w:left w:val="nil"/>
              <w:bottom w:val="single" w:sz="8" w:space="0" w:color="auto"/>
              <w:right w:val="single" w:sz="8" w:space="0" w:color="auto"/>
            </w:tcBorders>
            <w:shd w:val="clear" w:color="auto" w:fill="auto"/>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Фактические показатели за предыдущий период, тыс. руб. ПМР</w:t>
            </w:r>
          </w:p>
        </w:tc>
      </w:tr>
      <w:tr w:rsidR="004B654B" w:rsidRPr="004B654B" w:rsidTr="004B654B">
        <w:trPr>
          <w:trHeight w:val="892"/>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vAlign w:val="bottom"/>
            <w:hideMark/>
          </w:tcPr>
          <w:p w:rsidR="004B654B" w:rsidRPr="004B654B" w:rsidRDefault="004B654B" w:rsidP="004B654B">
            <w:pPr>
              <w:spacing w:after="0" w:line="240" w:lineRule="auto"/>
              <w:jc w:val="both"/>
              <w:rPr>
                <w:rFonts w:ascii="Times New Roman" w:eastAsia="Times New Roman" w:hAnsi="Times New Roman" w:cs="Times New Roman"/>
                <w:bCs/>
                <w:i/>
                <w:iCs/>
                <w:color w:val="000000"/>
                <w:sz w:val="24"/>
                <w:szCs w:val="24"/>
              </w:rPr>
            </w:pPr>
            <w:r w:rsidRPr="004B654B">
              <w:rPr>
                <w:rFonts w:ascii="Times New Roman" w:eastAsia="Times New Roman" w:hAnsi="Times New Roman" w:cs="Times New Roman"/>
                <w:bCs/>
                <w:i/>
                <w:iCs/>
                <w:color w:val="000000"/>
                <w:sz w:val="24"/>
                <w:szCs w:val="24"/>
              </w:rPr>
              <w:t xml:space="preserve">Раздел 1. Данные балансового отчета о финансовом положении хозяйствующего субъекта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Долгосрочные (</w:t>
            </w:r>
            <w:proofErr w:type="spellStart"/>
            <w:r w:rsidRPr="004B654B">
              <w:rPr>
                <w:rFonts w:ascii="Times New Roman" w:eastAsia="Times New Roman" w:hAnsi="Times New Roman" w:cs="Times New Roman"/>
                <w:color w:val="000000"/>
                <w:sz w:val="24"/>
                <w:szCs w:val="24"/>
              </w:rPr>
              <w:t>внеоборотные</w:t>
            </w:r>
            <w:proofErr w:type="spellEnd"/>
            <w:r w:rsidRPr="004B654B">
              <w:rPr>
                <w:rFonts w:ascii="Times New Roman" w:eastAsia="Times New Roman" w:hAnsi="Times New Roman" w:cs="Times New Roman"/>
                <w:color w:val="000000"/>
                <w:sz w:val="24"/>
                <w:szCs w:val="24"/>
              </w:rPr>
              <w:t>) активы, в том числе</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1.2</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Краткосрочные (оборотные) активы, в том числе</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СПРАВОЧНО: ИТОГО АКТИВ БАЛАНСА</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1.3</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Капитал и резервы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1.4</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Долгосрочные обязательства</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1.5</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Краткосрочные обязательства</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12"/>
        </w:trPr>
        <w:tc>
          <w:tcPr>
            <w:tcW w:w="629" w:type="dxa"/>
            <w:tcBorders>
              <w:top w:val="nil"/>
              <w:left w:val="single" w:sz="8" w:space="0" w:color="auto"/>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СПРАВОЧНО: ИТОГО ПАССИВ БАЛАНСА</w:t>
            </w:r>
          </w:p>
        </w:tc>
        <w:tc>
          <w:tcPr>
            <w:tcW w:w="1912"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8"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bCs/>
                <w:i/>
                <w:iCs/>
                <w:color w:val="000000"/>
                <w:sz w:val="24"/>
                <w:szCs w:val="24"/>
              </w:rPr>
            </w:pPr>
            <w:r w:rsidRPr="004B654B">
              <w:rPr>
                <w:rFonts w:ascii="Times New Roman" w:eastAsia="Times New Roman" w:hAnsi="Times New Roman" w:cs="Times New Roman"/>
                <w:bCs/>
                <w:i/>
                <w:iCs/>
                <w:color w:val="000000"/>
                <w:sz w:val="24"/>
                <w:szCs w:val="24"/>
              </w:rPr>
              <w:t xml:space="preserve">Раздел 2. Сведения о совокупном доходе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Доход от продаж (выручка)</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2.2</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Себестоимость продаж</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2.3</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Валовая прибыль (убыток)</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2.4</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Другие операционные доходы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2.5</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Коммерческие расходы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2.6</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Общие и административные расходы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2.7</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Другие операционные расходы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2.8</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Прибыль (убыток) от операционной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2.9</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Доходы от инвестиционной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2.10</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Расходы по инвестиционной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2.11</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Прибыль (убыток) от инвестиционной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2.12</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Доходы от финансовой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2.13</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Расходы по финансовой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2.14</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Прибыль (убыток) от финансовой деятельности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2.15</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Прибыль до налогообложения</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2.16</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Расходы по налогам из прибыли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12"/>
        </w:trPr>
        <w:tc>
          <w:tcPr>
            <w:tcW w:w="629" w:type="dxa"/>
            <w:tcBorders>
              <w:top w:val="nil"/>
              <w:left w:val="single" w:sz="8" w:space="0" w:color="auto"/>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2.17</w:t>
            </w:r>
          </w:p>
        </w:tc>
        <w:tc>
          <w:tcPr>
            <w:tcW w:w="5163"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Чистая прибыль(убыток) </w:t>
            </w:r>
          </w:p>
        </w:tc>
        <w:tc>
          <w:tcPr>
            <w:tcW w:w="1912"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8"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94"/>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bCs/>
                <w:i/>
                <w:iCs/>
                <w:color w:val="000000"/>
                <w:sz w:val="24"/>
                <w:szCs w:val="24"/>
              </w:rPr>
            </w:pPr>
            <w:r w:rsidRPr="004B654B">
              <w:rPr>
                <w:rFonts w:ascii="Times New Roman" w:eastAsia="Times New Roman" w:hAnsi="Times New Roman" w:cs="Times New Roman"/>
                <w:bCs/>
                <w:i/>
                <w:iCs/>
                <w:color w:val="000000"/>
                <w:sz w:val="24"/>
                <w:szCs w:val="24"/>
              </w:rPr>
              <w:t>Раздел 3. Сведения о наличии имущества</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3.1</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Стоимость чистых активов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3.2</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Первоначальная стоимость основных средств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3.3</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Остаточная стоимость основных средств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3.4</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Первоначальная стоимость нематериальных активов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3.5</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Остаточная стоимость нематериальных активов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05"/>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3.6</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Незавершенные материальные активы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05"/>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3.7</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Незавершенные нематериальные активы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3.8</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Инвестиционная недвижимость (по остаточной стоимости)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3.9</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Биологические активы (по остаточной стоимости)</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3.10</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Долгосрочные финансовые активы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3.11</w:t>
            </w:r>
          </w:p>
        </w:tc>
        <w:tc>
          <w:tcPr>
            <w:tcW w:w="5163" w:type="dxa"/>
            <w:tcBorders>
              <w:top w:val="nil"/>
              <w:left w:val="nil"/>
              <w:bottom w:val="single" w:sz="4" w:space="0" w:color="auto"/>
              <w:right w:val="single" w:sz="4" w:space="0" w:color="auto"/>
            </w:tcBorders>
            <w:shd w:val="clear" w:color="auto" w:fill="auto"/>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Прочие долгосрочные активы</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noWrap/>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bCs/>
                <w:i/>
                <w:iCs/>
                <w:color w:val="000000"/>
                <w:sz w:val="24"/>
                <w:szCs w:val="24"/>
              </w:rPr>
              <w:t>Раздел 4. Сведения о вводе в действие объектов основных средств и использовании инвестиций в основной капитал</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12"/>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4.1</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Ввод в действие основных средств</w:t>
            </w:r>
          </w:p>
        </w:tc>
        <w:tc>
          <w:tcPr>
            <w:tcW w:w="1912"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8"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892"/>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w:t>
            </w:r>
          </w:p>
        </w:tc>
        <w:tc>
          <w:tcPr>
            <w:tcW w:w="5163" w:type="dxa"/>
            <w:tcBorders>
              <w:top w:val="nil"/>
              <w:left w:val="nil"/>
              <w:bottom w:val="single" w:sz="4" w:space="0" w:color="auto"/>
              <w:right w:val="single" w:sz="4" w:space="0" w:color="auto"/>
            </w:tcBorders>
            <w:shd w:val="clear" w:color="auto" w:fill="auto"/>
            <w:vAlign w:val="bottom"/>
            <w:hideMark/>
          </w:tcPr>
          <w:p w:rsidR="004B654B" w:rsidRPr="004B654B" w:rsidRDefault="004B654B" w:rsidP="004B654B">
            <w:pPr>
              <w:spacing w:after="0" w:line="240" w:lineRule="auto"/>
              <w:jc w:val="both"/>
              <w:rPr>
                <w:rFonts w:ascii="Times New Roman" w:eastAsia="Times New Roman" w:hAnsi="Times New Roman" w:cs="Times New Roman"/>
                <w:bCs/>
                <w:i/>
                <w:iCs/>
                <w:color w:val="000000"/>
                <w:sz w:val="24"/>
                <w:szCs w:val="24"/>
              </w:rPr>
            </w:pPr>
            <w:r w:rsidRPr="004B654B">
              <w:rPr>
                <w:rFonts w:ascii="Times New Roman" w:eastAsia="Times New Roman" w:hAnsi="Times New Roman" w:cs="Times New Roman"/>
                <w:color w:val="000000"/>
                <w:sz w:val="24"/>
                <w:szCs w:val="24"/>
              </w:rPr>
              <w:t>Всего инвестиций в основной капитал (в части приобретения новых и восстановления действующих основных средств)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в том числе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20"/>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4.2.1</w:t>
            </w:r>
          </w:p>
        </w:tc>
        <w:tc>
          <w:tcPr>
            <w:tcW w:w="5163" w:type="dxa"/>
            <w:tcBorders>
              <w:top w:val="nil"/>
              <w:left w:val="nil"/>
              <w:bottom w:val="single" w:sz="4" w:space="0" w:color="auto"/>
              <w:right w:val="single" w:sz="4" w:space="0" w:color="auto"/>
            </w:tcBorders>
            <w:shd w:val="clear" w:color="auto" w:fill="auto"/>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новое строительство объектов основных средств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4.2.2</w:t>
            </w:r>
          </w:p>
        </w:tc>
        <w:tc>
          <w:tcPr>
            <w:tcW w:w="5163" w:type="dxa"/>
            <w:tcBorders>
              <w:top w:val="nil"/>
              <w:left w:val="nil"/>
              <w:bottom w:val="single" w:sz="4" w:space="0" w:color="auto"/>
              <w:right w:val="single" w:sz="4" w:space="0" w:color="auto"/>
            </w:tcBorders>
            <w:shd w:val="clear" w:color="auto" w:fill="auto"/>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реконструкция объектов основных средств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4.2.3</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капитальный ремонт объектов основных средств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4.2.4</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модернизация объектов основных средств </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4.2.5</w:t>
            </w:r>
          </w:p>
        </w:tc>
        <w:tc>
          <w:tcPr>
            <w:tcW w:w="5163"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приобретение объектов основных средств (машины, оборудование, транспортные средства, инструмент, инвентарь)</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97"/>
        </w:trPr>
        <w:tc>
          <w:tcPr>
            <w:tcW w:w="629" w:type="dxa"/>
            <w:tcBorders>
              <w:top w:val="nil"/>
              <w:left w:val="single" w:sz="8" w:space="0" w:color="auto"/>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4.2.6</w:t>
            </w:r>
          </w:p>
        </w:tc>
        <w:tc>
          <w:tcPr>
            <w:tcW w:w="5163" w:type="dxa"/>
            <w:tcBorders>
              <w:top w:val="nil"/>
              <w:left w:val="nil"/>
              <w:bottom w:val="single" w:sz="8"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прочие инвестиции в основной капитал (в части приобретения новых и восстановления </w:t>
            </w:r>
            <w:r w:rsidRPr="004B654B">
              <w:rPr>
                <w:rFonts w:ascii="Times New Roman" w:eastAsia="Times New Roman" w:hAnsi="Times New Roman" w:cs="Times New Roman"/>
                <w:color w:val="000000"/>
                <w:sz w:val="24"/>
                <w:szCs w:val="24"/>
              </w:rPr>
              <w:lastRenderedPageBreak/>
              <w:t>действующих основных средств)</w:t>
            </w:r>
          </w:p>
        </w:tc>
        <w:tc>
          <w:tcPr>
            <w:tcW w:w="1912" w:type="dxa"/>
            <w:tcBorders>
              <w:top w:val="nil"/>
              <w:left w:val="nil"/>
              <w:bottom w:val="single" w:sz="4" w:space="0" w:color="auto"/>
              <w:right w:val="single" w:sz="4"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 </w:t>
            </w:r>
          </w:p>
        </w:tc>
        <w:tc>
          <w:tcPr>
            <w:tcW w:w="1912" w:type="dxa"/>
            <w:tcBorders>
              <w:top w:val="nil"/>
              <w:left w:val="nil"/>
              <w:bottom w:val="single" w:sz="4" w:space="0" w:color="auto"/>
              <w:right w:val="single" w:sz="8" w:space="0" w:color="auto"/>
            </w:tcBorders>
            <w:shd w:val="clear" w:color="auto" w:fill="auto"/>
            <w:noWrap/>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bl>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r w:rsidRPr="004B654B">
        <w:rPr>
          <w:rFonts w:ascii="Times New Roman" w:eastAsia="Times New Roman" w:hAnsi="Times New Roman" w:cs="Times New Roman"/>
          <w:b/>
          <w:bCs/>
          <w:color w:val="000000"/>
          <w:sz w:val="24"/>
          <w:szCs w:val="24"/>
        </w:rPr>
        <w:t>III. Цены (тарифы) по регулируемым видам деятельности организации</w:t>
      </w:r>
    </w:p>
    <w:p w:rsidR="004B654B" w:rsidRPr="004B654B" w:rsidRDefault="004B654B" w:rsidP="004B654B">
      <w:pPr>
        <w:spacing w:after="0" w:line="240" w:lineRule="auto"/>
        <w:jc w:val="both"/>
        <w:rPr>
          <w:rFonts w:ascii="Times New Roman" w:eastAsia="Times New Roman" w:hAnsi="Times New Roman" w:cs="Times New Roman"/>
          <w:b/>
          <w:color w:val="000000"/>
          <w:sz w:val="24"/>
          <w:szCs w:val="24"/>
        </w:rPr>
      </w:pPr>
    </w:p>
    <w:tbl>
      <w:tblPr>
        <w:tblW w:w="9745" w:type="dxa"/>
        <w:tblCellMar>
          <w:left w:w="0" w:type="dxa"/>
          <w:right w:w="0" w:type="dxa"/>
        </w:tblCellMar>
        <w:tblLook w:val="04A0" w:firstRow="1" w:lastRow="0" w:firstColumn="1" w:lastColumn="0" w:noHBand="0" w:noVBand="1"/>
      </w:tblPr>
      <w:tblGrid>
        <w:gridCol w:w="570"/>
        <w:gridCol w:w="3149"/>
        <w:gridCol w:w="1293"/>
        <w:gridCol w:w="1551"/>
        <w:gridCol w:w="1631"/>
        <w:gridCol w:w="1551"/>
      </w:tblGrid>
      <w:tr w:rsidR="004B654B" w:rsidRPr="004B654B" w:rsidTr="004B654B">
        <w:trPr>
          <w:trHeight w:val="2100"/>
        </w:trPr>
        <w:tc>
          <w:tcPr>
            <w:tcW w:w="42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w:t>
            </w:r>
          </w:p>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п/п</w:t>
            </w:r>
          </w:p>
        </w:tc>
        <w:tc>
          <w:tcPr>
            <w:tcW w:w="3276"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Наименование</w:t>
            </w:r>
          </w:p>
        </w:tc>
        <w:tc>
          <w:tcPr>
            <w:tcW w:w="1315"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Единица измерения</w:t>
            </w:r>
          </w:p>
        </w:tc>
        <w:tc>
          <w:tcPr>
            <w:tcW w:w="155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Фактические показатели за предыдущий период регулирования</w:t>
            </w:r>
          </w:p>
        </w:tc>
        <w:tc>
          <w:tcPr>
            <w:tcW w:w="163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A80C6B" w:rsidP="004B654B">
            <w:pPr>
              <w:spacing w:after="0" w:line="240" w:lineRule="auto"/>
              <w:jc w:val="center"/>
              <w:rPr>
                <w:rFonts w:ascii="Times New Roman" w:eastAsia="Times New Roman" w:hAnsi="Times New Roman" w:cs="Times New Roman"/>
                <w:color w:val="000000"/>
                <w:sz w:val="24"/>
                <w:szCs w:val="24"/>
              </w:rPr>
            </w:pPr>
            <w:hyperlink r:id="rId11" w:anchor="block_10211" w:history="1">
              <w:r w:rsidR="004B654B" w:rsidRPr="004B654B">
                <w:rPr>
                  <w:rFonts w:ascii="Times New Roman" w:eastAsia="Times New Roman" w:hAnsi="Times New Roman" w:cs="Times New Roman"/>
                  <w:color w:val="000000"/>
                  <w:sz w:val="24"/>
                  <w:szCs w:val="24"/>
                </w:rPr>
                <w:t>Утвержденный план (текущий период регулирования)</w:t>
              </w:r>
            </w:hyperlink>
          </w:p>
        </w:tc>
        <w:tc>
          <w:tcPr>
            <w:tcW w:w="1551"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Предложения на расчетный период регулирования</w:t>
            </w:r>
          </w:p>
        </w:tc>
      </w:tr>
      <w:tr w:rsidR="004B654B" w:rsidRPr="004B654B" w:rsidTr="004B654B">
        <w:trPr>
          <w:trHeight w:val="630"/>
        </w:trPr>
        <w:tc>
          <w:tcPr>
            <w:tcW w:w="421" w:type="dxa"/>
            <w:tcBorders>
              <w:top w:val="single" w:sz="4" w:space="0" w:color="auto"/>
              <w:left w:val="single" w:sz="4" w:space="0" w:color="auto"/>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w:t>
            </w:r>
          </w:p>
        </w:tc>
        <w:tc>
          <w:tcPr>
            <w:tcW w:w="3276" w:type="dxa"/>
            <w:tcBorders>
              <w:top w:val="single" w:sz="4" w:space="0" w:color="auto"/>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Услуги по оперативно-диспетчерскому управлению в электроэнергетике</w:t>
            </w:r>
          </w:p>
        </w:tc>
        <w:tc>
          <w:tcPr>
            <w:tcW w:w="1315"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405"/>
        </w:trPr>
        <w:tc>
          <w:tcPr>
            <w:tcW w:w="421" w:type="dxa"/>
            <w:tcBorders>
              <w:top w:val="nil"/>
              <w:left w:val="single" w:sz="4" w:space="0" w:color="auto"/>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w:t>
            </w:r>
          </w:p>
        </w:tc>
        <w:tc>
          <w:tcPr>
            <w:tcW w:w="3276"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Услуги по передаче электрической энергии</w:t>
            </w:r>
          </w:p>
        </w:tc>
        <w:tc>
          <w:tcPr>
            <w:tcW w:w="1315"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0"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405"/>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lang w:val="en-US"/>
              </w:rPr>
            </w:pPr>
            <w:r w:rsidRPr="004B654B">
              <w:rPr>
                <w:rFonts w:ascii="Times New Roman" w:eastAsia="Times New Roman" w:hAnsi="Times New Roman" w:cs="Times New Roman"/>
                <w:color w:val="000000"/>
                <w:sz w:val="24"/>
                <w:szCs w:val="24"/>
              </w:rPr>
              <w:t>Распределение электрической энергии:</w:t>
            </w:r>
          </w:p>
        </w:tc>
        <w:tc>
          <w:tcPr>
            <w:tcW w:w="131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405"/>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3.1.</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населению на бытовые нужды</w:t>
            </w:r>
          </w:p>
        </w:tc>
        <w:tc>
          <w:tcPr>
            <w:tcW w:w="0" w:type="auto"/>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r>
      <w:tr w:rsidR="004B654B" w:rsidRPr="004B654B" w:rsidTr="004B654B">
        <w:trPr>
          <w:trHeight w:val="405"/>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3.2.</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организациям, финансируемым из бюджетов всех уровней</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694"/>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3.3</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организациям, осуществляющим управление многоквартирным жилым домом (общежитием), товариществам собственников жилья, жилищным и жилищно-строительным кооперативам на общедомовые нужды в жилищном фонде</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51"/>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3.4</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прочим потребителям</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600"/>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Поставка электрической энергии (организация купли-продажи электрической энергии)</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15"/>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Электрическая энергия:</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15"/>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5.1.</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отпускаемая населению </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600"/>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5.1.1.</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за объем электрической энергии, потребленный в пределах лимита</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600"/>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5.1.2.</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за объем электрической энергии, потребленный свыше лимита</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1500"/>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5.2.</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отпускаемая организациям, осуществляющим управление многоквартирным жилым домом (общежитием), товариществам </w:t>
            </w:r>
            <w:r w:rsidRPr="004B654B">
              <w:rPr>
                <w:rFonts w:ascii="Times New Roman" w:eastAsia="Times New Roman" w:hAnsi="Times New Roman" w:cs="Times New Roman"/>
                <w:color w:val="000000"/>
                <w:sz w:val="24"/>
                <w:szCs w:val="24"/>
              </w:rPr>
              <w:lastRenderedPageBreak/>
              <w:t>собственников жилья, жилищным и жилищно-строительным кооперативам на общедомовые нужды в жилищном фонде</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1500"/>
        </w:trPr>
        <w:tc>
          <w:tcPr>
            <w:tcW w:w="421"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5.3.</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отпускаемая организациям, финансируемым из бюджетов всех уровней, организациям городского электрического транспорта, негосударственным (общественным, частным) организациям образования, реализующим деятельность в области общего образования</w:t>
            </w:r>
          </w:p>
        </w:tc>
        <w:tc>
          <w:tcPr>
            <w:tcW w:w="131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63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00"/>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присоединенным к передающим сетям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00"/>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присоединенным к распределительным сетям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00"/>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5.4.</w:t>
            </w: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отпускаемая промышленным и прочим потребителям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00"/>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присоединенным к передающим сетям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300"/>
        </w:trPr>
        <w:tc>
          <w:tcPr>
            <w:tcW w:w="421"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3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присоединенным к распределительным сетям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bl>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p w:rsidR="004B654B" w:rsidRPr="004B654B" w:rsidRDefault="004B654B" w:rsidP="004B654B">
      <w:pPr>
        <w:spacing w:after="160" w:line="259" w:lineRule="auto"/>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lastRenderedPageBreak/>
        <w:t>Приложение № 2</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 xml:space="preserve">к </w:t>
      </w:r>
      <w:hyperlink r:id="rId12" w:anchor="block_1000" w:history="1">
        <w:r w:rsidRPr="004B654B">
          <w:rPr>
            <w:rFonts w:ascii="Times New Roman" w:eastAsia="Times New Roman" w:hAnsi="Times New Roman" w:cs="Times New Roman"/>
            <w:bCs/>
            <w:color w:val="000000"/>
            <w:sz w:val="24"/>
            <w:szCs w:val="24"/>
          </w:rPr>
          <w:t>стандартам</w:t>
        </w:r>
      </w:hyperlink>
      <w:r w:rsidRPr="004B654B">
        <w:rPr>
          <w:rFonts w:ascii="Times New Roman" w:eastAsia="Times New Roman" w:hAnsi="Times New Roman" w:cs="Times New Roman"/>
          <w:bCs/>
          <w:color w:val="000000"/>
          <w:sz w:val="24"/>
          <w:szCs w:val="24"/>
        </w:rPr>
        <w:t xml:space="preserve"> раскрытия информации</w:t>
      </w:r>
    </w:p>
    <w:p w:rsidR="004B654B" w:rsidRPr="004B654B" w:rsidRDefault="004B654B" w:rsidP="004B654B">
      <w:pPr>
        <w:spacing w:after="0" w:line="240" w:lineRule="auto"/>
        <w:jc w:val="right"/>
        <w:rPr>
          <w:rFonts w:ascii="Times New Roman" w:eastAsia="Times New Roman" w:hAnsi="Times New Roman" w:cs="Times New Roman"/>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jc w:val="right"/>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(форма)</w:t>
      </w: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r w:rsidRPr="004B654B">
        <w:rPr>
          <w:rFonts w:ascii="Times New Roman" w:eastAsia="Times New Roman" w:hAnsi="Times New Roman" w:cs="Times New Roman"/>
          <w:b/>
          <w:bCs/>
          <w:color w:val="000000"/>
          <w:sz w:val="24"/>
          <w:szCs w:val="24"/>
        </w:rPr>
        <w:t>Основные показатели деятельности сетевой организации</w:t>
      </w: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bl>
      <w:tblPr>
        <w:tblW w:w="9839" w:type="dxa"/>
        <w:tblLook w:val="04A0" w:firstRow="1" w:lastRow="0" w:firstColumn="1" w:lastColumn="0" w:noHBand="0" w:noVBand="1"/>
      </w:tblPr>
      <w:tblGrid>
        <w:gridCol w:w="936"/>
        <w:gridCol w:w="3534"/>
        <w:gridCol w:w="1697"/>
        <w:gridCol w:w="1836"/>
        <w:gridCol w:w="1836"/>
      </w:tblGrid>
      <w:tr w:rsidR="004B654B" w:rsidRPr="004B654B" w:rsidTr="004B654B">
        <w:trPr>
          <w:trHeight w:val="288"/>
        </w:trPr>
        <w:tc>
          <w:tcPr>
            <w:tcW w:w="933" w:type="dxa"/>
            <w:tcBorders>
              <w:top w:val="single" w:sz="4" w:space="0" w:color="auto"/>
              <w:left w:val="single" w:sz="4" w:space="0" w:color="auto"/>
              <w:bottom w:val="single" w:sz="4" w:space="0" w:color="auto"/>
              <w:right w:val="single" w:sz="4" w:space="0" w:color="auto"/>
            </w:tcBorders>
            <w:shd w:val="clear" w:color="000000" w:fill="FFFFFF"/>
            <w:vAlign w:val="center"/>
          </w:tcPr>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 п/п</w:t>
            </w:r>
          </w:p>
        </w:tc>
        <w:tc>
          <w:tcPr>
            <w:tcW w:w="3537" w:type="dxa"/>
            <w:tcBorders>
              <w:top w:val="single" w:sz="4" w:space="0" w:color="auto"/>
              <w:left w:val="nil"/>
              <w:bottom w:val="single" w:sz="4" w:space="0" w:color="auto"/>
              <w:right w:val="single" w:sz="4" w:space="0" w:color="auto"/>
            </w:tcBorders>
            <w:shd w:val="clear" w:color="000000" w:fill="FFFFFF"/>
            <w:vAlign w:val="center"/>
          </w:tcPr>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Наименование показателя</w:t>
            </w:r>
          </w:p>
        </w:tc>
        <w:tc>
          <w:tcPr>
            <w:tcW w:w="1697" w:type="dxa"/>
            <w:tcBorders>
              <w:top w:val="single" w:sz="4" w:space="0" w:color="auto"/>
              <w:left w:val="nil"/>
              <w:bottom w:val="single" w:sz="4" w:space="0" w:color="auto"/>
              <w:right w:val="single" w:sz="4" w:space="0" w:color="auto"/>
            </w:tcBorders>
            <w:shd w:val="clear" w:color="000000" w:fill="FFFFFF"/>
            <w:vAlign w:val="center"/>
          </w:tcPr>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Ед. изм.</w:t>
            </w:r>
          </w:p>
        </w:tc>
        <w:tc>
          <w:tcPr>
            <w:tcW w:w="1836" w:type="dxa"/>
            <w:tcBorders>
              <w:top w:val="single" w:sz="4" w:space="0" w:color="auto"/>
              <w:left w:val="nil"/>
              <w:bottom w:val="single" w:sz="4" w:space="0" w:color="auto"/>
              <w:right w:val="single" w:sz="4" w:space="0" w:color="auto"/>
            </w:tcBorders>
            <w:shd w:val="clear" w:color="000000" w:fill="FFFFFF"/>
            <w:vAlign w:val="center"/>
          </w:tcPr>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Фактические показатели за отчетный период</w:t>
            </w:r>
          </w:p>
        </w:tc>
        <w:tc>
          <w:tcPr>
            <w:tcW w:w="1836" w:type="dxa"/>
            <w:tcBorders>
              <w:top w:val="single" w:sz="4" w:space="0" w:color="auto"/>
              <w:left w:val="nil"/>
              <w:bottom w:val="single" w:sz="4" w:space="0" w:color="auto"/>
              <w:right w:val="single" w:sz="4" w:space="0" w:color="auto"/>
            </w:tcBorders>
            <w:shd w:val="clear" w:color="000000" w:fill="FFFFFF"/>
            <w:vAlign w:val="center"/>
          </w:tcPr>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Фактические показатели за предыдущий период</w:t>
            </w:r>
          </w:p>
        </w:tc>
      </w:tr>
      <w:tr w:rsidR="004B654B" w:rsidRPr="004B654B" w:rsidTr="004B654B">
        <w:trPr>
          <w:trHeight w:val="288"/>
        </w:trPr>
        <w:tc>
          <w:tcPr>
            <w:tcW w:w="9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w:t>
            </w:r>
          </w:p>
        </w:tc>
        <w:tc>
          <w:tcPr>
            <w:tcW w:w="3537" w:type="dxa"/>
            <w:tcBorders>
              <w:top w:val="single" w:sz="4" w:space="0" w:color="auto"/>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Объемы отпуска электрической энергии - всего</w:t>
            </w:r>
          </w:p>
        </w:tc>
        <w:tc>
          <w:tcPr>
            <w:tcW w:w="1697" w:type="dxa"/>
            <w:tcBorders>
              <w:top w:val="single" w:sz="4" w:space="0" w:color="auto"/>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том числе:</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населению </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1.1.1.</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пределах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сверх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1154"/>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1.1.3.</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население, проживающее в домах, не оборудованных в установленном порядке стационарными электроплитами:</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1.1.3.1.</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пределах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1.1.3.2.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сверх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866"/>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1.1.1.4.</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население, проживающее в домах, оборудованных в установленном порядке стационарными электроплитами:</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1.1.4.1.</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пределах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1.1.4.2.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сверх лимита потребления</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77"/>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потребителям, за исключением электрической энергии, поставляемой населению </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866"/>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1.3.</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сетевым организациям, приобретающим электрическую энергию в целях компенсации потерь электрической энергии в сетях</w:t>
            </w:r>
          </w:p>
        </w:tc>
        <w:tc>
          <w:tcPr>
            <w:tcW w:w="1697" w:type="dxa"/>
            <w:tcBorders>
              <w:top w:val="nil"/>
              <w:left w:val="nil"/>
              <w:bottom w:val="single" w:sz="4" w:space="0" w:color="auto"/>
              <w:right w:val="single" w:sz="4" w:space="0" w:color="auto"/>
            </w:tcBorders>
            <w:shd w:val="clear" w:color="000000" w:fill="FFFFFF"/>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roofErr w:type="spellStart"/>
            <w:r w:rsidRPr="004B654B">
              <w:rPr>
                <w:rFonts w:ascii="Times New Roman" w:eastAsia="Times New Roman" w:hAnsi="Times New Roman" w:cs="Times New Roman"/>
                <w:color w:val="000000"/>
                <w:sz w:val="24"/>
                <w:szCs w:val="24"/>
              </w:rPr>
              <w:t>тыс.кВт</w:t>
            </w:r>
            <w:proofErr w:type="spellEnd"/>
            <w:r w:rsidRPr="004B654B">
              <w:rPr>
                <w:rFonts w:ascii="Times New Roman" w:eastAsia="Times New Roman" w:hAnsi="Times New Roman" w:cs="Times New Roman"/>
                <w:color w:val="000000"/>
                <w:sz w:val="24"/>
                <w:szCs w:val="24"/>
              </w:rPr>
              <w:t>/ч</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1.4.</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A80C6B" w:rsidP="004B654B">
            <w:pPr>
              <w:spacing w:after="0" w:line="240" w:lineRule="auto"/>
              <w:rPr>
                <w:rFonts w:ascii="Times New Roman" w:eastAsia="Times New Roman" w:hAnsi="Times New Roman" w:cs="Times New Roman"/>
                <w:color w:val="000000"/>
                <w:sz w:val="24"/>
                <w:szCs w:val="24"/>
              </w:rPr>
            </w:pPr>
            <w:hyperlink r:id="rId13" w:anchor="block_10223" w:history="1">
              <w:r w:rsidR="004B654B" w:rsidRPr="004B654B">
                <w:rPr>
                  <w:rFonts w:ascii="Times New Roman" w:eastAsia="Times New Roman" w:hAnsi="Times New Roman" w:cs="Times New Roman"/>
                  <w:color w:val="000000"/>
                  <w:sz w:val="24"/>
                  <w:szCs w:val="24"/>
                </w:rPr>
                <w:t>уровень потерь электрической энергии</w:t>
              </w:r>
            </w:hyperlink>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процентов</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Количество обслуживаемых договоров - всего</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том числе:</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2.1.</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с населением </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тыс. штук</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77"/>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с потребителями, за исключением электрической энергии, поставляемой населению </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тыс. штук</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577"/>
        </w:trPr>
        <w:tc>
          <w:tcPr>
            <w:tcW w:w="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Количество точек учета по обслуживаемым договорам - всего</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88"/>
        </w:trPr>
        <w:tc>
          <w:tcPr>
            <w:tcW w:w="933"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в том числе:</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440"/>
        </w:trPr>
        <w:tc>
          <w:tcPr>
            <w:tcW w:w="933"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lastRenderedPageBreak/>
              <w:t>3.1.</w:t>
            </w:r>
          </w:p>
        </w:tc>
        <w:tc>
          <w:tcPr>
            <w:tcW w:w="3537"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по населению </w:t>
            </w:r>
          </w:p>
        </w:tc>
        <w:tc>
          <w:tcPr>
            <w:tcW w:w="1697"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штук</w:t>
            </w:r>
          </w:p>
        </w:tc>
        <w:tc>
          <w:tcPr>
            <w:tcW w:w="1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vMerge w:val="restart"/>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276"/>
        </w:trPr>
        <w:tc>
          <w:tcPr>
            <w:tcW w:w="933"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3537"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p>
        </w:tc>
        <w:tc>
          <w:tcPr>
            <w:tcW w:w="1697"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1836"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c>
          <w:tcPr>
            <w:tcW w:w="1836" w:type="dxa"/>
            <w:vMerge/>
            <w:tcBorders>
              <w:top w:val="nil"/>
              <w:left w:val="single" w:sz="4" w:space="0" w:color="auto"/>
              <w:bottom w:val="single" w:sz="4" w:space="0" w:color="auto"/>
              <w:right w:val="single" w:sz="4" w:space="0" w:color="auto"/>
            </w:tcBorders>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r>
      <w:tr w:rsidR="004B654B" w:rsidRPr="004B654B" w:rsidTr="004B654B">
        <w:trPr>
          <w:trHeight w:val="577"/>
        </w:trPr>
        <w:tc>
          <w:tcPr>
            <w:tcW w:w="933" w:type="dxa"/>
            <w:tcBorders>
              <w:top w:val="nil"/>
              <w:left w:val="single" w:sz="4" w:space="0" w:color="auto"/>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3.2.</w:t>
            </w:r>
          </w:p>
        </w:tc>
        <w:tc>
          <w:tcPr>
            <w:tcW w:w="353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по потребителям, за исключением электрической энергии, поставляемой населению </w:t>
            </w:r>
          </w:p>
        </w:tc>
        <w:tc>
          <w:tcPr>
            <w:tcW w:w="1697"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штук</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836" w:type="dxa"/>
            <w:tcBorders>
              <w:top w:val="nil"/>
              <w:left w:val="nil"/>
              <w:bottom w:val="single" w:sz="4" w:space="0" w:color="auto"/>
              <w:right w:val="single" w:sz="4" w:space="0" w:color="auto"/>
            </w:tcBorders>
            <w:shd w:val="clear" w:color="000000" w:fill="FFFFFF"/>
            <w:vAlign w:val="center"/>
            <w:hideMark/>
          </w:tcPr>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bl>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lastRenderedPageBreak/>
        <w:t>Приложение № 3</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к стандартам раскрытия информации</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jc w:val="right"/>
        <w:rPr>
          <w:rFonts w:ascii="Times New Roman" w:eastAsia="Times New Roman" w:hAnsi="Times New Roman" w:cs="Times New Roman"/>
          <w:color w:val="000000"/>
          <w:sz w:val="24"/>
          <w:szCs w:val="24"/>
        </w:rPr>
      </w:pPr>
      <w:r w:rsidRPr="004B654B">
        <w:rPr>
          <w:rFonts w:ascii="Times New Roman" w:eastAsia="Times New Roman" w:hAnsi="Times New Roman" w:cs="Times New Roman"/>
          <w:bCs/>
          <w:color w:val="000000"/>
          <w:sz w:val="24"/>
          <w:szCs w:val="24"/>
        </w:rPr>
        <w:t>(форма)</w:t>
      </w: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
          <w:bCs/>
          <w:color w:val="000000"/>
          <w:sz w:val="24"/>
          <w:szCs w:val="24"/>
        </w:rPr>
        <w:t xml:space="preserve">Информация </w:t>
      </w:r>
      <w:proofErr w:type="gramStart"/>
      <w:r w:rsidRPr="004B654B">
        <w:rPr>
          <w:rFonts w:ascii="Times New Roman" w:eastAsia="Times New Roman" w:hAnsi="Times New Roman" w:cs="Times New Roman"/>
          <w:b/>
          <w:bCs/>
          <w:color w:val="000000"/>
          <w:sz w:val="24"/>
          <w:szCs w:val="24"/>
        </w:rPr>
        <w:t>о фактических объемах</w:t>
      </w:r>
      <w:proofErr w:type="gramEnd"/>
      <w:r w:rsidRPr="004B654B">
        <w:rPr>
          <w:rFonts w:ascii="Times New Roman" w:eastAsia="Times New Roman" w:hAnsi="Times New Roman" w:cs="Times New Roman"/>
          <w:b/>
          <w:bCs/>
          <w:color w:val="000000"/>
          <w:sz w:val="24"/>
          <w:szCs w:val="24"/>
        </w:rPr>
        <w:t xml:space="preserve"> построенных (реконструированных) объектов за предыдущий отчетный период по каждому мероприятию</w:t>
      </w:r>
    </w:p>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tbl>
      <w:tblPr>
        <w:tblStyle w:val="1"/>
        <w:tblW w:w="0" w:type="auto"/>
        <w:tblLook w:val="04A0" w:firstRow="1" w:lastRow="0" w:firstColumn="1" w:lastColumn="0" w:noHBand="0" w:noVBand="1"/>
      </w:tblPr>
      <w:tblGrid>
        <w:gridCol w:w="814"/>
        <w:gridCol w:w="1422"/>
        <w:gridCol w:w="1619"/>
        <w:gridCol w:w="2231"/>
        <w:gridCol w:w="1592"/>
        <w:gridCol w:w="1893"/>
      </w:tblGrid>
      <w:tr w:rsidR="004B654B" w:rsidRPr="004B654B" w:rsidTr="004B654B">
        <w:trPr>
          <w:trHeight w:val="600"/>
        </w:trPr>
        <w:tc>
          <w:tcPr>
            <w:tcW w:w="96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w:t>
            </w:r>
          </w:p>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п/п</w:t>
            </w:r>
          </w:p>
        </w:tc>
        <w:tc>
          <w:tcPr>
            <w:tcW w:w="886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Наименование и адрес объекта</w:t>
            </w:r>
          </w:p>
        </w:tc>
        <w:tc>
          <w:tcPr>
            <w:tcW w:w="196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Срок освоения</w:t>
            </w:r>
          </w:p>
        </w:tc>
        <w:tc>
          <w:tcPr>
            <w:tcW w:w="272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Способ выполнения работ</w:t>
            </w:r>
          </w:p>
        </w:tc>
        <w:tc>
          <w:tcPr>
            <w:tcW w:w="328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Источник финансирования капитальных вложений</w:t>
            </w:r>
          </w:p>
        </w:tc>
        <w:tc>
          <w:tcPr>
            <w:tcW w:w="2300" w:type="dxa"/>
            <w:vAlign w:val="center"/>
            <w:hideMark/>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Стоимость </w:t>
            </w:r>
          </w:p>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тыс. руб. ПМР</w:t>
            </w:r>
          </w:p>
        </w:tc>
      </w:tr>
      <w:tr w:rsidR="004B654B" w:rsidRPr="004B654B" w:rsidTr="004B654B">
        <w:trPr>
          <w:trHeight w:val="765"/>
        </w:trPr>
        <w:tc>
          <w:tcPr>
            <w:tcW w:w="96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8860" w:type="dxa"/>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6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272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3280" w:type="dxa"/>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230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r w:rsidR="004B654B" w:rsidRPr="004B654B" w:rsidTr="004B654B">
        <w:trPr>
          <w:trHeight w:val="960"/>
        </w:trPr>
        <w:tc>
          <w:tcPr>
            <w:tcW w:w="96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8860" w:type="dxa"/>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196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272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3280" w:type="dxa"/>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c>
          <w:tcPr>
            <w:tcW w:w="2300" w:type="dxa"/>
            <w:noWrap/>
            <w:hideMark/>
          </w:tcPr>
          <w:p w:rsidR="004B654B" w:rsidRPr="004B654B" w:rsidRDefault="004B654B" w:rsidP="004B654B">
            <w:pPr>
              <w:jc w:val="both"/>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w:t>
            </w:r>
          </w:p>
        </w:tc>
      </w:tr>
    </w:tbl>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bookmarkStart w:id="3" w:name="_Hlk130546181"/>
      <w:r w:rsidRPr="004B654B">
        <w:rPr>
          <w:rFonts w:ascii="Times New Roman" w:eastAsia="Times New Roman" w:hAnsi="Times New Roman" w:cs="Times New Roman"/>
          <w:bCs/>
          <w:color w:val="000000"/>
          <w:sz w:val="24"/>
          <w:szCs w:val="24"/>
        </w:rPr>
        <w:lastRenderedPageBreak/>
        <w:t>Приложение № 4</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к стандартам раскрытия информации</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(форма)</w:t>
      </w:r>
    </w:p>
    <w:bookmarkEnd w:id="3"/>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r w:rsidRPr="004B654B">
        <w:rPr>
          <w:rFonts w:ascii="Times New Roman" w:eastAsia="Times New Roman" w:hAnsi="Times New Roman" w:cs="Times New Roman"/>
          <w:b/>
          <w:bCs/>
          <w:color w:val="000000"/>
          <w:sz w:val="24"/>
          <w:szCs w:val="24"/>
        </w:rPr>
        <w:t>Информация о выполнении услуги по технологическому присоединению за отчетный период и 3 предыдущих года</w:t>
      </w: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p>
    <w:tbl>
      <w:tblPr>
        <w:tblStyle w:val="1"/>
        <w:tblW w:w="9918" w:type="dxa"/>
        <w:tblLook w:val="04A0" w:firstRow="1" w:lastRow="0" w:firstColumn="1" w:lastColumn="0" w:noHBand="0" w:noVBand="1"/>
      </w:tblPr>
      <w:tblGrid>
        <w:gridCol w:w="846"/>
        <w:gridCol w:w="1383"/>
        <w:gridCol w:w="1417"/>
        <w:gridCol w:w="1736"/>
        <w:gridCol w:w="1500"/>
        <w:gridCol w:w="1500"/>
        <w:gridCol w:w="1536"/>
      </w:tblGrid>
      <w:tr w:rsidR="004B654B" w:rsidRPr="004B654B" w:rsidTr="004B654B">
        <w:tc>
          <w:tcPr>
            <w:tcW w:w="846" w:type="dxa"/>
            <w:vMerge w:val="restart"/>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Год</w:t>
            </w:r>
          </w:p>
        </w:tc>
        <w:tc>
          <w:tcPr>
            <w:tcW w:w="4536" w:type="dxa"/>
            <w:gridSpan w:val="3"/>
            <w:vAlign w:val="center"/>
          </w:tcPr>
          <w:p w:rsidR="004B654B" w:rsidRPr="004B654B" w:rsidRDefault="004B654B" w:rsidP="004B654B">
            <w:pPr>
              <w:jc w:val="center"/>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color w:val="000000"/>
                <w:sz w:val="24"/>
                <w:szCs w:val="24"/>
              </w:rPr>
              <w:t>Физические лица</w:t>
            </w:r>
          </w:p>
        </w:tc>
        <w:tc>
          <w:tcPr>
            <w:tcW w:w="4536" w:type="dxa"/>
            <w:gridSpan w:val="3"/>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Юридические лица</w:t>
            </w:r>
          </w:p>
        </w:tc>
      </w:tr>
      <w:tr w:rsidR="004B654B" w:rsidRPr="004B654B" w:rsidTr="004B654B">
        <w:tc>
          <w:tcPr>
            <w:tcW w:w="846" w:type="dxa"/>
            <w:vMerge/>
            <w:vAlign w:val="center"/>
          </w:tcPr>
          <w:p w:rsidR="004B654B" w:rsidRPr="004B654B" w:rsidRDefault="004B654B" w:rsidP="004B654B">
            <w:pPr>
              <w:jc w:val="center"/>
              <w:rPr>
                <w:rFonts w:ascii="Times New Roman" w:eastAsia="Times New Roman" w:hAnsi="Times New Roman" w:cs="Times New Roman"/>
                <w:color w:val="000000"/>
                <w:sz w:val="24"/>
                <w:szCs w:val="24"/>
              </w:rPr>
            </w:pPr>
          </w:p>
        </w:tc>
        <w:tc>
          <w:tcPr>
            <w:tcW w:w="2800" w:type="dxa"/>
            <w:gridSpan w:val="2"/>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Количество договоров (штук)</w:t>
            </w:r>
          </w:p>
        </w:tc>
        <w:tc>
          <w:tcPr>
            <w:tcW w:w="1736" w:type="dxa"/>
            <w:vMerge w:val="restart"/>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Мощность, кВт</w:t>
            </w:r>
          </w:p>
        </w:tc>
        <w:tc>
          <w:tcPr>
            <w:tcW w:w="3000" w:type="dxa"/>
            <w:gridSpan w:val="2"/>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Количество договоров (штук)</w:t>
            </w:r>
          </w:p>
        </w:tc>
        <w:tc>
          <w:tcPr>
            <w:tcW w:w="1536" w:type="dxa"/>
            <w:vMerge w:val="restart"/>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Мощность, кВт</w:t>
            </w:r>
          </w:p>
        </w:tc>
      </w:tr>
      <w:tr w:rsidR="004B654B" w:rsidRPr="004B654B" w:rsidTr="004B654B">
        <w:tc>
          <w:tcPr>
            <w:tcW w:w="846" w:type="dxa"/>
            <w:vMerge/>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383" w:type="dxa"/>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1-о фазных</w:t>
            </w:r>
          </w:p>
        </w:tc>
        <w:tc>
          <w:tcPr>
            <w:tcW w:w="1417" w:type="dxa"/>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3-х фазных</w:t>
            </w:r>
          </w:p>
        </w:tc>
        <w:tc>
          <w:tcPr>
            <w:tcW w:w="1736" w:type="dxa"/>
            <w:vMerge/>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500" w:type="dxa"/>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до 1 </w:t>
            </w:r>
            <w:proofErr w:type="spellStart"/>
            <w:r w:rsidRPr="004B654B">
              <w:rPr>
                <w:rFonts w:ascii="Times New Roman" w:eastAsia="Times New Roman" w:hAnsi="Times New Roman" w:cs="Times New Roman"/>
                <w:color w:val="000000"/>
                <w:sz w:val="24"/>
                <w:szCs w:val="24"/>
              </w:rPr>
              <w:t>кВ</w:t>
            </w:r>
            <w:proofErr w:type="spellEnd"/>
          </w:p>
        </w:tc>
        <w:tc>
          <w:tcPr>
            <w:tcW w:w="1500" w:type="dxa"/>
            <w:vAlign w:val="center"/>
          </w:tcPr>
          <w:p w:rsidR="004B654B" w:rsidRPr="004B654B" w:rsidRDefault="004B654B" w:rsidP="004B654B">
            <w:pPr>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свыше 1 </w:t>
            </w:r>
            <w:proofErr w:type="spellStart"/>
            <w:r w:rsidRPr="004B654B">
              <w:rPr>
                <w:rFonts w:ascii="Times New Roman" w:eastAsia="Times New Roman" w:hAnsi="Times New Roman" w:cs="Times New Roman"/>
                <w:color w:val="000000"/>
                <w:sz w:val="24"/>
                <w:szCs w:val="24"/>
              </w:rPr>
              <w:t>кВ</w:t>
            </w:r>
            <w:proofErr w:type="spellEnd"/>
          </w:p>
        </w:tc>
        <w:tc>
          <w:tcPr>
            <w:tcW w:w="1536" w:type="dxa"/>
            <w:vMerge/>
            <w:vAlign w:val="center"/>
          </w:tcPr>
          <w:p w:rsidR="004B654B" w:rsidRPr="004B654B" w:rsidRDefault="004B654B" w:rsidP="004B654B">
            <w:pPr>
              <w:jc w:val="both"/>
              <w:rPr>
                <w:rFonts w:ascii="Times New Roman" w:eastAsia="Times New Roman" w:hAnsi="Times New Roman" w:cs="Times New Roman"/>
                <w:color w:val="000000"/>
                <w:sz w:val="24"/>
                <w:szCs w:val="24"/>
              </w:rPr>
            </w:pPr>
          </w:p>
        </w:tc>
      </w:tr>
      <w:tr w:rsidR="004B654B" w:rsidRPr="004B654B" w:rsidTr="004B654B">
        <w:tc>
          <w:tcPr>
            <w:tcW w:w="84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383"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417"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73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500"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500" w:type="dxa"/>
          </w:tcPr>
          <w:p w:rsidR="004B654B" w:rsidRPr="004B654B" w:rsidRDefault="004B654B" w:rsidP="004B654B">
            <w:pPr>
              <w:jc w:val="both"/>
              <w:rPr>
                <w:rFonts w:ascii="Times New Roman" w:eastAsia="Times New Roman" w:hAnsi="Times New Roman" w:cs="Times New Roman"/>
                <w:color w:val="000000"/>
                <w:sz w:val="24"/>
                <w:szCs w:val="24"/>
              </w:rPr>
            </w:pPr>
          </w:p>
        </w:tc>
        <w:tc>
          <w:tcPr>
            <w:tcW w:w="153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r>
      <w:tr w:rsidR="004B654B" w:rsidRPr="004B654B" w:rsidTr="004B654B">
        <w:tc>
          <w:tcPr>
            <w:tcW w:w="84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383"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417"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73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500"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c>
          <w:tcPr>
            <w:tcW w:w="1500" w:type="dxa"/>
          </w:tcPr>
          <w:p w:rsidR="004B654B" w:rsidRPr="004B654B" w:rsidRDefault="004B654B" w:rsidP="004B654B">
            <w:pPr>
              <w:jc w:val="both"/>
              <w:rPr>
                <w:rFonts w:ascii="Times New Roman" w:eastAsia="Times New Roman" w:hAnsi="Times New Roman" w:cs="Times New Roman"/>
                <w:color w:val="000000"/>
                <w:sz w:val="24"/>
                <w:szCs w:val="24"/>
              </w:rPr>
            </w:pPr>
          </w:p>
        </w:tc>
        <w:tc>
          <w:tcPr>
            <w:tcW w:w="1536" w:type="dxa"/>
            <w:vAlign w:val="center"/>
          </w:tcPr>
          <w:p w:rsidR="004B654B" w:rsidRPr="004B654B" w:rsidRDefault="004B654B" w:rsidP="004B654B">
            <w:pPr>
              <w:jc w:val="both"/>
              <w:rPr>
                <w:rFonts w:ascii="Times New Roman" w:eastAsia="Times New Roman" w:hAnsi="Times New Roman" w:cs="Times New Roman"/>
                <w:color w:val="000000"/>
                <w:sz w:val="24"/>
                <w:szCs w:val="24"/>
              </w:rPr>
            </w:pPr>
          </w:p>
        </w:tc>
      </w:tr>
    </w:tbl>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p w:rsidR="004B654B" w:rsidRPr="004B654B" w:rsidRDefault="004B654B" w:rsidP="004B654B">
      <w:pPr>
        <w:spacing w:after="0" w:line="240" w:lineRule="auto"/>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lastRenderedPageBreak/>
        <w:t>Приложение № 5</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к стандартам раскрытия информации</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(форма)</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p>
    <w:p w:rsidR="004B654B" w:rsidRPr="004B654B" w:rsidRDefault="004B654B" w:rsidP="004B654B">
      <w:pPr>
        <w:spacing w:after="0" w:line="240" w:lineRule="auto"/>
        <w:jc w:val="center"/>
        <w:rPr>
          <w:rFonts w:ascii="Times New Roman" w:eastAsia="Times New Roman" w:hAnsi="Times New Roman" w:cs="Times New Roman"/>
          <w:b/>
          <w:bCs/>
          <w:color w:val="000000"/>
          <w:sz w:val="24"/>
          <w:szCs w:val="24"/>
        </w:rPr>
      </w:pPr>
      <w:r w:rsidRPr="004B654B">
        <w:rPr>
          <w:rFonts w:ascii="Times New Roman" w:eastAsia="Times New Roman" w:hAnsi="Times New Roman" w:cs="Times New Roman"/>
          <w:b/>
          <w:bCs/>
          <w:color w:val="000000"/>
          <w:sz w:val="24"/>
          <w:szCs w:val="24"/>
        </w:rPr>
        <w:t xml:space="preserve">Сведения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до 10 </w:t>
      </w:r>
      <w:proofErr w:type="spellStart"/>
      <w:r w:rsidRPr="004B654B">
        <w:rPr>
          <w:rFonts w:ascii="Times New Roman" w:eastAsia="Times New Roman" w:hAnsi="Times New Roman" w:cs="Times New Roman"/>
          <w:b/>
          <w:bCs/>
          <w:color w:val="000000"/>
          <w:sz w:val="24"/>
          <w:szCs w:val="24"/>
        </w:rPr>
        <w:t>кВ</w:t>
      </w:r>
      <w:proofErr w:type="spellEnd"/>
    </w:p>
    <w:p w:rsidR="004B654B" w:rsidRPr="004B654B" w:rsidRDefault="004B654B" w:rsidP="004B654B">
      <w:pPr>
        <w:spacing w:after="0" w:line="240" w:lineRule="auto"/>
        <w:jc w:val="center"/>
        <w:rPr>
          <w:rFonts w:ascii="Times New Roman" w:eastAsia="Times New Roman" w:hAnsi="Times New Roman" w:cs="Times New Roman"/>
          <w:bCs/>
          <w:color w:val="000000"/>
          <w:sz w:val="24"/>
          <w:szCs w:val="24"/>
        </w:rPr>
      </w:pPr>
    </w:p>
    <w:tbl>
      <w:tblPr>
        <w:tblStyle w:val="1"/>
        <w:tblW w:w="5000" w:type="pct"/>
        <w:jc w:val="center"/>
        <w:tblLook w:val="04A0" w:firstRow="1" w:lastRow="0" w:firstColumn="1" w:lastColumn="0" w:noHBand="0" w:noVBand="1"/>
      </w:tblPr>
      <w:tblGrid>
        <w:gridCol w:w="524"/>
        <w:gridCol w:w="1757"/>
        <w:gridCol w:w="2041"/>
        <w:gridCol w:w="1514"/>
        <w:gridCol w:w="2211"/>
        <w:gridCol w:w="1524"/>
      </w:tblGrid>
      <w:tr w:rsidR="004B654B" w:rsidRPr="004B654B" w:rsidTr="004B654B">
        <w:trPr>
          <w:jc w:val="center"/>
        </w:trPr>
        <w:tc>
          <w:tcPr>
            <w:tcW w:w="274"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w:t>
            </w:r>
          </w:p>
          <w:p w:rsidR="004B654B" w:rsidRPr="004B654B" w:rsidRDefault="004B654B" w:rsidP="004B654B">
            <w:pPr>
              <w:ind w:left="-120" w:right="-132"/>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п/п</w:t>
            </w:r>
          </w:p>
        </w:tc>
        <w:tc>
          <w:tcPr>
            <w:tcW w:w="918"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Наименование подстанции</w:t>
            </w:r>
          </w:p>
        </w:tc>
        <w:tc>
          <w:tcPr>
            <w:tcW w:w="1066"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Местоположение</w:t>
            </w:r>
          </w:p>
        </w:tc>
        <w:tc>
          <w:tcPr>
            <w:tcW w:w="791"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 xml:space="preserve">Уровни напряжения подстанции, </w:t>
            </w:r>
            <w:proofErr w:type="spellStart"/>
            <w:r w:rsidRPr="004B654B">
              <w:rPr>
                <w:rFonts w:ascii="Times New Roman" w:eastAsia="Times New Roman" w:hAnsi="Times New Roman" w:cs="Times New Roman"/>
                <w:bCs/>
                <w:color w:val="000000"/>
                <w:sz w:val="24"/>
              </w:rPr>
              <w:t>кВ</w:t>
            </w:r>
            <w:proofErr w:type="spellEnd"/>
          </w:p>
        </w:tc>
        <w:tc>
          <w:tcPr>
            <w:tcW w:w="1155"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Сведения о наличии свободной трансформаторной мощности*</w:t>
            </w:r>
          </w:p>
        </w:tc>
        <w:tc>
          <w:tcPr>
            <w:tcW w:w="796" w:type="pct"/>
            <w:vAlign w:val="center"/>
          </w:tcPr>
          <w:p w:rsidR="004B654B" w:rsidRPr="004B654B" w:rsidRDefault="004B654B" w:rsidP="004B654B">
            <w:pPr>
              <w:jc w:val="center"/>
              <w:rPr>
                <w:rFonts w:ascii="Times New Roman" w:eastAsia="Times New Roman" w:hAnsi="Times New Roman" w:cs="Times New Roman"/>
                <w:bCs/>
                <w:color w:val="000000"/>
                <w:sz w:val="24"/>
              </w:rPr>
            </w:pPr>
            <w:r w:rsidRPr="004B654B">
              <w:rPr>
                <w:rFonts w:ascii="Times New Roman" w:eastAsia="Times New Roman" w:hAnsi="Times New Roman" w:cs="Times New Roman"/>
                <w:bCs/>
                <w:color w:val="000000"/>
                <w:sz w:val="24"/>
              </w:rPr>
              <w:t>Примечание</w:t>
            </w:r>
          </w:p>
        </w:tc>
      </w:tr>
      <w:tr w:rsidR="004B654B" w:rsidRPr="004B654B" w:rsidTr="004B654B">
        <w:trPr>
          <w:jc w:val="center"/>
        </w:trPr>
        <w:tc>
          <w:tcPr>
            <w:tcW w:w="274" w:type="pct"/>
          </w:tcPr>
          <w:p w:rsidR="004B654B" w:rsidRPr="004B654B" w:rsidRDefault="004B654B" w:rsidP="004B654B">
            <w:pPr>
              <w:jc w:val="center"/>
              <w:rPr>
                <w:rFonts w:ascii="Times New Roman" w:eastAsia="Times New Roman" w:hAnsi="Times New Roman" w:cs="Times New Roman"/>
                <w:bCs/>
                <w:color w:val="000000"/>
                <w:sz w:val="24"/>
              </w:rPr>
            </w:pPr>
          </w:p>
        </w:tc>
        <w:tc>
          <w:tcPr>
            <w:tcW w:w="918" w:type="pct"/>
          </w:tcPr>
          <w:p w:rsidR="004B654B" w:rsidRPr="004B654B" w:rsidRDefault="004B654B" w:rsidP="004B654B">
            <w:pPr>
              <w:jc w:val="center"/>
              <w:rPr>
                <w:rFonts w:ascii="Times New Roman" w:eastAsia="Times New Roman" w:hAnsi="Times New Roman" w:cs="Times New Roman"/>
                <w:bCs/>
                <w:color w:val="000000"/>
                <w:sz w:val="24"/>
              </w:rPr>
            </w:pPr>
          </w:p>
        </w:tc>
        <w:tc>
          <w:tcPr>
            <w:tcW w:w="1066" w:type="pct"/>
          </w:tcPr>
          <w:p w:rsidR="004B654B" w:rsidRPr="004B654B" w:rsidRDefault="004B654B" w:rsidP="004B654B">
            <w:pPr>
              <w:jc w:val="center"/>
              <w:rPr>
                <w:rFonts w:ascii="Times New Roman" w:eastAsia="Times New Roman" w:hAnsi="Times New Roman" w:cs="Times New Roman"/>
                <w:bCs/>
                <w:color w:val="000000"/>
                <w:sz w:val="24"/>
              </w:rPr>
            </w:pPr>
          </w:p>
        </w:tc>
        <w:tc>
          <w:tcPr>
            <w:tcW w:w="791" w:type="pct"/>
          </w:tcPr>
          <w:p w:rsidR="004B654B" w:rsidRPr="004B654B" w:rsidRDefault="004B654B" w:rsidP="004B654B">
            <w:pPr>
              <w:jc w:val="center"/>
              <w:rPr>
                <w:rFonts w:ascii="Times New Roman" w:eastAsia="Times New Roman" w:hAnsi="Times New Roman" w:cs="Times New Roman"/>
                <w:bCs/>
                <w:color w:val="000000"/>
                <w:sz w:val="24"/>
              </w:rPr>
            </w:pPr>
          </w:p>
        </w:tc>
        <w:tc>
          <w:tcPr>
            <w:tcW w:w="1155" w:type="pct"/>
          </w:tcPr>
          <w:p w:rsidR="004B654B" w:rsidRPr="004B654B" w:rsidRDefault="004B654B" w:rsidP="004B654B">
            <w:pPr>
              <w:jc w:val="center"/>
              <w:rPr>
                <w:rFonts w:ascii="Times New Roman" w:eastAsia="Times New Roman" w:hAnsi="Times New Roman" w:cs="Times New Roman"/>
                <w:bCs/>
                <w:color w:val="000000"/>
                <w:sz w:val="24"/>
              </w:rPr>
            </w:pPr>
          </w:p>
        </w:tc>
        <w:tc>
          <w:tcPr>
            <w:tcW w:w="796" w:type="pct"/>
          </w:tcPr>
          <w:p w:rsidR="004B654B" w:rsidRPr="004B654B" w:rsidRDefault="004B654B" w:rsidP="004B654B">
            <w:pPr>
              <w:jc w:val="center"/>
              <w:rPr>
                <w:rFonts w:ascii="Times New Roman" w:eastAsia="Times New Roman" w:hAnsi="Times New Roman" w:cs="Times New Roman"/>
                <w:bCs/>
                <w:color w:val="000000"/>
                <w:sz w:val="24"/>
              </w:rPr>
            </w:pPr>
          </w:p>
        </w:tc>
      </w:tr>
      <w:tr w:rsidR="004B654B" w:rsidRPr="004B654B" w:rsidTr="004B654B">
        <w:trPr>
          <w:jc w:val="center"/>
        </w:trPr>
        <w:tc>
          <w:tcPr>
            <w:tcW w:w="274" w:type="pct"/>
          </w:tcPr>
          <w:p w:rsidR="004B654B" w:rsidRPr="004B654B" w:rsidRDefault="004B654B" w:rsidP="004B654B">
            <w:pPr>
              <w:jc w:val="center"/>
              <w:rPr>
                <w:rFonts w:ascii="Times New Roman" w:eastAsia="Times New Roman" w:hAnsi="Times New Roman" w:cs="Times New Roman"/>
                <w:bCs/>
                <w:color w:val="000000"/>
                <w:sz w:val="24"/>
              </w:rPr>
            </w:pPr>
          </w:p>
        </w:tc>
        <w:tc>
          <w:tcPr>
            <w:tcW w:w="918" w:type="pct"/>
          </w:tcPr>
          <w:p w:rsidR="004B654B" w:rsidRPr="004B654B" w:rsidRDefault="004B654B" w:rsidP="004B654B">
            <w:pPr>
              <w:jc w:val="center"/>
              <w:rPr>
                <w:rFonts w:ascii="Times New Roman" w:eastAsia="Times New Roman" w:hAnsi="Times New Roman" w:cs="Times New Roman"/>
                <w:bCs/>
                <w:color w:val="000000"/>
                <w:sz w:val="24"/>
              </w:rPr>
            </w:pPr>
          </w:p>
        </w:tc>
        <w:tc>
          <w:tcPr>
            <w:tcW w:w="1066" w:type="pct"/>
          </w:tcPr>
          <w:p w:rsidR="004B654B" w:rsidRPr="004B654B" w:rsidRDefault="004B654B" w:rsidP="004B654B">
            <w:pPr>
              <w:jc w:val="center"/>
              <w:rPr>
                <w:rFonts w:ascii="Times New Roman" w:eastAsia="Times New Roman" w:hAnsi="Times New Roman" w:cs="Times New Roman"/>
                <w:bCs/>
                <w:color w:val="000000"/>
                <w:sz w:val="24"/>
              </w:rPr>
            </w:pPr>
          </w:p>
        </w:tc>
        <w:tc>
          <w:tcPr>
            <w:tcW w:w="791" w:type="pct"/>
          </w:tcPr>
          <w:p w:rsidR="004B654B" w:rsidRPr="004B654B" w:rsidRDefault="004B654B" w:rsidP="004B654B">
            <w:pPr>
              <w:jc w:val="center"/>
              <w:rPr>
                <w:rFonts w:ascii="Times New Roman" w:eastAsia="Times New Roman" w:hAnsi="Times New Roman" w:cs="Times New Roman"/>
                <w:bCs/>
                <w:color w:val="000000"/>
                <w:sz w:val="24"/>
              </w:rPr>
            </w:pPr>
          </w:p>
        </w:tc>
        <w:tc>
          <w:tcPr>
            <w:tcW w:w="1155" w:type="pct"/>
          </w:tcPr>
          <w:p w:rsidR="004B654B" w:rsidRPr="004B654B" w:rsidRDefault="004B654B" w:rsidP="004B654B">
            <w:pPr>
              <w:jc w:val="center"/>
              <w:rPr>
                <w:rFonts w:ascii="Times New Roman" w:eastAsia="Times New Roman" w:hAnsi="Times New Roman" w:cs="Times New Roman"/>
                <w:bCs/>
                <w:color w:val="000000"/>
                <w:sz w:val="24"/>
              </w:rPr>
            </w:pPr>
          </w:p>
        </w:tc>
        <w:tc>
          <w:tcPr>
            <w:tcW w:w="796" w:type="pct"/>
          </w:tcPr>
          <w:p w:rsidR="004B654B" w:rsidRPr="004B654B" w:rsidRDefault="004B654B" w:rsidP="004B654B">
            <w:pPr>
              <w:jc w:val="center"/>
              <w:rPr>
                <w:rFonts w:ascii="Times New Roman" w:eastAsia="Times New Roman" w:hAnsi="Times New Roman" w:cs="Times New Roman"/>
                <w:bCs/>
                <w:color w:val="000000"/>
                <w:sz w:val="24"/>
              </w:rPr>
            </w:pPr>
          </w:p>
        </w:tc>
      </w:tr>
      <w:tr w:rsidR="004B654B" w:rsidRPr="004B654B" w:rsidTr="004B654B">
        <w:trPr>
          <w:jc w:val="center"/>
        </w:trPr>
        <w:tc>
          <w:tcPr>
            <w:tcW w:w="274" w:type="pct"/>
          </w:tcPr>
          <w:p w:rsidR="004B654B" w:rsidRPr="004B654B" w:rsidRDefault="004B654B" w:rsidP="004B654B">
            <w:pPr>
              <w:jc w:val="center"/>
              <w:rPr>
                <w:rFonts w:ascii="Times New Roman" w:eastAsia="Times New Roman" w:hAnsi="Times New Roman" w:cs="Times New Roman"/>
                <w:bCs/>
                <w:color w:val="000000"/>
                <w:sz w:val="24"/>
              </w:rPr>
            </w:pPr>
          </w:p>
        </w:tc>
        <w:tc>
          <w:tcPr>
            <w:tcW w:w="918" w:type="pct"/>
          </w:tcPr>
          <w:p w:rsidR="004B654B" w:rsidRPr="004B654B" w:rsidRDefault="004B654B" w:rsidP="004B654B">
            <w:pPr>
              <w:jc w:val="center"/>
              <w:rPr>
                <w:rFonts w:ascii="Times New Roman" w:eastAsia="Times New Roman" w:hAnsi="Times New Roman" w:cs="Times New Roman"/>
                <w:bCs/>
                <w:color w:val="000000"/>
                <w:sz w:val="24"/>
              </w:rPr>
            </w:pPr>
          </w:p>
        </w:tc>
        <w:tc>
          <w:tcPr>
            <w:tcW w:w="1066" w:type="pct"/>
          </w:tcPr>
          <w:p w:rsidR="004B654B" w:rsidRPr="004B654B" w:rsidRDefault="004B654B" w:rsidP="004B654B">
            <w:pPr>
              <w:jc w:val="center"/>
              <w:rPr>
                <w:rFonts w:ascii="Times New Roman" w:eastAsia="Times New Roman" w:hAnsi="Times New Roman" w:cs="Times New Roman"/>
                <w:bCs/>
                <w:color w:val="000000"/>
                <w:sz w:val="24"/>
              </w:rPr>
            </w:pPr>
          </w:p>
        </w:tc>
        <w:tc>
          <w:tcPr>
            <w:tcW w:w="791" w:type="pct"/>
          </w:tcPr>
          <w:p w:rsidR="004B654B" w:rsidRPr="004B654B" w:rsidRDefault="004B654B" w:rsidP="004B654B">
            <w:pPr>
              <w:jc w:val="center"/>
              <w:rPr>
                <w:rFonts w:ascii="Times New Roman" w:eastAsia="Times New Roman" w:hAnsi="Times New Roman" w:cs="Times New Roman"/>
                <w:bCs/>
                <w:color w:val="000000"/>
                <w:sz w:val="24"/>
              </w:rPr>
            </w:pPr>
          </w:p>
        </w:tc>
        <w:tc>
          <w:tcPr>
            <w:tcW w:w="1155" w:type="pct"/>
          </w:tcPr>
          <w:p w:rsidR="004B654B" w:rsidRPr="004B654B" w:rsidRDefault="004B654B" w:rsidP="004B654B">
            <w:pPr>
              <w:jc w:val="center"/>
              <w:rPr>
                <w:rFonts w:ascii="Times New Roman" w:eastAsia="Times New Roman" w:hAnsi="Times New Roman" w:cs="Times New Roman"/>
                <w:bCs/>
                <w:color w:val="000000"/>
                <w:sz w:val="24"/>
              </w:rPr>
            </w:pPr>
          </w:p>
        </w:tc>
        <w:tc>
          <w:tcPr>
            <w:tcW w:w="796" w:type="pct"/>
          </w:tcPr>
          <w:p w:rsidR="004B654B" w:rsidRPr="004B654B" w:rsidRDefault="004B654B" w:rsidP="004B654B">
            <w:pPr>
              <w:jc w:val="center"/>
              <w:rPr>
                <w:rFonts w:ascii="Times New Roman" w:eastAsia="Times New Roman" w:hAnsi="Times New Roman" w:cs="Times New Roman"/>
                <w:bCs/>
                <w:color w:val="000000"/>
                <w:sz w:val="24"/>
              </w:rPr>
            </w:pPr>
          </w:p>
        </w:tc>
      </w:tr>
      <w:tr w:rsidR="004B654B" w:rsidRPr="004B654B" w:rsidTr="004B654B">
        <w:trPr>
          <w:jc w:val="center"/>
        </w:trPr>
        <w:tc>
          <w:tcPr>
            <w:tcW w:w="274" w:type="pct"/>
          </w:tcPr>
          <w:p w:rsidR="004B654B" w:rsidRPr="004B654B" w:rsidRDefault="004B654B" w:rsidP="004B654B">
            <w:pPr>
              <w:jc w:val="center"/>
              <w:rPr>
                <w:rFonts w:ascii="Times New Roman" w:eastAsia="Times New Roman" w:hAnsi="Times New Roman" w:cs="Times New Roman"/>
                <w:bCs/>
                <w:color w:val="000000"/>
                <w:sz w:val="24"/>
              </w:rPr>
            </w:pPr>
          </w:p>
        </w:tc>
        <w:tc>
          <w:tcPr>
            <w:tcW w:w="918" w:type="pct"/>
          </w:tcPr>
          <w:p w:rsidR="004B654B" w:rsidRPr="004B654B" w:rsidRDefault="004B654B" w:rsidP="004B654B">
            <w:pPr>
              <w:jc w:val="center"/>
              <w:rPr>
                <w:rFonts w:ascii="Times New Roman" w:eastAsia="Times New Roman" w:hAnsi="Times New Roman" w:cs="Times New Roman"/>
                <w:bCs/>
                <w:color w:val="000000"/>
                <w:sz w:val="24"/>
              </w:rPr>
            </w:pPr>
          </w:p>
        </w:tc>
        <w:tc>
          <w:tcPr>
            <w:tcW w:w="1066" w:type="pct"/>
          </w:tcPr>
          <w:p w:rsidR="004B654B" w:rsidRPr="004B654B" w:rsidRDefault="004B654B" w:rsidP="004B654B">
            <w:pPr>
              <w:jc w:val="center"/>
              <w:rPr>
                <w:rFonts w:ascii="Times New Roman" w:eastAsia="Times New Roman" w:hAnsi="Times New Roman" w:cs="Times New Roman"/>
                <w:bCs/>
                <w:color w:val="000000"/>
                <w:sz w:val="24"/>
              </w:rPr>
            </w:pPr>
          </w:p>
        </w:tc>
        <w:tc>
          <w:tcPr>
            <w:tcW w:w="791" w:type="pct"/>
          </w:tcPr>
          <w:p w:rsidR="004B654B" w:rsidRPr="004B654B" w:rsidRDefault="004B654B" w:rsidP="004B654B">
            <w:pPr>
              <w:jc w:val="center"/>
              <w:rPr>
                <w:rFonts w:ascii="Times New Roman" w:eastAsia="Times New Roman" w:hAnsi="Times New Roman" w:cs="Times New Roman"/>
                <w:bCs/>
                <w:color w:val="000000"/>
                <w:sz w:val="24"/>
              </w:rPr>
            </w:pPr>
          </w:p>
        </w:tc>
        <w:tc>
          <w:tcPr>
            <w:tcW w:w="1155" w:type="pct"/>
          </w:tcPr>
          <w:p w:rsidR="004B654B" w:rsidRPr="004B654B" w:rsidRDefault="004B654B" w:rsidP="004B654B">
            <w:pPr>
              <w:jc w:val="center"/>
              <w:rPr>
                <w:rFonts w:ascii="Times New Roman" w:eastAsia="Times New Roman" w:hAnsi="Times New Roman" w:cs="Times New Roman"/>
                <w:bCs/>
                <w:color w:val="000000"/>
                <w:sz w:val="24"/>
              </w:rPr>
            </w:pPr>
          </w:p>
        </w:tc>
        <w:tc>
          <w:tcPr>
            <w:tcW w:w="796" w:type="pct"/>
          </w:tcPr>
          <w:p w:rsidR="004B654B" w:rsidRPr="004B654B" w:rsidRDefault="004B654B" w:rsidP="004B654B">
            <w:pPr>
              <w:jc w:val="center"/>
              <w:rPr>
                <w:rFonts w:ascii="Times New Roman" w:eastAsia="Times New Roman" w:hAnsi="Times New Roman" w:cs="Times New Roman"/>
                <w:bCs/>
                <w:color w:val="000000"/>
                <w:sz w:val="24"/>
              </w:rPr>
            </w:pPr>
          </w:p>
        </w:tc>
      </w:tr>
    </w:tbl>
    <w:p w:rsidR="004B654B" w:rsidRPr="004B654B" w:rsidRDefault="004B654B" w:rsidP="004B654B">
      <w:pPr>
        <w:spacing w:after="0" w:line="240" w:lineRule="auto"/>
        <w:jc w:val="both"/>
        <w:rPr>
          <w:rFonts w:ascii="Times New Roman" w:eastAsia="Times New Roman" w:hAnsi="Times New Roman" w:cs="Times New Roman"/>
          <w:bCs/>
          <w:color w:val="000000"/>
          <w:sz w:val="20"/>
          <w:szCs w:val="24"/>
        </w:rPr>
      </w:pPr>
      <w:r w:rsidRPr="004B654B">
        <w:rPr>
          <w:rFonts w:ascii="Times New Roman" w:eastAsia="Times New Roman" w:hAnsi="Times New Roman" w:cs="Times New Roman"/>
          <w:bCs/>
          <w:color w:val="000000"/>
          <w:sz w:val="20"/>
          <w:szCs w:val="24"/>
        </w:rPr>
        <w:t>* данные, указаны на основании имеющихся договорных отношений. Отсутствие свободной мощности, не является основанием для отказа в технологическом присоединении. С целью определения наличия технической возможности в осуществлении технологического присоединения необходимо обращаться в районные электрические сети по территориальному расположению.</w:t>
      </w:r>
    </w:p>
    <w:p w:rsidR="004B654B" w:rsidRPr="004B654B" w:rsidRDefault="004B654B" w:rsidP="004B654B">
      <w:pPr>
        <w:spacing w:after="160" w:line="259" w:lineRule="auto"/>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br w:type="page"/>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lastRenderedPageBreak/>
        <w:t>Приложение № 6</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к стандартам раскрытия информации</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субъектами естественных монополий в электроэнергетике</w:t>
      </w:r>
    </w:p>
    <w:p w:rsidR="004B654B" w:rsidRPr="004B654B" w:rsidRDefault="004B654B" w:rsidP="004B654B">
      <w:pPr>
        <w:spacing w:after="0" w:line="240" w:lineRule="auto"/>
        <w:jc w:val="right"/>
        <w:rPr>
          <w:rFonts w:ascii="Times New Roman" w:eastAsia="Times New Roman" w:hAnsi="Times New Roman" w:cs="Times New Roman"/>
          <w:bCs/>
          <w:color w:val="000000"/>
          <w:sz w:val="24"/>
          <w:szCs w:val="24"/>
        </w:rPr>
      </w:pPr>
      <w:r w:rsidRPr="004B654B">
        <w:rPr>
          <w:rFonts w:ascii="Times New Roman" w:eastAsia="Times New Roman" w:hAnsi="Times New Roman" w:cs="Times New Roman"/>
          <w:bCs/>
          <w:color w:val="000000"/>
          <w:sz w:val="24"/>
          <w:szCs w:val="24"/>
        </w:rPr>
        <w:t>(форма)</w:t>
      </w:r>
    </w:p>
    <w:p w:rsidR="004B654B" w:rsidRPr="004B654B" w:rsidRDefault="004B654B" w:rsidP="004B654B">
      <w:pPr>
        <w:spacing w:after="0" w:line="240" w:lineRule="auto"/>
        <w:jc w:val="both"/>
        <w:rPr>
          <w:rFonts w:ascii="Times New Roman" w:eastAsia="Times New Roman" w:hAnsi="Times New Roman" w:cs="Times New Roman"/>
          <w:bCs/>
          <w:color w:val="000000"/>
          <w:sz w:val="24"/>
          <w:szCs w:val="24"/>
        </w:rPr>
      </w:pPr>
    </w:p>
    <w:tbl>
      <w:tblPr>
        <w:tblW w:w="5000" w:type="pct"/>
        <w:tblLook w:val="04A0" w:firstRow="1" w:lastRow="0" w:firstColumn="1" w:lastColumn="0" w:noHBand="0" w:noVBand="1"/>
      </w:tblPr>
      <w:tblGrid>
        <w:gridCol w:w="540"/>
        <w:gridCol w:w="8192"/>
        <w:gridCol w:w="839"/>
      </w:tblGrid>
      <w:tr w:rsidR="004B654B" w:rsidRPr="004B654B" w:rsidTr="004B654B">
        <w:trPr>
          <w:trHeight w:val="990"/>
        </w:trPr>
        <w:tc>
          <w:tcPr>
            <w:tcW w:w="5000" w:type="pct"/>
            <w:gridSpan w:val="3"/>
            <w:tcBorders>
              <w:top w:val="nil"/>
              <w:left w:val="nil"/>
              <w:bottom w:val="single" w:sz="8" w:space="0" w:color="auto"/>
              <w:right w:val="nil"/>
            </w:tcBorders>
            <w:shd w:val="clear" w:color="auto" w:fill="auto"/>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Баланс электроэнергии в электроэнергетической системе ПМР</w:t>
            </w:r>
          </w:p>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за ___________202___г</w:t>
            </w:r>
          </w:p>
          <w:p w:rsidR="004B654B" w:rsidRPr="004B654B" w:rsidRDefault="004B654B" w:rsidP="004B654B">
            <w:pPr>
              <w:spacing w:after="0" w:line="240" w:lineRule="auto"/>
              <w:ind w:firstLine="4006"/>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(месяц)</w:t>
            </w:r>
          </w:p>
          <w:p w:rsidR="004B654B" w:rsidRPr="004B654B" w:rsidRDefault="004B654B" w:rsidP="004B654B">
            <w:pPr>
              <w:spacing w:after="0" w:line="240" w:lineRule="auto"/>
              <w:jc w:val="both"/>
              <w:rPr>
                <w:rFonts w:ascii="Times New Roman" w:eastAsia="Times New Roman" w:hAnsi="Times New Roman" w:cs="Times New Roman"/>
                <w:color w:val="000000"/>
                <w:sz w:val="24"/>
                <w:szCs w:val="24"/>
              </w:rPr>
            </w:pPr>
          </w:p>
        </w:tc>
      </w:tr>
      <w:tr w:rsidR="004B654B" w:rsidRPr="004B654B" w:rsidTr="004B654B">
        <w:trPr>
          <w:trHeight w:val="330"/>
        </w:trPr>
        <w:tc>
          <w:tcPr>
            <w:tcW w:w="279" w:type="pct"/>
            <w:tcBorders>
              <w:top w:val="nil"/>
              <w:left w:val="single" w:sz="8" w:space="0" w:color="auto"/>
              <w:bottom w:val="nil"/>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w:t>
            </w:r>
          </w:p>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п/п</w:t>
            </w:r>
          </w:p>
        </w:tc>
        <w:tc>
          <w:tcPr>
            <w:tcW w:w="4286" w:type="pct"/>
            <w:tcBorders>
              <w:top w:val="nil"/>
              <w:left w:val="single" w:sz="8" w:space="0" w:color="auto"/>
              <w:bottom w:val="nil"/>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Наименование</w:t>
            </w:r>
          </w:p>
        </w:tc>
        <w:tc>
          <w:tcPr>
            <w:tcW w:w="434" w:type="pct"/>
            <w:tcBorders>
              <w:top w:val="nil"/>
              <w:left w:val="nil"/>
              <w:bottom w:val="nil"/>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кВт*ч</w:t>
            </w:r>
          </w:p>
        </w:tc>
      </w:tr>
      <w:tr w:rsidR="004B654B" w:rsidRPr="004B654B" w:rsidTr="004B654B">
        <w:trPr>
          <w:trHeight w:val="405"/>
        </w:trPr>
        <w:tc>
          <w:tcPr>
            <w:tcW w:w="279" w:type="pct"/>
            <w:tcBorders>
              <w:top w:val="single" w:sz="8" w:space="0" w:color="auto"/>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1.</w:t>
            </w:r>
          </w:p>
        </w:tc>
        <w:tc>
          <w:tcPr>
            <w:tcW w:w="4286" w:type="pct"/>
            <w:tcBorders>
              <w:top w:val="single" w:sz="8" w:space="0" w:color="auto"/>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Отпуск электроэнергии электростанциями</w:t>
            </w:r>
          </w:p>
        </w:tc>
        <w:tc>
          <w:tcPr>
            <w:tcW w:w="434"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r w:rsidR="004B654B" w:rsidRPr="004B654B" w:rsidTr="004B654B">
        <w:trPr>
          <w:trHeight w:val="405"/>
        </w:trPr>
        <w:tc>
          <w:tcPr>
            <w:tcW w:w="279" w:type="pc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2.</w:t>
            </w:r>
          </w:p>
        </w:tc>
        <w:tc>
          <w:tcPr>
            <w:tcW w:w="4286" w:type="pc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Отдано потребителям ПМР</w:t>
            </w:r>
          </w:p>
        </w:tc>
        <w:tc>
          <w:tcPr>
            <w:tcW w:w="434" w:type="pct"/>
            <w:tcBorders>
              <w:top w:val="nil"/>
              <w:left w:val="single" w:sz="8" w:space="0" w:color="auto"/>
              <w:bottom w:val="single" w:sz="4" w:space="0" w:color="auto"/>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r w:rsidR="004B654B" w:rsidRPr="004B654B" w:rsidTr="004B654B">
        <w:trPr>
          <w:trHeight w:val="360"/>
        </w:trPr>
        <w:tc>
          <w:tcPr>
            <w:tcW w:w="279" w:type="pct"/>
            <w:vMerge w:val="restar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3.</w:t>
            </w:r>
          </w:p>
        </w:tc>
        <w:tc>
          <w:tcPr>
            <w:tcW w:w="4286" w:type="pct"/>
            <w:vMerge w:val="restar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Расход электроэнергии на ее транспорт в передающей сети</w:t>
            </w:r>
          </w:p>
        </w:tc>
        <w:tc>
          <w:tcPr>
            <w:tcW w:w="434" w:type="pct"/>
            <w:tcBorders>
              <w:top w:val="nil"/>
              <w:left w:val="single" w:sz="8" w:space="0" w:color="auto"/>
              <w:bottom w:val="nil"/>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r w:rsidR="004B654B" w:rsidRPr="004B654B" w:rsidTr="004B654B">
        <w:trPr>
          <w:trHeight w:val="360"/>
        </w:trPr>
        <w:tc>
          <w:tcPr>
            <w:tcW w:w="279" w:type="pct"/>
            <w:vMerge/>
            <w:tcBorders>
              <w:top w:val="nil"/>
              <w:left w:val="single" w:sz="8" w:space="0" w:color="auto"/>
              <w:bottom w:val="single" w:sz="4" w:space="0" w:color="auto"/>
              <w:right w:val="nil"/>
            </w:tcBorders>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c>
          <w:tcPr>
            <w:tcW w:w="4286" w:type="pct"/>
            <w:vMerge/>
            <w:tcBorders>
              <w:top w:val="nil"/>
              <w:left w:val="single" w:sz="8" w:space="0" w:color="auto"/>
              <w:bottom w:val="single" w:sz="4" w:space="0" w:color="auto"/>
              <w:right w:val="nil"/>
            </w:tcBorders>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p>
        </w:tc>
        <w:tc>
          <w:tcPr>
            <w:tcW w:w="434" w:type="pct"/>
            <w:tcBorders>
              <w:top w:val="nil"/>
              <w:left w:val="single" w:sz="8" w:space="0" w:color="auto"/>
              <w:bottom w:val="single" w:sz="4" w:space="0" w:color="auto"/>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r w:rsidR="004B654B" w:rsidRPr="004B654B" w:rsidTr="004B654B">
        <w:trPr>
          <w:trHeight w:val="405"/>
        </w:trPr>
        <w:tc>
          <w:tcPr>
            <w:tcW w:w="279" w:type="pc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4.</w:t>
            </w:r>
          </w:p>
        </w:tc>
        <w:tc>
          <w:tcPr>
            <w:tcW w:w="4286" w:type="pct"/>
            <w:tcBorders>
              <w:top w:val="nil"/>
              <w:left w:val="single" w:sz="8" w:space="0" w:color="auto"/>
              <w:bottom w:val="single" w:sz="4" w:space="0" w:color="auto"/>
              <w:right w:val="nil"/>
            </w:tcBorders>
            <w:shd w:val="clear" w:color="auto" w:fill="auto"/>
            <w:noWrap/>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Балансировочная электроэнергия с Молдавской энергосистемой</w:t>
            </w:r>
          </w:p>
        </w:tc>
        <w:tc>
          <w:tcPr>
            <w:tcW w:w="434" w:type="pct"/>
            <w:tcBorders>
              <w:top w:val="nil"/>
              <w:left w:val="single" w:sz="8" w:space="0" w:color="auto"/>
              <w:bottom w:val="single" w:sz="4" w:space="0" w:color="auto"/>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r w:rsidR="004B654B" w:rsidRPr="004B654B" w:rsidTr="004B654B">
        <w:trPr>
          <w:trHeight w:val="405"/>
        </w:trPr>
        <w:tc>
          <w:tcPr>
            <w:tcW w:w="279" w:type="pct"/>
            <w:tcBorders>
              <w:top w:val="nil"/>
              <w:left w:val="single" w:sz="8" w:space="0" w:color="auto"/>
              <w:bottom w:val="single" w:sz="8" w:space="0" w:color="auto"/>
              <w:right w:val="nil"/>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5.</w:t>
            </w:r>
          </w:p>
        </w:tc>
        <w:tc>
          <w:tcPr>
            <w:tcW w:w="4286" w:type="pct"/>
            <w:tcBorders>
              <w:top w:val="nil"/>
              <w:left w:val="single" w:sz="8" w:space="0" w:color="auto"/>
              <w:bottom w:val="single" w:sz="8" w:space="0" w:color="auto"/>
              <w:right w:val="nil"/>
            </w:tcBorders>
            <w:shd w:val="clear" w:color="auto" w:fill="auto"/>
            <w:noWrap/>
            <w:vAlign w:val="center"/>
            <w:hideMark/>
          </w:tcPr>
          <w:p w:rsidR="004B654B" w:rsidRPr="004B654B" w:rsidRDefault="004B654B" w:rsidP="004B654B">
            <w:pPr>
              <w:spacing w:after="0" w:line="240" w:lineRule="auto"/>
              <w:rPr>
                <w:rFonts w:ascii="Times New Roman" w:eastAsia="Times New Roman" w:hAnsi="Times New Roman" w:cs="Times New Roman"/>
                <w:color w:val="000000"/>
                <w:sz w:val="24"/>
                <w:szCs w:val="24"/>
              </w:rPr>
            </w:pPr>
            <w:r w:rsidRPr="004B654B">
              <w:rPr>
                <w:rFonts w:ascii="Times New Roman" w:eastAsia="Times New Roman" w:hAnsi="Times New Roman" w:cs="Times New Roman"/>
                <w:color w:val="000000"/>
                <w:sz w:val="24"/>
                <w:szCs w:val="24"/>
              </w:rPr>
              <w:t xml:space="preserve">Сальдо </w:t>
            </w:r>
            <w:proofErr w:type="spellStart"/>
            <w:r w:rsidRPr="004B654B">
              <w:rPr>
                <w:rFonts w:ascii="Times New Roman" w:eastAsia="Times New Roman" w:hAnsi="Times New Roman" w:cs="Times New Roman"/>
                <w:color w:val="000000"/>
                <w:sz w:val="24"/>
                <w:szCs w:val="24"/>
              </w:rPr>
              <w:t>перетоков</w:t>
            </w:r>
            <w:proofErr w:type="spellEnd"/>
          </w:p>
        </w:tc>
        <w:tc>
          <w:tcPr>
            <w:tcW w:w="434" w:type="pct"/>
            <w:tcBorders>
              <w:top w:val="nil"/>
              <w:left w:val="single" w:sz="8" w:space="0" w:color="auto"/>
              <w:bottom w:val="single" w:sz="8" w:space="0" w:color="auto"/>
              <w:right w:val="single" w:sz="8" w:space="0" w:color="auto"/>
            </w:tcBorders>
            <w:shd w:val="clear" w:color="auto" w:fill="auto"/>
            <w:noWrap/>
            <w:vAlign w:val="center"/>
            <w:hideMark/>
          </w:tcPr>
          <w:p w:rsidR="004B654B" w:rsidRPr="004B654B" w:rsidRDefault="004B654B" w:rsidP="004B654B">
            <w:pPr>
              <w:spacing w:after="0" w:line="240" w:lineRule="auto"/>
              <w:jc w:val="center"/>
              <w:rPr>
                <w:rFonts w:ascii="Times New Roman" w:eastAsia="Times New Roman" w:hAnsi="Times New Roman" w:cs="Times New Roman"/>
                <w:color w:val="000000"/>
                <w:sz w:val="24"/>
                <w:szCs w:val="24"/>
              </w:rPr>
            </w:pPr>
          </w:p>
        </w:tc>
      </w:tr>
    </w:tbl>
    <w:p w:rsidR="004B654B" w:rsidRPr="004B654B" w:rsidRDefault="004B654B" w:rsidP="004B654B">
      <w:pPr>
        <w:spacing w:after="160" w:line="259" w:lineRule="auto"/>
        <w:rPr>
          <w:rFonts w:ascii="Times New Roman" w:eastAsia="Times New Roman" w:hAnsi="Times New Roman" w:cs="Times New Roman"/>
          <w:bCs/>
          <w:color w:val="000000"/>
          <w:sz w:val="24"/>
          <w:szCs w:val="24"/>
        </w:rPr>
      </w:pPr>
    </w:p>
    <w:bookmarkEnd w:id="0"/>
    <w:p w:rsidR="004B654B" w:rsidRDefault="004B654B" w:rsidP="004B654B">
      <w:pPr>
        <w:spacing w:after="0" w:line="240" w:lineRule="auto"/>
        <w:ind w:right="-143"/>
        <w:jc w:val="both"/>
        <w:rPr>
          <w:rFonts w:ascii="Times New Roman" w:hAnsi="Times New Roman" w:cs="Times New Roman"/>
          <w:b/>
          <w:sz w:val="24"/>
          <w:szCs w:val="24"/>
        </w:rPr>
      </w:pPr>
    </w:p>
    <w:sectPr w:rsidR="004B654B"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A626D"/>
    <w:rsid w:val="000B5E2F"/>
    <w:rsid w:val="000C4D79"/>
    <w:rsid w:val="000D5335"/>
    <w:rsid w:val="000F3ACA"/>
    <w:rsid w:val="000F74C7"/>
    <w:rsid w:val="00100CFE"/>
    <w:rsid w:val="00116191"/>
    <w:rsid w:val="00117ECC"/>
    <w:rsid w:val="00132849"/>
    <w:rsid w:val="0013488E"/>
    <w:rsid w:val="00136EAC"/>
    <w:rsid w:val="001448DC"/>
    <w:rsid w:val="00155B1F"/>
    <w:rsid w:val="00182768"/>
    <w:rsid w:val="00190BF8"/>
    <w:rsid w:val="00190DC2"/>
    <w:rsid w:val="001922B9"/>
    <w:rsid w:val="0019579F"/>
    <w:rsid w:val="0019684A"/>
    <w:rsid w:val="001972DD"/>
    <w:rsid w:val="001A6087"/>
    <w:rsid w:val="001B09CB"/>
    <w:rsid w:val="001B0E86"/>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2052"/>
    <w:rsid w:val="002B6781"/>
    <w:rsid w:val="002C20AA"/>
    <w:rsid w:val="002C464D"/>
    <w:rsid w:val="002D4E78"/>
    <w:rsid w:val="002D7BE5"/>
    <w:rsid w:val="002E59CD"/>
    <w:rsid w:val="00301AB2"/>
    <w:rsid w:val="00302542"/>
    <w:rsid w:val="00306CB9"/>
    <w:rsid w:val="003231AF"/>
    <w:rsid w:val="00323263"/>
    <w:rsid w:val="00325173"/>
    <w:rsid w:val="00325980"/>
    <w:rsid w:val="00334414"/>
    <w:rsid w:val="0034276B"/>
    <w:rsid w:val="00351465"/>
    <w:rsid w:val="00352693"/>
    <w:rsid w:val="00373E49"/>
    <w:rsid w:val="00380D60"/>
    <w:rsid w:val="00383937"/>
    <w:rsid w:val="00385A2B"/>
    <w:rsid w:val="00386FAD"/>
    <w:rsid w:val="0039019C"/>
    <w:rsid w:val="00393FB3"/>
    <w:rsid w:val="00394C80"/>
    <w:rsid w:val="003A4179"/>
    <w:rsid w:val="003B4B69"/>
    <w:rsid w:val="00410812"/>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B654B"/>
    <w:rsid w:val="004C4194"/>
    <w:rsid w:val="004D08F0"/>
    <w:rsid w:val="004D183A"/>
    <w:rsid w:val="004D44D1"/>
    <w:rsid w:val="005028BB"/>
    <w:rsid w:val="00515BF2"/>
    <w:rsid w:val="00516A8B"/>
    <w:rsid w:val="00520337"/>
    <w:rsid w:val="00522A33"/>
    <w:rsid w:val="00530041"/>
    <w:rsid w:val="005331D9"/>
    <w:rsid w:val="005351EA"/>
    <w:rsid w:val="00540826"/>
    <w:rsid w:val="00551458"/>
    <w:rsid w:val="0055204A"/>
    <w:rsid w:val="0055622D"/>
    <w:rsid w:val="00556AA1"/>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5656"/>
    <w:rsid w:val="00655392"/>
    <w:rsid w:val="00661DC9"/>
    <w:rsid w:val="006625EA"/>
    <w:rsid w:val="00677850"/>
    <w:rsid w:val="006812F3"/>
    <w:rsid w:val="006823A7"/>
    <w:rsid w:val="00690007"/>
    <w:rsid w:val="006A6A5E"/>
    <w:rsid w:val="006A7AE3"/>
    <w:rsid w:val="006A7EEB"/>
    <w:rsid w:val="006B6A95"/>
    <w:rsid w:val="006C09B9"/>
    <w:rsid w:val="006C333C"/>
    <w:rsid w:val="006C4A7C"/>
    <w:rsid w:val="006E08CD"/>
    <w:rsid w:val="006E4F4C"/>
    <w:rsid w:val="007208FC"/>
    <w:rsid w:val="007215FD"/>
    <w:rsid w:val="00722482"/>
    <w:rsid w:val="007501CD"/>
    <w:rsid w:val="00751338"/>
    <w:rsid w:val="00751EA6"/>
    <w:rsid w:val="0077609F"/>
    <w:rsid w:val="00776227"/>
    <w:rsid w:val="0077654D"/>
    <w:rsid w:val="007774F7"/>
    <w:rsid w:val="00781D6E"/>
    <w:rsid w:val="00784FBF"/>
    <w:rsid w:val="00791EC8"/>
    <w:rsid w:val="007B36BF"/>
    <w:rsid w:val="007C660C"/>
    <w:rsid w:val="007C7C14"/>
    <w:rsid w:val="007D0E4D"/>
    <w:rsid w:val="007D7642"/>
    <w:rsid w:val="007E0AA6"/>
    <w:rsid w:val="007F0D98"/>
    <w:rsid w:val="007F2FCB"/>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273A"/>
    <w:rsid w:val="008B3328"/>
    <w:rsid w:val="008B64A2"/>
    <w:rsid w:val="008C6AC0"/>
    <w:rsid w:val="008D2FF3"/>
    <w:rsid w:val="008D6023"/>
    <w:rsid w:val="008D6B17"/>
    <w:rsid w:val="008E3DA3"/>
    <w:rsid w:val="008E72BB"/>
    <w:rsid w:val="008F2140"/>
    <w:rsid w:val="00900CEE"/>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7971"/>
    <w:rsid w:val="00A017F3"/>
    <w:rsid w:val="00A07BE0"/>
    <w:rsid w:val="00A10665"/>
    <w:rsid w:val="00A3098A"/>
    <w:rsid w:val="00A315B4"/>
    <w:rsid w:val="00A35232"/>
    <w:rsid w:val="00A4038B"/>
    <w:rsid w:val="00A50B3E"/>
    <w:rsid w:val="00A51E34"/>
    <w:rsid w:val="00A623BC"/>
    <w:rsid w:val="00A64B3F"/>
    <w:rsid w:val="00A80C6B"/>
    <w:rsid w:val="00A8392F"/>
    <w:rsid w:val="00A905D7"/>
    <w:rsid w:val="00A913A1"/>
    <w:rsid w:val="00AB24BA"/>
    <w:rsid w:val="00AB74A2"/>
    <w:rsid w:val="00AC259E"/>
    <w:rsid w:val="00AE0DE3"/>
    <w:rsid w:val="00AF3EFE"/>
    <w:rsid w:val="00AF55C4"/>
    <w:rsid w:val="00B04B02"/>
    <w:rsid w:val="00B0548E"/>
    <w:rsid w:val="00B10766"/>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6A12"/>
    <w:rsid w:val="00DF4E1F"/>
    <w:rsid w:val="00DF7B32"/>
    <w:rsid w:val="00E063FF"/>
    <w:rsid w:val="00E10027"/>
    <w:rsid w:val="00E110F9"/>
    <w:rsid w:val="00E1549C"/>
    <w:rsid w:val="00E16FAA"/>
    <w:rsid w:val="00E256BC"/>
    <w:rsid w:val="00E31CC5"/>
    <w:rsid w:val="00E36670"/>
    <w:rsid w:val="00E4099C"/>
    <w:rsid w:val="00E419AF"/>
    <w:rsid w:val="00E43FEA"/>
    <w:rsid w:val="00E5249E"/>
    <w:rsid w:val="00E56DB1"/>
    <w:rsid w:val="00E654B0"/>
    <w:rsid w:val="00E70687"/>
    <w:rsid w:val="00E81C71"/>
    <w:rsid w:val="00E83FAE"/>
    <w:rsid w:val="00EA389D"/>
    <w:rsid w:val="00EA38D6"/>
    <w:rsid w:val="00EB2F02"/>
    <w:rsid w:val="00EC5496"/>
    <w:rsid w:val="00EC57B3"/>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67820"/>
    <w:rsid w:val="00F67BF2"/>
    <w:rsid w:val="00F70FB7"/>
    <w:rsid w:val="00F739D4"/>
    <w:rsid w:val="00F74F21"/>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07CE"/>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table" w:styleId="ac">
    <w:name w:val="Table Grid"/>
    <w:basedOn w:val="a1"/>
    <w:rsid w:val="004B65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c"/>
    <w:uiPriority w:val="39"/>
    <w:rsid w:val="004B654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84522/5633a92d35b966c2ba2f1e859e7bdd69/" TargetMode="External"/><Relationship Id="rId13" Type="http://schemas.openxmlformats.org/officeDocument/2006/relationships/hyperlink" Target="https://base.garant.ru/186671/c2c2a9dc83a840388051cbc6b8eb84fa/" TargetMode="External"/><Relationship Id="rId3" Type="http://schemas.openxmlformats.org/officeDocument/2006/relationships/styles" Target="styles.xml"/><Relationship Id="rId7" Type="http://schemas.openxmlformats.org/officeDocument/2006/relationships/hyperlink" Target="https://base.garant.ru/185656/b5dae26bebf2908c0e8dd3b8a66868fe/" TargetMode="External"/><Relationship Id="rId12" Type="http://schemas.openxmlformats.org/officeDocument/2006/relationships/hyperlink" Target="https://base.garant.ru/186671/c2c2a9dc83a840388051cbc6b8eb84f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ase.garant.ru/186671/c2c2a9dc83a840388051cbc6b8eb84f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base.garant.ru/186671/c2c2a9dc83a840388051cbc6b8eb84fa/" TargetMode="External"/><Relationship Id="rId4" Type="http://schemas.openxmlformats.org/officeDocument/2006/relationships/settings" Target="settings.xml"/><Relationship Id="rId9" Type="http://schemas.openxmlformats.org/officeDocument/2006/relationships/hyperlink" Target="https://base.garant.ru/70220262/1bca81e51dd7fe257723843c38cd45ab/"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3F450E"/>
    <w:rsid w:val="00551842"/>
    <w:rsid w:val="00B230F6"/>
    <w:rsid w:val="00CE0535"/>
    <w:rsid w:val="00F2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EB3C-F16F-4BCA-9AAC-C2B2A7E4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2516</Words>
  <Characters>14344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Казаник Татьяна Валерьевна</cp:lastModifiedBy>
  <cp:revision>26</cp:revision>
  <cp:lastPrinted>2020-02-20T15:23:00Z</cp:lastPrinted>
  <dcterms:created xsi:type="dcterms:W3CDTF">2018-01-10T12:19:00Z</dcterms:created>
  <dcterms:modified xsi:type="dcterms:W3CDTF">2023-05-23T08:25:00Z</dcterms:modified>
</cp:coreProperties>
</file>