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8C582" w14:textId="77777777" w:rsidR="00FD673F" w:rsidRPr="00FD673F" w:rsidRDefault="00FD673F" w:rsidP="00FD673F">
      <w:pPr>
        <w:jc w:val="center"/>
      </w:pPr>
      <w:r w:rsidRPr="00FD673F">
        <w:rPr>
          <w:b/>
          <w:bCs/>
        </w:rPr>
        <w:t>МИНИСТЕРСТВО ЭКОНОМИЧЕСКОГО РАЗВИТИЯ ПРИДНЕСТРОВСКОЙ МОЛДАВСКОЙ РЕСПУБЛИКИ</w:t>
      </w:r>
    </w:p>
    <w:p w14:paraId="0B7DF26F" w14:textId="77777777" w:rsidR="00FD673F" w:rsidRPr="00FD673F" w:rsidRDefault="00FD673F" w:rsidP="00FD673F">
      <w:pPr>
        <w:jc w:val="center"/>
      </w:pPr>
      <w:r w:rsidRPr="00FD673F">
        <w:rPr>
          <w:b/>
          <w:bCs/>
        </w:rPr>
        <w:t>ПРИКАЗ</w:t>
      </w:r>
    </w:p>
    <w:p w14:paraId="79CA3681" w14:textId="77777777" w:rsidR="00FD673F" w:rsidRPr="00FD673F" w:rsidRDefault="00FD673F" w:rsidP="00FD673F">
      <w:pPr>
        <w:jc w:val="center"/>
      </w:pPr>
      <w:r w:rsidRPr="00FD673F">
        <w:rPr>
          <w:b/>
          <w:bCs/>
        </w:rPr>
        <w:t>от 18 апреля 2019 г.</w:t>
      </w:r>
      <w:r w:rsidRPr="00FD673F">
        <w:br/>
      </w:r>
      <w:r w:rsidRPr="00FD673F">
        <w:rPr>
          <w:b/>
          <w:bCs/>
        </w:rPr>
        <w:t>№ 362</w:t>
      </w:r>
    </w:p>
    <w:p w14:paraId="5D99FD2E" w14:textId="77777777" w:rsidR="00FD673F" w:rsidRPr="00FD673F" w:rsidRDefault="00FD673F" w:rsidP="00FD673F">
      <w:pPr>
        <w:jc w:val="center"/>
      </w:pPr>
      <w:r w:rsidRPr="00FD673F">
        <w:rPr>
          <w:b/>
          <w:bCs/>
        </w:rPr>
        <w:t>Об утверждении Положения о порядке формирования и представления индикативных цен на ткани хлопчатобумажные</w:t>
      </w:r>
    </w:p>
    <w:p w14:paraId="7792B389" w14:textId="77777777" w:rsidR="00FD673F" w:rsidRPr="00FD673F" w:rsidRDefault="00FD673F" w:rsidP="00FD673F">
      <w:pPr>
        <w:jc w:val="center"/>
      </w:pPr>
      <w:r w:rsidRPr="00FD673F">
        <w:t>Зарегистрирован Министерством юстиции</w:t>
      </w:r>
      <w:r w:rsidRPr="00FD673F">
        <w:br/>
        <w:t>Приднестровской Молдавской Республики 25 апреля 2019 г.</w:t>
      </w:r>
      <w:r w:rsidRPr="00FD673F">
        <w:br/>
        <w:t>Регистрационный № 8830</w:t>
      </w:r>
    </w:p>
    <w:p w14:paraId="51FE8934" w14:textId="77777777" w:rsidR="00FD673F" w:rsidRPr="00FD673F" w:rsidRDefault="00FD673F" w:rsidP="00FD673F">
      <w:r w:rsidRPr="00FD673F">
        <w:t>В соответствии с Таможенным кодексом Приднестровской Молдавской Республики,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№434 (САЗ 18-50), во исполнение Постановления Правительства Приднестровской Молдавской Республики от 25 января 2019 года № 19 «О некоторых мерах по оперативному регулированию импорта товаров» (САЗ 19-3), приказываю:</w:t>
      </w:r>
    </w:p>
    <w:p w14:paraId="2CE2623D" w14:textId="77777777" w:rsidR="00FD673F" w:rsidRPr="00FD673F" w:rsidRDefault="00FD673F" w:rsidP="00FD673F">
      <w:pPr>
        <w:numPr>
          <w:ilvl w:val="0"/>
          <w:numId w:val="1"/>
        </w:numPr>
      </w:pPr>
      <w:r w:rsidRPr="00FD673F">
        <w:t>Утвердить Положение о порядке формирования и представления индикативных цен на ткани хлопчатобумажные, согласно Приложению к настоящему Приказу.</w:t>
      </w:r>
    </w:p>
    <w:p w14:paraId="03DF898B" w14:textId="77777777" w:rsidR="00FD673F" w:rsidRPr="00FD673F" w:rsidRDefault="00FD673F" w:rsidP="00FD673F">
      <w:pPr>
        <w:numPr>
          <w:ilvl w:val="0"/>
          <w:numId w:val="1"/>
        </w:numPr>
      </w:pPr>
      <w:r w:rsidRPr="00FD673F">
        <w:t>Направить настоящий Приказ на государственную регистрацию в Министерство юстиции Приднестровской Молдавской Республики.</w:t>
      </w:r>
    </w:p>
    <w:p w14:paraId="31AC42A2" w14:textId="77777777" w:rsidR="00FD673F" w:rsidRPr="00FD673F" w:rsidRDefault="00FD673F" w:rsidP="00FD673F">
      <w:pPr>
        <w:numPr>
          <w:ilvl w:val="0"/>
          <w:numId w:val="1"/>
        </w:numPr>
      </w:pPr>
      <w:r w:rsidRPr="00FD673F">
        <w:t>Настоящий Приказ вступает в силу со дня, следующего за днем его официального опубликования.</w:t>
      </w:r>
    </w:p>
    <w:p w14:paraId="38850FFA" w14:textId="77777777" w:rsidR="00FD673F" w:rsidRPr="00FD673F" w:rsidRDefault="00FD673F" w:rsidP="00FD673F">
      <w:r w:rsidRPr="00FD673F">
        <w:rPr>
          <w:b/>
          <w:bCs/>
        </w:rPr>
        <w:t>Заместитель Председателя Правительства</w:t>
      </w:r>
      <w:r w:rsidRPr="00FD673F">
        <w:br/>
      </w:r>
      <w:r w:rsidRPr="00FD673F">
        <w:rPr>
          <w:b/>
          <w:bCs/>
        </w:rPr>
        <w:t>Приднестровской Молдавской Республики-</w:t>
      </w:r>
      <w:r w:rsidRPr="00FD673F">
        <w:br/>
      </w:r>
      <w:r w:rsidRPr="00FD673F">
        <w:rPr>
          <w:b/>
          <w:bCs/>
        </w:rPr>
        <w:t xml:space="preserve">министр С.А. </w:t>
      </w:r>
      <w:proofErr w:type="spellStart"/>
      <w:r w:rsidRPr="00FD673F">
        <w:rPr>
          <w:b/>
          <w:bCs/>
        </w:rPr>
        <w:t>Оболоник</w:t>
      </w:r>
      <w:proofErr w:type="spellEnd"/>
    </w:p>
    <w:p w14:paraId="63C2BC77" w14:textId="77777777" w:rsidR="00FD673F" w:rsidRPr="00FD673F" w:rsidRDefault="00FD673F" w:rsidP="00FD673F">
      <w:r w:rsidRPr="00FD673F">
        <w:t>г. Тирасполь</w:t>
      </w:r>
      <w:r w:rsidRPr="00FD673F">
        <w:br/>
        <w:t>18 апреля 2019 г.</w:t>
      </w:r>
      <w:r w:rsidRPr="00FD673F">
        <w:br/>
        <w:t>№ 362</w:t>
      </w:r>
    </w:p>
    <w:p w14:paraId="40C5087B" w14:textId="77777777" w:rsidR="00FD673F" w:rsidRPr="00FD673F" w:rsidRDefault="00FD673F" w:rsidP="00FD673F">
      <w:pPr>
        <w:jc w:val="right"/>
      </w:pPr>
      <w:r w:rsidRPr="00FD673F">
        <w:t>Приложение</w:t>
      </w:r>
      <w:r w:rsidRPr="00FD673F">
        <w:br/>
        <w:t>к Приказу Министерства экономического развития</w:t>
      </w:r>
      <w:r w:rsidRPr="00FD673F">
        <w:br/>
        <w:t>Приднестровской Молдавской Республики</w:t>
      </w:r>
      <w:r w:rsidRPr="00FD673F">
        <w:br/>
        <w:t>от 18 апреля 2019 года № 362</w:t>
      </w:r>
    </w:p>
    <w:p w14:paraId="61E33C0F" w14:textId="77777777" w:rsidR="00FD673F" w:rsidRPr="00FD673F" w:rsidRDefault="00FD673F" w:rsidP="00FD673F">
      <w:pPr>
        <w:jc w:val="center"/>
        <w:rPr>
          <w:b/>
          <w:bCs/>
        </w:rPr>
      </w:pPr>
      <w:r w:rsidRPr="00FD673F">
        <w:rPr>
          <w:b/>
          <w:bCs/>
        </w:rPr>
        <w:t>Положение о порядке формирования и представления</w:t>
      </w:r>
      <w:r w:rsidRPr="00FD673F">
        <w:rPr>
          <w:b/>
          <w:bCs/>
        </w:rPr>
        <w:br/>
        <w:t>индикативных цен на ткани хлопчатобумажные</w:t>
      </w:r>
    </w:p>
    <w:p w14:paraId="6584026F" w14:textId="77777777" w:rsidR="00FD673F" w:rsidRPr="00FD673F" w:rsidRDefault="00FD673F" w:rsidP="00FD673F">
      <w:pPr>
        <w:rPr>
          <w:b/>
          <w:bCs/>
        </w:rPr>
      </w:pPr>
      <w:r w:rsidRPr="00FD673F">
        <w:rPr>
          <w:b/>
          <w:bCs/>
        </w:rPr>
        <w:t>1. Общие положения</w:t>
      </w:r>
    </w:p>
    <w:p w14:paraId="145E4740" w14:textId="77777777" w:rsidR="00FD673F" w:rsidRPr="00FD673F" w:rsidRDefault="00FD673F" w:rsidP="00FD673F">
      <w:pPr>
        <w:numPr>
          <w:ilvl w:val="0"/>
          <w:numId w:val="2"/>
        </w:numPr>
      </w:pPr>
      <w:r w:rsidRPr="00FD673F">
        <w:t>Настоящее Положение устанавливает порядок формирования индикативных цен на товары, классифицируемые кодами ТН ВЭД, согласно Приложению к настоящему Положению (далее — Приложение), ввозимые на таможенную территорию Приднестровской Молдавской Республики.</w:t>
      </w:r>
    </w:p>
    <w:p w14:paraId="7FE01D71" w14:textId="77777777" w:rsidR="00FD673F" w:rsidRPr="00FD673F" w:rsidRDefault="00FD673F" w:rsidP="00FD673F">
      <w:pPr>
        <w:numPr>
          <w:ilvl w:val="0"/>
          <w:numId w:val="2"/>
        </w:numPr>
      </w:pPr>
      <w:r w:rsidRPr="00FD673F">
        <w:lastRenderedPageBreak/>
        <w:t>Индикативные цены применяются с целью защиты государственных интересов, для оперативного регулирования импорта товаров и полноты взимания ввозных таможенных пошлин.</w:t>
      </w:r>
    </w:p>
    <w:p w14:paraId="53D664EC" w14:textId="77777777" w:rsidR="00FD673F" w:rsidRPr="00FD673F" w:rsidRDefault="00FD673F" w:rsidP="00FD673F">
      <w:pPr>
        <w:numPr>
          <w:ilvl w:val="0"/>
          <w:numId w:val="2"/>
        </w:numPr>
      </w:pPr>
      <w:r w:rsidRPr="00FD673F">
        <w:t>Индикативные цены — разновидность цен, устанавливаемых уполномоченным органом исполнительной власти в сфере внешнеэкономической деятельности в отношении отдельных товаров (продукции), перемещаемых через таможенную границу Приднестровской Молдавской Республики, на период осуществления импортной операции.</w:t>
      </w:r>
    </w:p>
    <w:p w14:paraId="62EA88B9" w14:textId="77777777" w:rsidR="00FD673F" w:rsidRPr="00FD673F" w:rsidRDefault="00FD673F" w:rsidP="00FD673F">
      <w:pPr>
        <w:rPr>
          <w:b/>
          <w:bCs/>
        </w:rPr>
      </w:pPr>
      <w:r w:rsidRPr="00FD673F">
        <w:rPr>
          <w:b/>
          <w:bCs/>
        </w:rPr>
        <w:t>2. Основные положения по определению индикативных цен</w:t>
      </w:r>
    </w:p>
    <w:p w14:paraId="5A8C1CFD" w14:textId="77777777" w:rsidR="00FD673F" w:rsidRPr="00FD673F" w:rsidRDefault="00FD673F" w:rsidP="00FD673F">
      <w:pPr>
        <w:numPr>
          <w:ilvl w:val="0"/>
          <w:numId w:val="3"/>
        </w:numPr>
      </w:pPr>
      <w:r w:rsidRPr="00FD673F">
        <w:t>Индикативная цена устанавливается за 1 (один) квадратный метр на товары, классифицируемые кодами ТН ВЭД, согласно Приложению к настоящему Положению исходя из цен, сложившихся на внутреннем рынке на момент проведения мониторинга, на товары, производимые хозяйствующими субъектами Приднестровской Молдавской Республики.</w:t>
      </w:r>
    </w:p>
    <w:p w14:paraId="4C40F272" w14:textId="77777777" w:rsidR="00FD673F" w:rsidRPr="00FD673F" w:rsidRDefault="00FD673F" w:rsidP="00FD673F">
      <w:pPr>
        <w:numPr>
          <w:ilvl w:val="0"/>
          <w:numId w:val="4"/>
        </w:numPr>
      </w:pPr>
      <w:r w:rsidRPr="00FD673F">
        <w:t>В целях определения индикативных цен на товары, классифицируемые кодами ТН ВЭД, согласно Приложению к настоящему Положению, Министерством экономического развития Приднестровской Молдавской Республики проводится мониторинг информации об уровне цен на внутреннем рынке на товары, производимые хозяйствующими субъектами Приднестровской Молдавской Республики, классифицируемые кодами ТН ВЭД, согласно Приложению к настоящему Положению.</w:t>
      </w:r>
    </w:p>
    <w:p w14:paraId="72A1E5C3" w14:textId="77777777" w:rsidR="00FD673F" w:rsidRPr="00FD673F" w:rsidRDefault="00FD673F" w:rsidP="00FD673F">
      <w:pPr>
        <w:numPr>
          <w:ilvl w:val="0"/>
          <w:numId w:val="5"/>
        </w:numPr>
      </w:pPr>
      <w:r w:rsidRPr="00FD673F">
        <w:t>Государственная служба цен и антимонопольной деятельности Министерства экономического развития Приднестровской Молдавской Республики предоставляет Управлению внешнеэкономической деятельности Министерства экономического развития Приднестровской Молдавской Республики информацию об уровне цен на внутреннем рынке на товары, производимые хозяйствующими субъектами Приднестровской Молдавской Республики, классифицируемые кодами ТН ВЭД, согласно Приложению к настоящему Положению.</w:t>
      </w:r>
    </w:p>
    <w:p w14:paraId="47F86EB0" w14:textId="77777777" w:rsidR="00FD673F" w:rsidRPr="00FD673F" w:rsidRDefault="00FD673F" w:rsidP="00FD673F">
      <w:pPr>
        <w:numPr>
          <w:ilvl w:val="0"/>
          <w:numId w:val="6"/>
        </w:numPr>
      </w:pPr>
      <w:r w:rsidRPr="00FD673F">
        <w:t>Индикативные цены устанавливаются на период 180 дней Приказом Министерства экономического развития Приднестровской Молдавской Республики, при этом если конечный срок действия индикативных цен выпадает на выходные (праздничные) дни, то действие данных цен продлевается до первого рабочего дня включительно.</w:t>
      </w:r>
    </w:p>
    <w:p w14:paraId="20BB31BA" w14:textId="77777777" w:rsidR="00FD673F" w:rsidRPr="00FD673F" w:rsidRDefault="00FD673F" w:rsidP="00FD673F">
      <w:pPr>
        <w:numPr>
          <w:ilvl w:val="0"/>
          <w:numId w:val="7"/>
        </w:numPr>
      </w:pPr>
      <w:r w:rsidRPr="00FD673F">
        <w:t xml:space="preserve">Приказ Министерства экономического развития Приднестровской Молдавской Республики, </w:t>
      </w:r>
      <w:proofErr w:type="spellStart"/>
      <w:r w:rsidRPr="00FD673F">
        <w:t>установливающий</w:t>
      </w:r>
      <w:proofErr w:type="spellEnd"/>
      <w:r w:rsidRPr="00FD673F">
        <w:t xml:space="preserve"> индикативные цены на товары, классифицируемые кодами ТН ВЭД, согласно Приложению к настоящему Положению, подлежит официальному опубликованию и направлению в Государственный таможенный комитет Приднестровской Молдавской Республики.</w:t>
      </w:r>
    </w:p>
    <w:p w14:paraId="486F739A" w14:textId="77777777" w:rsidR="00FD673F" w:rsidRPr="00FD673F" w:rsidRDefault="00FD673F" w:rsidP="00FD673F">
      <w:pPr>
        <w:numPr>
          <w:ilvl w:val="0"/>
          <w:numId w:val="8"/>
        </w:numPr>
      </w:pPr>
      <w:r w:rsidRPr="00FD673F">
        <w:t>Если в период между сроками установления индикативных цен на товары, классифицируемые кодами ТН ВЭД, согласно Приложению к настоящему Положению, возникли существенные изменения конъюнктуры рынка и цен на определенный товар из перечня товаров согласно Приложения к настоящему Приказу, Министерство экономического развития Приднестровской Молдавской Республики принимает решение об изменении индикативных цен посредством внесения изменений в Приказ, указанный в пункте 8 настоящего Положения. Приказ Министерства экономического развития Приднестровской Молдавской Республики о внесении изменений в Приказ, указанный в пункте 8 настоящего Положения, подлежит официальному опубликованию и направлению в Государственный таможенный комитет Приднестровской Молдавской Республики.</w:t>
      </w:r>
    </w:p>
    <w:p w14:paraId="76B2BC46" w14:textId="77777777" w:rsidR="00FD673F" w:rsidRPr="00FD673F" w:rsidRDefault="00FD673F" w:rsidP="00FD673F">
      <w:pPr>
        <w:ind w:right="850"/>
      </w:pPr>
      <w:r w:rsidRPr="00FD673F">
        <w:lastRenderedPageBreak/>
        <w:t>Приложение к</w:t>
      </w:r>
      <w:r w:rsidRPr="00FD673F">
        <w:br/>
        <w:t>Положению о порядке формирования и представления</w:t>
      </w:r>
      <w:r w:rsidRPr="00FD673F">
        <w:br/>
        <w:t>индикативных цен на ткани хлопчатобумажные</w:t>
      </w:r>
    </w:p>
    <w:tbl>
      <w:tblPr>
        <w:tblW w:w="9206" w:type="dxa"/>
        <w:tblBorders>
          <w:bottom w:val="single" w:sz="6" w:space="0" w:color="auto"/>
        </w:tblBorders>
        <w:shd w:val="clear" w:color="auto" w:fill="FFFFFF"/>
        <w:tblCellMar>
          <w:left w:w="0" w:type="dxa"/>
          <w:right w:w="0" w:type="dxa"/>
        </w:tblCellMar>
        <w:tblLook w:val="04A0" w:firstRow="1" w:lastRow="0" w:firstColumn="1" w:lastColumn="0" w:noHBand="0" w:noVBand="1"/>
      </w:tblPr>
      <w:tblGrid>
        <w:gridCol w:w="1268"/>
        <w:gridCol w:w="3544"/>
        <w:gridCol w:w="1701"/>
        <w:gridCol w:w="2693"/>
      </w:tblGrid>
      <w:tr w:rsidR="00FD673F" w:rsidRPr="00FD673F" w14:paraId="35B9B236"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1EDC7C2" w14:textId="77777777" w:rsidR="00FD673F" w:rsidRPr="00FD673F" w:rsidRDefault="00FD673F" w:rsidP="00FD673F">
            <w:r w:rsidRPr="00FD673F">
              <w:t>Код ТН ВЭД</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A1540E8" w14:textId="77777777" w:rsidR="00FD673F" w:rsidRPr="00FD673F" w:rsidRDefault="00FD673F" w:rsidP="00FD673F">
            <w:r w:rsidRPr="00FD673F">
              <w:t>Наименование позиции</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C67DF8A" w14:textId="77777777" w:rsidR="00FD673F" w:rsidRPr="00FD673F" w:rsidRDefault="00FD673F" w:rsidP="00FD673F">
            <w:r w:rsidRPr="00FD673F">
              <w:t>Ед. измерения</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7F7BA7A" w14:textId="77777777" w:rsidR="00FD673F" w:rsidRPr="00FD673F" w:rsidRDefault="00FD673F" w:rsidP="00FD673F">
            <w:r w:rsidRPr="00FD673F">
              <w:t>Индикативная цена</w:t>
            </w:r>
          </w:p>
        </w:tc>
      </w:tr>
      <w:tr w:rsidR="00FD673F" w:rsidRPr="00FD673F" w14:paraId="7D110F64"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FF69DEE" w14:textId="77777777" w:rsidR="00FD673F" w:rsidRPr="00FD673F" w:rsidRDefault="00FD673F" w:rsidP="00FD673F">
            <w:r w:rsidRPr="00FD673F">
              <w:t>5208</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31584E9" w14:textId="77777777" w:rsidR="00FD673F" w:rsidRPr="00FD673F" w:rsidRDefault="00FD673F" w:rsidP="00FD673F">
            <w:r w:rsidRPr="00FD673F">
              <w:t xml:space="preserve">Ткани хлопчатобумажные, содержащие 85 </w:t>
            </w:r>
            <w:proofErr w:type="spellStart"/>
            <w:proofErr w:type="gramStart"/>
            <w:r w:rsidRPr="00FD673F">
              <w:t>мас</w:t>
            </w:r>
            <w:proofErr w:type="spellEnd"/>
            <w:r w:rsidRPr="00FD673F">
              <w:t>.%</w:t>
            </w:r>
            <w:proofErr w:type="gramEnd"/>
            <w:r w:rsidRPr="00FD673F">
              <w:t xml:space="preserve"> или более хлопковых волокон, с поверхностной плотностью не более 200 г/м</w:t>
            </w:r>
            <w:r w:rsidRPr="00FD673F">
              <w:rPr>
                <w:vertAlign w:val="superscript"/>
              </w:rPr>
              <w:t>2</w:t>
            </w:r>
            <w:r w:rsidRPr="00FD673F">
              <w:t>:</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B98A322"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9B70393" w14:textId="77777777" w:rsidR="00FD673F" w:rsidRPr="00FD673F" w:rsidRDefault="00FD673F" w:rsidP="00FD673F"/>
        </w:tc>
      </w:tr>
      <w:tr w:rsidR="00FD673F" w:rsidRPr="00FD673F" w14:paraId="7B3E60B1"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2886C3D" w14:textId="77777777" w:rsidR="00FD673F" w:rsidRPr="00FD673F" w:rsidRDefault="00FD673F" w:rsidP="00FD673F"/>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6AD0BD9" w14:textId="77777777" w:rsidR="00FD673F" w:rsidRPr="00FD673F" w:rsidRDefault="00FD673F" w:rsidP="00FD673F">
            <w:r w:rsidRPr="00FD673F">
              <w:t>— отбеленные:</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7AC3357"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43A4A39" w14:textId="77777777" w:rsidR="00FD673F" w:rsidRPr="00FD673F" w:rsidRDefault="00FD673F" w:rsidP="00FD673F"/>
        </w:tc>
      </w:tr>
      <w:tr w:rsidR="00FD673F" w:rsidRPr="00FD673F" w14:paraId="67AF9B2A"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3106D66" w14:textId="77777777" w:rsidR="00FD673F" w:rsidRPr="00FD673F" w:rsidRDefault="00FD673F" w:rsidP="00FD673F">
            <w:r w:rsidRPr="00FD673F">
              <w:t>5208 21</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841A8B6" w14:textId="77777777" w:rsidR="00FD673F" w:rsidRPr="00FD673F" w:rsidRDefault="00FD673F" w:rsidP="00FD673F">
            <w:r w:rsidRPr="00FD673F">
              <w:t>— — полотняного переплетения, с поверхностной плотностью не более 100 г/м</w:t>
            </w:r>
            <w:r w:rsidRPr="00FD673F">
              <w:rPr>
                <w:vertAlign w:val="superscript"/>
              </w:rPr>
              <w:t>2</w:t>
            </w:r>
            <w:r w:rsidRPr="00FD673F">
              <w:t>:</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9F232F9"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B9A40A9" w14:textId="77777777" w:rsidR="00FD673F" w:rsidRPr="00FD673F" w:rsidRDefault="00FD673F" w:rsidP="00FD673F"/>
        </w:tc>
      </w:tr>
      <w:tr w:rsidR="00FD673F" w:rsidRPr="00FD673F" w14:paraId="06A53B13"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6E07931" w14:textId="77777777" w:rsidR="00FD673F" w:rsidRPr="00FD673F" w:rsidRDefault="00FD673F" w:rsidP="00FD673F">
            <w:r w:rsidRPr="00FD673F">
              <w:t>5208 21 900</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C962BF5" w14:textId="77777777" w:rsidR="00FD673F" w:rsidRPr="00FD673F" w:rsidRDefault="00FD673F" w:rsidP="00FD673F">
            <w:r w:rsidRPr="00FD673F">
              <w:t>— — — прочие</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8214A12"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02355F4" w14:textId="77777777" w:rsidR="00FD673F" w:rsidRPr="00FD673F" w:rsidRDefault="00FD673F" w:rsidP="00FD673F"/>
        </w:tc>
      </w:tr>
      <w:tr w:rsidR="00FD673F" w:rsidRPr="00FD673F" w14:paraId="00F2CD3D"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BD7FBAE" w14:textId="77777777" w:rsidR="00FD673F" w:rsidRPr="00FD673F" w:rsidRDefault="00FD673F" w:rsidP="00FD673F">
            <w:r w:rsidRPr="00FD673F">
              <w:t>5208 22</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7DF0964" w14:textId="77777777" w:rsidR="00FD673F" w:rsidRPr="00FD673F" w:rsidRDefault="00FD673F" w:rsidP="00FD673F">
            <w:r w:rsidRPr="00FD673F">
              <w:t>— — полотняного переплетения, с поверхностной плотностью более 100 г/м</w:t>
            </w:r>
            <w:r w:rsidRPr="00FD673F">
              <w:rPr>
                <w:vertAlign w:val="superscript"/>
              </w:rPr>
              <w:t>2</w:t>
            </w:r>
            <w:r w:rsidRPr="00FD673F">
              <w:t>:</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2783099"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7ED2D62" w14:textId="77777777" w:rsidR="00FD673F" w:rsidRPr="00FD673F" w:rsidRDefault="00FD673F" w:rsidP="00FD673F"/>
        </w:tc>
      </w:tr>
      <w:tr w:rsidR="00FD673F" w:rsidRPr="00FD673F" w14:paraId="03A05043"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DB85F52" w14:textId="77777777" w:rsidR="00FD673F" w:rsidRPr="00FD673F" w:rsidRDefault="00FD673F" w:rsidP="00FD673F"/>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52DB58B" w14:textId="77777777" w:rsidR="00FD673F" w:rsidRPr="00FD673F" w:rsidRDefault="00FD673F" w:rsidP="00FD673F">
            <w:r w:rsidRPr="00FD673F">
              <w:t>— — — полотняного переплетения, с поверхностной плотностью более 100 г/м</w:t>
            </w:r>
            <w:r w:rsidRPr="00FD673F">
              <w:rPr>
                <w:vertAlign w:val="superscript"/>
              </w:rPr>
              <w:t>2</w:t>
            </w:r>
            <w:r w:rsidRPr="00FD673F">
              <w:t>, но не более 130 г/м</w:t>
            </w:r>
            <w:r w:rsidRPr="00FD673F">
              <w:rPr>
                <w:vertAlign w:val="superscript"/>
              </w:rPr>
              <w:t>2 </w:t>
            </w:r>
            <w:r w:rsidRPr="00FD673F">
              <w:t>и шириной:</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59A51F6"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C473A9B" w14:textId="77777777" w:rsidR="00FD673F" w:rsidRPr="00FD673F" w:rsidRDefault="00FD673F" w:rsidP="00FD673F"/>
        </w:tc>
      </w:tr>
      <w:tr w:rsidR="00FD673F" w:rsidRPr="00FD673F" w14:paraId="5F96E71F"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833C8DF" w14:textId="77777777" w:rsidR="00FD673F" w:rsidRPr="00FD673F" w:rsidRDefault="00FD673F" w:rsidP="00FD673F">
            <w:r w:rsidRPr="00FD673F">
              <w:t>5208 22 160</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5ADE522" w14:textId="77777777" w:rsidR="00FD673F" w:rsidRPr="00FD673F" w:rsidRDefault="00FD673F" w:rsidP="00FD673F">
            <w:r w:rsidRPr="00FD673F">
              <w:t>— — — — не более 165 см</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B3C262F"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D91DB4C" w14:textId="77777777" w:rsidR="00FD673F" w:rsidRPr="00FD673F" w:rsidRDefault="00FD673F" w:rsidP="00FD673F"/>
        </w:tc>
      </w:tr>
      <w:tr w:rsidR="00FD673F" w:rsidRPr="00FD673F" w14:paraId="781B9187"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B2D7B7C" w14:textId="77777777" w:rsidR="00FD673F" w:rsidRPr="00FD673F" w:rsidRDefault="00FD673F" w:rsidP="00FD673F">
            <w:r w:rsidRPr="00FD673F">
              <w:t>5208 22 190</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AE71B1D" w14:textId="77777777" w:rsidR="00FD673F" w:rsidRPr="00FD673F" w:rsidRDefault="00FD673F" w:rsidP="00FD673F">
            <w:r w:rsidRPr="00FD673F">
              <w:t>— — — — более 165 см</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F0803EB"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18B4D27" w14:textId="77777777" w:rsidR="00FD673F" w:rsidRPr="00FD673F" w:rsidRDefault="00FD673F" w:rsidP="00FD673F"/>
        </w:tc>
      </w:tr>
      <w:tr w:rsidR="00FD673F" w:rsidRPr="00FD673F" w14:paraId="7CB28225"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4AAE95E" w14:textId="77777777" w:rsidR="00FD673F" w:rsidRPr="00FD673F" w:rsidRDefault="00FD673F" w:rsidP="00FD673F"/>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BC7A8C5" w14:textId="77777777" w:rsidR="00FD673F" w:rsidRPr="00FD673F" w:rsidRDefault="00FD673F" w:rsidP="00FD673F">
            <w:r w:rsidRPr="00FD673F">
              <w:t>— — — полотняного переплетения, с поверхностной плотностью более 130 г/м</w:t>
            </w:r>
            <w:r w:rsidRPr="00FD673F">
              <w:rPr>
                <w:vertAlign w:val="superscript"/>
              </w:rPr>
              <w:t>2</w:t>
            </w:r>
            <w:r w:rsidRPr="00FD673F">
              <w:t> и шириной:</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5A25D70"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0E783A7" w14:textId="77777777" w:rsidR="00FD673F" w:rsidRPr="00FD673F" w:rsidRDefault="00FD673F" w:rsidP="00FD673F"/>
        </w:tc>
      </w:tr>
      <w:tr w:rsidR="00FD673F" w:rsidRPr="00FD673F" w14:paraId="4D5A54A4"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737B59B" w14:textId="77777777" w:rsidR="00FD673F" w:rsidRPr="00FD673F" w:rsidRDefault="00FD673F" w:rsidP="00FD673F">
            <w:r w:rsidRPr="00FD673F">
              <w:t>5208 22 960</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F3EF85D" w14:textId="77777777" w:rsidR="00FD673F" w:rsidRPr="00FD673F" w:rsidRDefault="00FD673F" w:rsidP="00FD673F">
            <w:r w:rsidRPr="00FD673F">
              <w:t>— — — — не более 165 см</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DCAE7B2"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C275E52" w14:textId="77777777" w:rsidR="00FD673F" w:rsidRPr="00FD673F" w:rsidRDefault="00FD673F" w:rsidP="00FD673F"/>
        </w:tc>
      </w:tr>
      <w:tr w:rsidR="00FD673F" w:rsidRPr="00FD673F" w14:paraId="472AC64E"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D6E0427" w14:textId="77777777" w:rsidR="00FD673F" w:rsidRPr="00FD673F" w:rsidRDefault="00FD673F" w:rsidP="00FD673F">
            <w:r w:rsidRPr="00FD673F">
              <w:t>5208 22 990</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0A20737" w14:textId="77777777" w:rsidR="00FD673F" w:rsidRPr="00FD673F" w:rsidRDefault="00FD673F" w:rsidP="00FD673F">
            <w:r w:rsidRPr="00FD673F">
              <w:t>— — — — более 165 см</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2FB818E"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5A5DD63" w14:textId="77777777" w:rsidR="00FD673F" w:rsidRPr="00FD673F" w:rsidRDefault="00FD673F" w:rsidP="00FD673F"/>
        </w:tc>
      </w:tr>
      <w:tr w:rsidR="00FD673F" w:rsidRPr="00FD673F" w14:paraId="3C74FA0F"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F0676AB" w14:textId="77777777" w:rsidR="00FD673F" w:rsidRPr="00FD673F" w:rsidRDefault="00FD673F" w:rsidP="00FD673F">
            <w:r w:rsidRPr="00FD673F">
              <w:t>5208 23 000</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6034E98" w14:textId="77777777" w:rsidR="00FD673F" w:rsidRPr="00FD673F" w:rsidRDefault="00FD673F" w:rsidP="00FD673F">
            <w:r w:rsidRPr="00FD673F">
              <w:t>— — 3- или 4-ниточного саржевого переплетения, включая обратную саржу</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7EAFA35"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C8D86B0" w14:textId="77777777" w:rsidR="00FD673F" w:rsidRPr="00FD673F" w:rsidRDefault="00FD673F" w:rsidP="00FD673F"/>
        </w:tc>
      </w:tr>
      <w:tr w:rsidR="00FD673F" w:rsidRPr="00FD673F" w14:paraId="2FCCDB4C"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EA9EF68" w14:textId="77777777" w:rsidR="00FD673F" w:rsidRPr="00FD673F" w:rsidRDefault="00FD673F" w:rsidP="00FD673F">
            <w:r w:rsidRPr="00FD673F">
              <w:lastRenderedPageBreak/>
              <w:t>5208 29 000</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8526072" w14:textId="77777777" w:rsidR="00FD673F" w:rsidRPr="00FD673F" w:rsidRDefault="00FD673F" w:rsidP="00FD673F">
            <w:r w:rsidRPr="00FD673F">
              <w:t>— — ткани прочие</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B4AAC09"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AB6BF11" w14:textId="77777777" w:rsidR="00FD673F" w:rsidRPr="00FD673F" w:rsidRDefault="00FD673F" w:rsidP="00FD673F"/>
        </w:tc>
      </w:tr>
      <w:tr w:rsidR="00FD673F" w:rsidRPr="00FD673F" w14:paraId="27C0C2E2"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105D091" w14:textId="77777777" w:rsidR="00FD673F" w:rsidRPr="00FD673F" w:rsidRDefault="00FD673F" w:rsidP="00FD673F"/>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71F4256" w14:textId="77777777" w:rsidR="00FD673F" w:rsidRPr="00FD673F" w:rsidRDefault="00FD673F" w:rsidP="00FD673F">
            <w:r w:rsidRPr="00FD673F">
              <w:t>— окрашенные:</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540BA27"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F324CFF" w14:textId="77777777" w:rsidR="00FD673F" w:rsidRPr="00FD673F" w:rsidRDefault="00FD673F" w:rsidP="00FD673F"/>
        </w:tc>
      </w:tr>
      <w:tr w:rsidR="00FD673F" w:rsidRPr="00FD673F" w14:paraId="6DC15EF9"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9010F53" w14:textId="77777777" w:rsidR="00FD673F" w:rsidRPr="00FD673F" w:rsidRDefault="00FD673F" w:rsidP="00FD673F">
            <w:r w:rsidRPr="00FD673F">
              <w:t>5208 31 000</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8B5B7F9" w14:textId="77777777" w:rsidR="00FD673F" w:rsidRPr="00FD673F" w:rsidRDefault="00FD673F" w:rsidP="00FD673F">
            <w:r w:rsidRPr="00FD673F">
              <w:t>— — полотняного переплетения, с поверхностной плотностью не более 100 г/м</w:t>
            </w:r>
            <w:r w:rsidRPr="00FD673F">
              <w:rPr>
                <w:vertAlign w:val="superscript"/>
              </w:rPr>
              <w:t>2</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E5F969C"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421BFA2" w14:textId="77777777" w:rsidR="00FD673F" w:rsidRPr="00FD673F" w:rsidRDefault="00FD673F" w:rsidP="00FD673F"/>
        </w:tc>
      </w:tr>
      <w:tr w:rsidR="00FD673F" w:rsidRPr="00FD673F" w14:paraId="75CACBB6"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E656E58" w14:textId="77777777" w:rsidR="00FD673F" w:rsidRPr="00FD673F" w:rsidRDefault="00FD673F" w:rsidP="00FD673F">
            <w:r w:rsidRPr="00FD673F">
              <w:t>5208 32</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446F16D" w14:textId="77777777" w:rsidR="00FD673F" w:rsidRPr="00FD673F" w:rsidRDefault="00FD673F" w:rsidP="00FD673F">
            <w:r w:rsidRPr="00FD673F">
              <w:t>— — полотняного переплетения, с поверхностной плотностью более 100 г/м</w:t>
            </w:r>
            <w:r w:rsidRPr="00FD673F">
              <w:rPr>
                <w:vertAlign w:val="superscript"/>
              </w:rPr>
              <w:t>2</w:t>
            </w:r>
            <w:r w:rsidRPr="00FD673F">
              <w:t>:</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0A892B4"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E10CE65" w14:textId="77777777" w:rsidR="00FD673F" w:rsidRPr="00FD673F" w:rsidRDefault="00FD673F" w:rsidP="00FD673F"/>
        </w:tc>
      </w:tr>
      <w:tr w:rsidR="00FD673F" w:rsidRPr="00FD673F" w14:paraId="3265AE85"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FF5E8D8" w14:textId="77777777" w:rsidR="00FD673F" w:rsidRPr="00FD673F" w:rsidRDefault="00FD673F" w:rsidP="00FD673F"/>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7F29DAF" w14:textId="77777777" w:rsidR="00FD673F" w:rsidRPr="00FD673F" w:rsidRDefault="00FD673F" w:rsidP="00FD673F">
            <w:r w:rsidRPr="00FD673F">
              <w:t>— — — полотняного переплетения, с поверхностной плотностью более 100 г/м</w:t>
            </w:r>
            <w:r w:rsidRPr="00FD673F">
              <w:rPr>
                <w:vertAlign w:val="superscript"/>
              </w:rPr>
              <w:t>2</w:t>
            </w:r>
            <w:r w:rsidRPr="00FD673F">
              <w:t>, но не более 130 г/м</w:t>
            </w:r>
            <w:r w:rsidRPr="00FD673F">
              <w:rPr>
                <w:vertAlign w:val="superscript"/>
              </w:rPr>
              <w:t>2</w:t>
            </w:r>
            <w:r w:rsidRPr="00FD673F">
              <w:t> и шириной:</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197F5C0"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DBBA2E9" w14:textId="77777777" w:rsidR="00FD673F" w:rsidRPr="00FD673F" w:rsidRDefault="00FD673F" w:rsidP="00FD673F"/>
        </w:tc>
      </w:tr>
      <w:tr w:rsidR="00FD673F" w:rsidRPr="00FD673F" w14:paraId="63092413"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1E4F10C" w14:textId="77777777" w:rsidR="00FD673F" w:rsidRPr="00FD673F" w:rsidRDefault="00FD673F" w:rsidP="00FD673F">
            <w:r w:rsidRPr="00FD673F">
              <w:t>5208 32 160</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7000CD6" w14:textId="77777777" w:rsidR="00FD673F" w:rsidRPr="00FD673F" w:rsidRDefault="00FD673F" w:rsidP="00FD673F">
            <w:r w:rsidRPr="00FD673F">
              <w:t>— — — — не более 165 см</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7F93F6A"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002B5E6" w14:textId="77777777" w:rsidR="00FD673F" w:rsidRPr="00FD673F" w:rsidRDefault="00FD673F" w:rsidP="00FD673F"/>
        </w:tc>
      </w:tr>
      <w:tr w:rsidR="00FD673F" w:rsidRPr="00FD673F" w14:paraId="08764053"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0B9DFD7" w14:textId="77777777" w:rsidR="00FD673F" w:rsidRPr="00FD673F" w:rsidRDefault="00FD673F" w:rsidP="00FD673F">
            <w:r w:rsidRPr="00FD673F">
              <w:t>5208 32 190</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5CD2D5F" w14:textId="77777777" w:rsidR="00FD673F" w:rsidRPr="00FD673F" w:rsidRDefault="00FD673F" w:rsidP="00FD673F">
            <w:r w:rsidRPr="00FD673F">
              <w:t>— — — — более 165 см</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B526F80"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48C611C" w14:textId="77777777" w:rsidR="00FD673F" w:rsidRPr="00FD673F" w:rsidRDefault="00FD673F" w:rsidP="00FD673F"/>
        </w:tc>
      </w:tr>
      <w:tr w:rsidR="00FD673F" w:rsidRPr="00FD673F" w14:paraId="252F6FA3"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B8E58C4" w14:textId="77777777" w:rsidR="00FD673F" w:rsidRPr="00FD673F" w:rsidRDefault="00FD673F" w:rsidP="00FD673F"/>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EF01BE9" w14:textId="77777777" w:rsidR="00FD673F" w:rsidRPr="00FD673F" w:rsidRDefault="00FD673F" w:rsidP="00FD673F">
            <w:r w:rsidRPr="00FD673F">
              <w:t>— — — полотняного переплетения, с поверхностной плотностью более 130 г/м</w:t>
            </w:r>
            <w:r w:rsidRPr="00FD673F">
              <w:rPr>
                <w:vertAlign w:val="superscript"/>
              </w:rPr>
              <w:t>2</w:t>
            </w:r>
            <w:r w:rsidRPr="00FD673F">
              <w:t> и шириной:</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C6BA923"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9448859" w14:textId="77777777" w:rsidR="00FD673F" w:rsidRPr="00FD673F" w:rsidRDefault="00FD673F" w:rsidP="00FD673F"/>
        </w:tc>
      </w:tr>
      <w:tr w:rsidR="00FD673F" w:rsidRPr="00FD673F" w14:paraId="57F8C15A"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7DA87A0" w14:textId="77777777" w:rsidR="00FD673F" w:rsidRPr="00FD673F" w:rsidRDefault="00FD673F" w:rsidP="00FD673F">
            <w:r w:rsidRPr="00FD673F">
              <w:t>5208 32 960</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591BC93" w14:textId="77777777" w:rsidR="00FD673F" w:rsidRPr="00FD673F" w:rsidRDefault="00FD673F" w:rsidP="00FD673F">
            <w:r w:rsidRPr="00FD673F">
              <w:t>— — — — не более 165 см</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2FC16C3"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C021BFE" w14:textId="77777777" w:rsidR="00FD673F" w:rsidRPr="00FD673F" w:rsidRDefault="00FD673F" w:rsidP="00FD673F"/>
        </w:tc>
      </w:tr>
      <w:tr w:rsidR="00FD673F" w:rsidRPr="00FD673F" w14:paraId="2F7DCA74"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D1E90FA" w14:textId="77777777" w:rsidR="00FD673F" w:rsidRPr="00FD673F" w:rsidRDefault="00FD673F" w:rsidP="00FD673F">
            <w:r w:rsidRPr="00FD673F">
              <w:t>5208 32 990</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8ACCD9E" w14:textId="77777777" w:rsidR="00FD673F" w:rsidRPr="00FD673F" w:rsidRDefault="00FD673F" w:rsidP="00FD673F">
            <w:r w:rsidRPr="00FD673F">
              <w:t>— — — — более 165 см</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858F78C"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81D84D5" w14:textId="77777777" w:rsidR="00FD673F" w:rsidRPr="00FD673F" w:rsidRDefault="00FD673F" w:rsidP="00FD673F"/>
        </w:tc>
      </w:tr>
      <w:tr w:rsidR="00FD673F" w:rsidRPr="00FD673F" w14:paraId="50B5AA54"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7CC8D46" w14:textId="77777777" w:rsidR="00FD673F" w:rsidRPr="00FD673F" w:rsidRDefault="00FD673F" w:rsidP="00FD673F">
            <w:r w:rsidRPr="00FD673F">
              <w:t>5208 33 000</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D5474B2" w14:textId="77777777" w:rsidR="00FD673F" w:rsidRPr="00FD673F" w:rsidRDefault="00FD673F" w:rsidP="00FD673F">
            <w:r w:rsidRPr="00FD673F">
              <w:t>— — 3- или 4-ниточного саржевого переплетения, включая обратную саржу</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C0DA855"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2FF8C48" w14:textId="77777777" w:rsidR="00FD673F" w:rsidRPr="00FD673F" w:rsidRDefault="00FD673F" w:rsidP="00FD673F"/>
        </w:tc>
      </w:tr>
      <w:tr w:rsidR="00FD673F" w:rsidRPr="00FD673F" w14:paraId="67666237"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454423D" w14:textId="77777777" w:rsidR="00FD673F" w:rsidRPr="00FD673F" w:rsidRDefault="00FD673F" w:rsidP="00FD673F">
            <w:r w:rsidRPr="00FD673F">
              <w:t>5208 39 000</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F7E0351" w14:textId="77777777" w:rsidR="00FD673F" w:rsidRPr="00FD673F" w:rsidRDefault="00FD673F" w:rsidP="00FD673F">
            <w:r w:rsidRPr="00FD673F">
              <w:t>— — ткани прочие</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051F624"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35CBA5E" w14:textId="77777777" w:rsidR="00FD673F" w:rsidRPr="00FD673F" w:rsidRDefault="00FD673F" w:rsidP="00FD673F"/>
        </w:tc>
      </w:tr>
      <w:tr w:rsidR="00FD673F" w:rsidRPr="00FD673F" w14:paraId="0C4F47FA"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DD2CF6A" w14:textId="77777777" w:rsidR="00FD673F" w:rsidRPr="00FD673F" w:rsidRDefault="00FD673F" w:rsidP="00FD673F"/>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B6C03E0" w14:textId="77777777" w:rsidR="00FD673F" w:rsidRPr="00FD673F" w:rsidRDefault="00FD673F" w:rsidP="00FD673F">
            <w:r w:rsidRPr="00FD673F">
              <w:t>— из пряжи различных цветов:</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9DD9791"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50C84CB" w14:textId="77777777" w:rsidR="00FD673F" w:rsidRPr="00FD673F" w:rsidRDefault="00FD673F" w:rsidP="00FD673F"/>
        </w:tc>
      </w:tr>
      <w:tr w:rsidR="00FD673F" w:rsidRPr="00FD673F" w14:paraId="77A49AFB"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888E855" w14:textId="77777777" w:rsidR="00FD673F" w:rsidRPr="00FD673F" w:rsidRDefault="00FD673F" w:rsidP="00FD673F">
            <w:r w:rsidRPr="00FD673F">
              <w:t>5208 41 000</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745ECA8" w14:textId="77777777" w:rsidR="00FD673F" w:rsidRPr="00FD673F" w:rsidRDefault="00FD673F" w:rsidP="00FD673F">
            <w:r w:rsidRPr="00FD673F">
              <w:t>— — полотняного переплетения, с поверхностной плотностью не более 100 г/м</w:t>
            </w:r>
            <w:r w:rsidRPr="00FD673F">
              <w:rPr>
                <w:vertAlign w:val="superscript"/>
              </w:rPr>
              <w:t>2</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094B275"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38F3302" w14:textId="77777777" w:rsidR="00FD673F" w:rsidRPr="00FD673F" w:rsidRDefault="00FD673F" w:rsidP="00FD673F"/>
        </w:tc>
      </w:tr>
      <w:tr w:rsidR="00FD673F" w:rsidRPr="00FD673F" w14:paraId="3F14BC37"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0DA856D" w14:textId="77777777" w:rsidR="00FD673F" w:rsidRPr="00FD673F" w:rsidRDefault="00FD673F" w:rsidP="00FD673F">
            <w:r w:rsidRPr="00FD673F">
              <w:lastRenderedPageBreak/>
              <w:t>5208 42 000</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A3D4BFC" w14:textId="77777777" w:rsidR="00FD673F" w:rsidRPr="00FD673F" w:rsidRDefault="00FD673F" w:rsidP="00FD673F">
            <w:r w:rsidRPr="00FD673F">
              <w:t>— — полотняного переплетения, с поверхностной плотностью более 100 г/м</w:t>
            </w:r>
            <w:r w:rsidRPr="00FD673F">
              <w:rPr>
                <w:vertAlign w:val="superscript"/>
              </w:rPr>
              <w:t>2</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C98F4E3"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2F794D0" w14:textId="77777777" w:rsidR="00FD673F" w:rsidRPr="00FD673F" w:rsidRDefault="00FD673F" w:rsidP="00FD673F"/>
        </w:tc>
      </w:tr>
      <w:tr w:rsidR="00FD673F" w:rsidRPr="00FD673F" w14:paraId="4C360DD3"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9855CDB" w14:textId="77777777" w:rsidR="00FD673F" w:rsidRPr="00FD673F" w:rsidRDefault="00FD673F" w:rsidP="00FD673F">
            <w:r w:rsidRPr="00FD673F">
              <w:t>5208 43 000</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C47ECFD" w14:textId="77777777" w:rsidR="00FD673F" w:rsidRPr="00FD673F" w:rsidRDefault="00FD673F" w:rsidP="00FD673F">
            <w:r w:rsidRPr="00FD673F">
              <w:t>— — 3- или 4-ниточного саржевого переплетения, включая обратную саржу</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E5B7EEC"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7211BD7" w14:textId="77777777" w:rsidR="00FD673F" w:rsidRPr="00FD673F" w:rsidRDefault="00FD673F" w:rsidP="00FD673F"/>
        </w:tc>
      </w:tr>
      <w:tr w:rsidR="00FD673F" w:rsidRPr="00FD673F" w14:paraId="477328BD"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0BD4845" w14:textId="77777777" w:rsidR="00FD673F" w:rsidRPr="00FD673F" w:rsidRDefault="00FD673F" w:rsidP="00FD673F">
            <w:r w:rsidRPr="00FD673F">
              <w:t>5208 49 000</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88A5922" w14:textId="77777777" w:rsidR="00FD673F" w:rsidRPr="00FD673F" w:rsidRDefault="00FD673F" w:rsidP="00FD673F">
            <w:r w:rsidRPr="00FD673F">
              <w:t>— — ткани прочие</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E8A2D91"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602E0B3" w14:textId="77777777" w:rsidR="00FD673F" w:rsidRPr="00FD673F" w:rsidRDefault="00FD673F" w:rsidP="00FD673F"/>
        </w:tc>
      </w:tr>
      <w:tr w:rsidR="00FD673F" w:rsidRPr="00FD673F" w14:paraId="51CF1FCC"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7EEC236" w14:textId="77777777" w:rsidR="00FD673F" w:rsidRPr="00FD673F" w:rsidRDefault="00FD673F" w:rsidP="00FD673F"/>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D9D6C82" w14:textId="77777777" w:rsidR="00FD673F" w:rsidRPr="00FD673F" w:rsidRDefault="00FD673F" w:rsidP="00FD673F">
            <w:r w:rsidRPr="00FD673F">
              <w:t>— напечатанные:</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B58775D"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BE81735" w14:textId="77777777" w:rsidR="00FD673F" w:rsidRPr="00FD673F" w:rsidRDefault="00FD673F" w:rsidP="00FD673F"/>
        </w:tc>
      </w:tr>
      <w:tr w:rsidR="00FD673F" w:rsidRPr="00FD673F" w14:paraId="74DDE514"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203C342" w14:textId="77777777" w:rsidR="00FD673F" w:rsidRPr="00FD673F" w:rsidRDefault="00FD673F" w:rsidP="00FD673F">
            <w:r w:rsidRPr="00FD673F">
              <w:t>5208 51 000</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5666EE7" w14:textId="77777777" w:rsidR="00FD673F" w:rsidRPr="00FD673F" w:rsidRDefault="00FD673F" w:rsidP="00FD673F">
            <w:r w:rsidRPr="00FD673F">
              <w:t>— — полотняного переплетения, с поверхностной плотностью не более 100 г/м</w:t>
            </w:r>
            <w:r w:rsidRPr="00FD673F">
              <w:rPr>
                <w:vertAlign w:val="superscript"/>
              </w:rPr>
              <w:t>2</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5B9690A"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4FF654C" w14:textId="77777777" w:rsidR="00FD673F" w:rsidRPr="00FD673F" w:rsidRDefault="00FD673F" w:rsidP="00FD673F"/>
        </w:tc>
      </w:tr>
      <w:tr w:rsidR="00FD673F" w:rsidRPr="00FD673F" w14:paraId="66BC3841"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FAA339D" w14:textId="77777777" w:rsidR="00FD673F" w:rsidRPr="00FD673F" w:rsidRDefault="00FD673F" w:rsidP="00FD673F">
            <w:r w:rsidRPr="00FD673F">
              <w:t>5208 52 000</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F8AF7E9" w14:textId="77777777" w:rsidR="00FD673F" w:rsidRPr="00FD673F" w:rsidRDefault="00FD673F" w:rsidP="00FD673F">
            <w:r w:rsidRPr="00FD673F">
              <w:t>— — полотняного переплетения, с поверхностной плотностью более 100 г/м</w:t>
            </w:r>
            <w:r w:rsidRPr="00FD673F">
              <w:rPr>
                <w:vertAlign w:val="superscript"/>
              </w:rPr>
              <w:t>2</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1557272"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6146038" w14:textId="77777777" w:rsidR="00FD673F" w:rsidRPr="00FD673F" w:rsidRDefault="00FD673F" w:rsidP="00FD673F"/>
        </w:tc>
      </w:tr>
      <w:tr w:rsidR="00FD673F" w:rsidRPr="00FD673F" w14:paraId="7DA35DF4"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DC715BD" w14:textId="77777777" w:rsidR="00FD673F" w:rsidRPr="00FD673F" w:rsidRDefault="00FD673F" w:rsidP="00FD673F">
            <w:r w:rsidRPr="00FD673F">
              <w:t>5208 59</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999E4BA" w14:textId="77777777" w:rsidR="00FD673F" w:rsidRPr="00FD673F" w:rsidRDefault="00FD673F" w:rsidP="00FD673F">
            <w:r w:rsidRPr="00FD673F">
              <w:t>— — ткани прочие:</w:t>
            </w:r>
          </w:p>
        </w:tc>
        <w:tc>
          <w:tcPr>
            <w:tcW w:w="170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FE89114" w14:textId="77777777" w:rsidR="00FD673F" w:rsidRPr="00FD673F" w:rsidRDefault="00FD673F" w:rsidP="00FD673F"/>
        </w:tc>
        <w:tc>
          <w:tcPr>
            <w:tcW w:w="2693"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812A07A" w14:textId="77777777" w:rsidR="00FD673F" w:rsidRPr="00FD673F" w:rsidRDefault="00FD673F" w:rsidP="00FD673F"/>
        </w:tc>
      </w:tr>
      <w:tr w:rsidR="00FD673F" w:rsidRPr="00FD673F" w14:paraId="5DFE9007"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F5860BC" w14:textId="77777777" w:rsidR="00FD673F" w:rsidRPr="00FD673F" w:rsidRDefault="00FD673F" w:rsidP="00FD673F">
            <w:r w:rsidRPr="00FD673F">
              <w:t>5208 59 100</w:t>
            </w:r>
          </w:p>
        </w:tc>
        <w:tc>
          <w:tcPr>
            <w:tcW w:w="35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C83F950" w14:textId="77777777" w:rsidR="00FD673F" w:rsidRPr="00FD673F" w:rsidRDefault="00FD673F" w:rsidP="00FD673F">
            <w:r w:rsidRPr="00FD673F">
              <w:t>— — — 3- или 4-ниточного саржевого переплетения, включая обратную саржу</w:t>
            </w:r>
          </w:p>
        </w:tc>
        <w:tc>
          <w:tcPr>
            <w:tcW w:w="170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E007D5A" w14:textId="77777777" w:rsidR="00FD673F" w:rsidRPr="00FD673F" w:rsidRDefault="00FD673F" w:rsidP="00FD673F">
            <w:r w:rsidRPr="00FD673F">
              <w:t>м</w:t>
            </w:r>
            <w:r w:rsidRPr="00FD673F">
              <w:rPr>
                <w:vertAlign w:val="superscript"/>
              </w:rPr>
              <w:t>2</w:t>
            </w:r>
          </w:p>
        </w:tc>
        <w:tc>
          <w:tcPr>
            <w:tcW w:w="2693"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3D5D950" w14:textId="77777777" w:rsidR="00FD673F" w:rsidRPr="00FD673F" w:rsidRDefault="00FD673F" w:rsidP="00FD673F"/>
        </w:tc>
      </w:tr>
      <w:tr w:rsidR="00FD673F" w:rsidRPr="00FD673F" w14:paraId="31C784AA" w14:textId="77777777" w:rsidTr="00FD673F">
        <w:tc>
          <w:tcPr>
            <w:tcW w:w="126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9E83EB4" w14:textId="77777777" w:rsidR="00FD673F" w:rsidRPr="00FD673F" w:rsidRDefault="00FD673F" w:rsidP="00FD673F">
            <w:r w:rsidRPr="00FD673F">
              <w:t>5208 59 900</w:t>
            </w:r>
          </w:p>
        </w:tc>
        <w:tc>
          <w:tcPr>
            <w:tcW w:w="354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DBA30EB" w14:textId="77777777" w:rsidR="00FD673F" w:rsidRPr="00FD673F" w:rsidRDefault="00FD673F" w:rsidP="00FD673F">
            <w:r w:rsidRPr="00FD673F">
              <w:t>— — — прочие</w:t>
            </w:r>
          </w:p>
        </w:tc>
        <w:tc>
          <w:tcPr>
            <w:tcW w:w="1701" w:type="dxa"/>
            <w:shd w:val="clear" w:color="auto" w:fill="FFFFFF"/>
            <w:vAlign w:val="center"/>
            <w:hideMark/>
          </w:tcPr>
          <w:p w14:paraId="5AF383AE" w14:textId="77777777" w:rsidR="00FD673F" w:rsidRPr="00FD673F" w:rsidRDefault="00FD673F" w:rsidP="00FD673F"/>
        </w:tc>
        <w:tc>
          <w:tcPr>
            <w:tcW w:w="2693" w:type="dxa"/>
            <w:shd w:val="clear" w:color="auto" w:fill="FFFFFF"/>
            <w:vAlign w:val="center"/>
            <w:hideMark/>
          </w:tcPr>
          <w:p w14:paraId="4B0FA205" w14:textId="77777777" w:rsidR="00FD673F" w:rsidRPr="00FD673F" w:rsidRDefault="00FD673F" w:rsidP="00FD673F"/>
        </w:tc>
      </w:tr>
    </w:tbl>
    <w:p w14:paraId="68D4643B" w14:textId="77777777" w:rsidR="00CD1F2E" w:rsidRDefault="00CD1F2E"/>
    <w:sectPr w:rsidR="00CD1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74392"/>
    <w:multiLevelType w:val="multilevel"/>
    <w:tmpl w:val="DBE4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A55746"/>
    <w:multiLevelType w:val="multilevel"/>
    <w:tmpl w:val="9D5E9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E568C0"/>
    <w:multiLevelType w:val="multilevel"/>
    <w:tmpl w:val="99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5977279">
    <w:abstractNumId w:val="2"/>
  </w:num>
  <w:num w:numId="2" w16cid:durableId="1241255812">
    <w:abstractNumId w:val="0"/>
  </w:num>
  <w:num w:numId="3" w16cid:durableId="1499271292">
    <w:abstractNumId w:val="1"/>
    <w:lvlOverride w:ilvl="0">
      <w:lvl w:ilvl="0">
        <w:numFmt w:val="decimal"/>
        <w:lvlText w:val="%1."/>
        <w:lvlJc w:val="left"/>
      </w:lvl>
    </w:lvlOverride>
  </w:num>
  <w:num w:numId="4" w16cid:durableId="1839535502">
    <w:abstractNumId w:val="1"/>
    <w:lvlOverride w:ilvl="0">
      <w:lvl w:ilvl="0">
        <w:numFmt w:val="decimal"/>
        <w:lvlText w:val="%1."/>
        <w:lvlJc w:val="left"/>
      </w:lvl>
    </w:lvlOverride>
  </w:num>
  <w:num w:numId="5" w16cid:durableId="1637031288">
    <w:abstractNumId w:val="1"/>
    <w:lvlOverride w:ilvl="0">
      <w:lvl w:ilvl="0">
        <w:numFmt w:val="decimal"/>
        <w:lvlText w:val="%1."/>
        <w:lvlJc w:val="left"/>
      </w:lvl>
    </w:lvlOverride>
  </w:num>
  <w:num w:numId="6" w16cid:durableId="2102945673">
    <w:abstractNumId w:val="1"/>
    <w:lvlOverride w:ilvl="0">
      <w:lvl w:ilvl="0">
        <w:numFmt w:val="decimal"/>
        <w:lvlText w:val="%1."/>
        <w:lvlJc w:val="left"/>
      </w:lvl>
    </w:lvlOverride>
  </w:num>
  <w:num w:numId="7" w16cid:durableId="1571496211">
    <w:abstractNumId w:val="1"/>
    <w:lvlOverride w:ilvl="0">
      <w:lvl w:ilvl="0">
        <w:numFmt w:val="decimal"/>
        <w:lvlText w:val="%1."/>
        <w:lvlJc w:val="left"/>
      </w:lvl>
    </w:lvlOverride>
  </w:num>
  <w:num w:numId="8" w16cid:durableId="89007652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D7"/>
    <w:rsid w:val="001563D7"/>
    <w:rsid w:val="00271421"/>
    <w:rsid w:val="00CD1F2E"/>
    <w:rsid w:val="00FD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B68DF-BF20-4065-BA84-30F6B38F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02074">
      <w:bodyDiv w:val="1"/>
      <w:marLeft w:val="0"/>
      <w:marRight w:val="0"/>
      <w:marTop w:val="0"/>
      <w:marBottom w:val="0"/>
      <w:divBdr>
        <w:top w:val="none" w:sz="0" w:space="0" w:color="auto"/>
        <w:left w:val="none" w:sz="0" w:space="0" w:color="auto"/>
        <w:bottom w:val="none" w:sz="0" w:space="0" w:color="auto"/>
        <w:right w:val="none" w:sz="0" w:space="0" w:color="auto"/>
      </w:divBdr>
    </w:div>
    <w:div w:id="17622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Баркарь Анна</dc:creator>
  <cp:keywords/>
  <dc:description/>
  <cp:lastModifiedBy>Баркарь Анна</cp:lastModifiedBy>
  <cp:revision>2</cp:revision>
  <dcterms:created xsi:type="dcterms:W3CDTF">2024-07-24T07:51:00Z</dcterms:created>
  <dcterms:modified xsi:type="dcterms:W3CDTF">2024-07-24T07:54:00Z</dcterms:modified>
</cp:coreProperties>
</file>