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3020C1"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12.04.</w:t>
      </w:r>
      <w:r w:rsidR="002E440A" w:rsidRPr="00877091">
        <w:rPr>
          <w:rFonts w:ascii="Times New Roman" w:hAnsi="Times New Roman" w:cs="Times New Roman"/>
          <w:b/>
          <w:u w:val="single"/>
        </w:rPr>
        <w:t>202</w:t>
      </w:r>
      <w:r w:rsidR="00607B03">
        <w:rPr>
          <w:rFonts w:ascii="Times New Roman" w:hAnsi="Times New Roman" w:cs="Times New Roman"/>
          <w:b/>
          <w:u w:val="single"/>
        </w:rPr>
        <w:t>2</w:t>
      </w:r>
      <w:r>
        <w:rPr>
          <w:rFonts w:ascii="Times New Roman" w:hAnsi="Times New Roman" w:cs="Times New Roman"/>
          <w:b/>
          <w:u w:val="single"/>
        </w:rPr>
        <w:t xml:space="preserve"> г.</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345</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3020C1" w:rsidRPr="003020C1" w:rsidRDefault="005F444A" w:rsidP="003020C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020C1">
        <w:rPr>
          <w:rFonts w:ascii="Times New Roman" w:eastAsia="Times New Roman" w:hAnsi="Times New Roman" w:cs="Times New Roman"/>
          <w:b/>
          <w:sz w:val="24"/>
          <w:szCs w:val="24"/>
        </w:rPr>
        <w:t xml:space="preserve">О введении в действие </w:t>
      </w:r>
      <w:r w:rsidR="00A06065" w:rsidRPr="003020C1">
        <w:rPr>
          <w:rFonts w:ascii="Times New Roman" w:eastAsia="Times New Roman" w:hAnsi="Times New Roman" w:cs="Times New Roman"/>
          <w:b/>
          <w:sz w:val="24"/>
          <w:szCs w:val="24"/>
        </w:rPr>
        <w:t xml:space="preserve">и </w:t>
      </w:r>
      <w:r w:rsidR="003020C1" w:rsidRPr="003020C1">
        <w:rPr>
          <w:rFonts w:ascii="Times New Roman" w:eastAsia="Times New Roman" w:hAnsi="Times New Roman" w:cs="Times New Roman"/>
          <w:b/>
          <w:sz w:val="24"/>
          <w:szCs w:val="24"/>
        </w:rPr>
        <w:t>от</w:t>
      </w:r>
      <w:r w:rsidR="00A06065" w:rsidRPr="003020C1">
        <w:rPr>
          <w:rFonts w:ascii="Times New Roman" w:eastAsia="Times New Roman" w:hAnsi="Times New Roman" w:cs="Times New Roman"/>
          <w:b/>
          <w:sz w:val="24"/>
          <w:szCs w:val="24"/>
        </w:rPr>
        <w:t xml:space="preserve">мене </w:t>
      </w:r>
      <w:r w:rsidRPr="003020C1">
        <w:rPr>
          <w:rFonts w:ascii="Times New Roman" w:eastAsia="Times New Roman" w:hAnsi="Times New Roman" w:cs="Times New Roman"/>
          <w:b/>
          <w:sz w:val="24"/>
          <w:szCs w:val="24"/>
        </w:rPr>
        <w:t xml:space="preserve">нормативных документов по стандартизации </w:t>
      </w:r>
    </w:p>
    <w:p w:rsidR="00877091" w:rsidRPr="003020C1" w:rsidRDefault="005F444A" w:rsidP="003020C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020C1">
        <w:rPr>
          <w:rFonts w:ascii="Times New Roman" w:eastAsia="Times New Roman" w:hAnsi="Times New Roman" w:cs="Times New Roman"/>
          <w:b/>
          <w:sz w:val="24"/>
          <w:szCs w:val="24"/>
        </w:rPr>
        <w:t>на территории Приднестровской Молдавской Республики</w:t>
      </w:r>
    </w:p>
    <w:p w:rsidR="00B21717" w:rsidRPr="003020C1"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highlight w:val="cyan"/>
        </w:rPr>
      </w:pPr>
    </w:p>
    <w:p w:rsidR="0015061B" w:rsidRPr="00054D0F" w:rsidRDefault="0015061B" w:rsidP="0015061B">
      <w:pPr>
        <w:spacing w:after="0" w:line="240" w:lineRule="auto"/>
        <w:ind w:firstLine="708"/>
        <w:jc w:val="center"/>
        <w:rPr>
          <w:rFonts w:ascii="Times New Roman" w:hAnsi="Times New Roman" w:cs="Times New Roman"/>
          <w:b/>
          <w:sz w:val="24"/>
          <w:szCs w:val="24"/>
        </w:rPr>
      </w:pPr>
      <w:r w:rsidRPr="003020C1">
        <w:rPr>
          <w:rFonts w:ascii="Times New Roman" w:hAnsi="Times New Roman" w:cs="Times New Roman"/>
          <w:b/>
          <w:sz w:val="24"/>
          <w:szCs w:val="24"/>
        </w:rPr>
        <w:t>(опубликование в газете «Приднестровье</w:t>
      </w:r>
      <w:r w:rsidRPr="00054D0F">
        <w:rPr>
          <w:rFonts w:ascii="Times New Roman" w:hAnsi="Times New Roman" w:cs="Times New Roman"/>
          <w:b/>
          <w:sz w:val="24"/>
          <w:szCs w:val="24"/>
        </w:rPr>
        <w:t xml:space="preserve">» от </w:t>
      </w:r>
      <w:r w:rsidR="00054D0F" w:rsidRPr="00054D0F">
        <w:rPr>
          <w:rFonts w:ascii="Times New Roman" w:hAnsi="Times New Roman" w:cs="Times New Roman"/>
          <w:b/>
          <w:sz w:val="24"/>
          <w:szCs w:val="24"/>
        </w:rPr>
        <w:t xml:space="preserve">22 </w:t>
      </w:r>
      <w:r w:rsidR="003020C1" w:rsidRPr="00054D0F">
        <w:rPr>
          <w:rFonts w:ascii="Times New Roman" w:hAnsi="Times New Roman" w:cs="Times New Roman"/>
          <w:b/>
          <w:sz w:val="24"/>
          <w:szCs w:val="24"/>
        </w:rPr>
        <w:t xml:space="preserve">апреля </w:t>
      </w:r>
      <w:r w:rsidRPr="00054D0F">
        <w:rPr>
          <w:rFonts w:ascii="Times New Roman" w:hAnsi="Times New Roman" w:cs="Times New Roman"/>
          <w:b/>
          <w:sz w:val="24"/>
          <w:szCs w:val="24"/>
        </w:rPr>
        <w:t>202</w:t>
      </w:r>
      <w:r w:rsidR="00970600" w:rsidRPr="00054D0F">
        <w:rPr>
          <w:rFonts w:ascii="Times New Roman" w:hAnsi="Times New Roman" w:cs="Times New Roman"/>
          <w:b/>
          <w:sz w:val="24"/>
          <w:szCs w:val="24"/>
        </w:rPr>
        <w:t>2</w:t>
      </w:r>
      <w:r w:rsidRPr="00054D0F">
        <w:rPr>
          <w:rFonts w:ascii="Times New Roman" w:hAnsi="Times New Roman" w:cs="Times New Roman"/>
          <w:b/>
          <w:sz w:val="24"/>
          <w:szCs w:val="24"/>
        </w:rPr>
        <w:t xml:space="preserve"> года № </w:t>
      </w:r>
      <w:r w:rsidR="00054D0F" w:rsidRPr="00054D0F">
        <w:rPr>
          <w:rFonts w:ascii="Times New Roman" w:hAnsi="Times New Roman" w:cs="Times New Roman"/>
          <w:b/>
          <w:sz w:val="24"/>
          <w:szCs w:val="24"/>
        </w:rPr>
        <w:t>71</w:t>
      </w:r>
      <w:r w:rsidRPr="00054D0F">
        <w:rPr>
          <w:rFonts w:ascii="Times New Roman" w:hAnsi="Times New Roman" w:cs="Times New Roman"/>
          <w:b/>
          <w:sz w:val="24"/>
          <w:szCs w:val="24"/>
        </w:rPr>
        <w:t>)</w:t>
      </w:r>
    </w:p>
    <w:p w:rsidR="0015061B" w:rsidRPr="003020C1"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highlight w:val="cyan"/>
        </w:rPr>
      </w:pPr>
      <w:bookmarkStart w:id="0" w:name="_GoBack"/>
      <w:bookmarkEnd w:id="0"/>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в действующей редакции,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w:t>
      </w:r>
      <w:r>
        <w:rPr>
          <w:rFonts w:ascii="Times New Roman" w:hAnsi="Times New Roman" w:cs="Times New Roman"/>
          <w:sz w:val="24"/>
          <w:szCs w:val="24"/>
        </w:rPr>
        <w:t xml:space="preserve">ции, метрологии и сертификации» </w:t>
      </w:r>
      <w:r w:rsidRPr="000823F5">
        <w:rPr>
          <w:rFonts w:ascii="Times New Roman" w:hAnsi="Times New Roman" w:cs="Times New Roman"/>
          <w:sz w:val="24"/>
          <w:szCs w:val="24"/>
        </w:rPr>
        <w:t>(САЗ 02-21), в целях актуализации нормативной базы стандартов, приказываю:</w:t>
      </w:r>
    </w:p>
    <w:p w:rsidR="003020C1" w:rsidRPr="000823F5" w:rsidRDefault="003020C1" w:rsidP="003020C1">
      <w:pPr>
        <w:spacing w:after="0" w:line="240" w:lineRule="auto"/>
        <w:ind w:firstLine="567"/>
        <w:jc w:val="both"/>
        <w:rPr>
          <w:rFonts w:ascii="Times New Roman" w:hAnsi="Times New Roman" w:cs="Times New Roman"/>
          <w:sz w:val="24"/>
          <w:szCs w:val="24"/>
        </w:rPr>
      </w:pP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а) без редакционных изменений:</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ГОСТ 33289-2015 «Безопасность лакокрасочных материалов. Термины и определения»;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 ГОСТ 1928-2019 «Сольвент каменноугольный.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 ГОСТ 19738-2015 «Припои серебряные. Марки»;</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3) ГОСТ 24308-2018 «Посуда из мельхиора, нейзильбера, латуни с хромовым или никелевым покрытием. Общие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4) ГОСТ 24320-2018 «Посуда и приборы столовые из мельхиора и нейзильбера с серебряным или золотым покрытием. Общие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5) ГОСТ 25129-2020 «Грунтовка ГФ-021. Технические условия»;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6) ГОСТ 30630.1.10-2013 «Методы испытаний на стойкость к механическим внешним воздействующим факторам машин, приборов и других технических изделий. Удары по оболочке изделия»;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7) ГОСТ 31939-2012 «Материалы лакокрасочные. Определение массовой доли нелетучих веществ»;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8) ГОСТ 31973-2013 «Материалы лакокрасочные. Метод определения степени </w:t>
      </w:r>
      <w:proofErr w:type="spellStart"/>
      <w:r w:rsidRPr="000823F5">
        <w:rPr>
          <w:rFonts w:ascii="Times New Roman" w:hAnsi="Times New Roman" w:cs="Times New Roman"/>
          <w:sz w:val="24"/>
          <w:szCs w:val="24"/>
        </w:rPr>
        <w:t>перетира</w:t>
      </w:r>
      <w:proofErr w:type="spellEnd"/>
      <w:r w:rsidRPr="000823F5">
        <w:rPr>
          <w:rFonts w:ascii="Times New Roman" w:hAnsi="Times New Roman" w:cs="Times New Roman"/>
          <w:sz w:val="24"/>
          <w:szCs w:val="24"/>
        </w:rPr>
        <w:t xml:space="preserve">»;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9) ГОСТ 31974-2012 «Материалы лакокрасочные. Метод определения прочности покрытия при изгибе вокруг цилиндрического стержня»;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lastRenderedPageBreak/>
        <w:t xml:space="preserve">10) ГОСТ 32385-2013 «Товары бытовой химии. Метод определения показателя активности водородных ионов (рН)»;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11) ГОСТ 32386-2013 «Товары бытовой химии. Метод определения активного хлора»;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12) ГОСТ 32387-2013 «Товары бытовой химии. Метод определения массовой доли активного кислорода»;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13) ГОСТ 32389-2013 «Олифы. Общие технические условия»;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14) ГОСТ 32396-2021 «Устройства вводно-распределительные для жилых и общественных зданий. Общие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15) ГОСТ 32438-2013 «Товары бытовой химии. Метод определения массовой доли серосодержащих восстановителей»;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16) ГОСТ 32439-2013 «Товары бытовой химии. Метод определения щелочных компонентов»;</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17) ГОСТ 32444-2013 «Товары бытовой химии. Методы определения фосфорсодержащих соединений»;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18) ГОСТ 32464-2013 «Угли бурые, каменные и антрацит. Общие технические требования»;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19) ГОСТ 32478-2013 «Товары бытовой химии. Общие технические требования»;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20) ГОСТ 32481-2013 «Товары бытовой химии в аэрозольной упаковке. Общие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21) ГОСТ 32702.2-2014 «Материалы лакокрасочные. Определение адгезии методом Х-образного надреза»;</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22) ГОСТ 33756-2016 «Упаковка потребительская полимерная. Общие технические условия»;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23) ГОСТ IEC 61439-1-2015 «Устройства комплектные низковольтные распределения и </w:t>
      </w:r>
      <w:proofErr w:type="spellStart"/>
      <w:proofErr w:type="gramStart"/>
      <w:r w:rsidRPr="000823F5">
        <w:rPr>
          <w:rFonts w:ascii="Times New Roman" w:hAnsi="Times New Roman" w:cs="Times New Roman"/>
          <w:sz w:val="24"/>
          <w:szCs w:val="24"/>
        </w:rPr>
        <w:t>управления.Часть</w:t>
      </w:r>
      <w:proofErr w:type="spellEnd"/>
      <w:proofErr w:type="gramEnd"/>
      <w:r w:rsidRPr="000823F5">
        <w:rPr>
          <w:rFonts w:ascii="Times New Roman" w:hAnsi="Times New Roman" w:cs="Times New Roman"/>
          <w:sz w:val="24"/>
          <w:szCs w:val="24"/>
        </w:rPr>
        <w:t xml:space="preserve"> 1. Общие требования»;</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24) ГОСТ IEC 61439-3-2015 «Устройства комплектные низковольтные распределения и </w:t>
      </w:r>
      <w:proofErr w:type="spellStart"/>
      <w:proofErr w:type="gramStart"/>
      <w:r w:rsidRPr="000823F5">
        <w:rPr>
          <w:rFonts w:ascii="Times New Roman" w:hAnsi="Times New Roman" w:cs="Times New Roman"/>
          <w:sz w:val="24"/>
          <w:szCs w:val="24"/>
        </w:rPr>
        <w:t>управления.Часть</w:t>
      </w:r>
      <w:proofErr w:type="spellEnd"/>
      <w:proofErr w:type="gramEnd"/>
      <w:r w:rsidRPr="000823F5">
        <w:rPr>
          <w:rFonts w:ascii="Times New Roman" w:hAnsi="Times New Roman" w:cs="Times New Roman"/>
          <w:sz w:val="24"/>
          <w:szCs w:val="24"/>
        </w:rPr>
        <w:t xml:space="preserve"> 3. Распределительные щиты, предназначенные для управления неквалифицированными».</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 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требованиями законодательства Приднестровской Молдавской Республики:</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1) ГОСТ ПМР ГОСТ Р 50500-2022 (ИСО 6860-84) «Лаки и краски. Испытание на изгиб (конический стержень)», гармонизированный с ГОСТ Р 50500-93;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2) ГОСТ ПМР ГОСТ Р 51691-2022 «Материалы лакокрасочные. Эмали. Общие технические условия», гармонизированный с ГОСТ Р 51691-2008;</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3) ГОСТ ПМР ГОСТ Р 52166-2022 «Материалы лакокрасочные. Определение твердости покрытия по времени уменьшения амплитуды колебаний маятника», гармонизированный ГОСТ Р 52166-2003;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 xml:space="preserve">4) ГОСТ ПМР ГОСТ Р 53007-2022 (ИСО 6272-1:2002, ИСО 6272-2:2002) «Материалы лакокрасочные. Метод испытания на быструю деформацию (прочность при ударе)», гармонизированный ГОСТ Р 53007-2008 (ИСО 6272-1:2002, ИСО 6272-2:2002).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3. В связи с вв</w:t>
      </w:r>
      <w:r>
        <w:rPr>
          <w:rFonts w:ascii="Times New Roman" w:hAnsi="Times New Roman" w:cs="Times New Roman"/>
          <w:sz w:val="24"/>
          <w:szCs w:val="24"/>
        </w:rPr>
        <w:t>едением в действие подпунктом 22</w:t>
      </w:r>
      <w:r w:rsidRPr="000823F5">
        <w:rPr>
          <w:rFonts w:ascii="Times New Roman" w:hAnsi="Times New Roman" w:cs="Times New Roman"/>
          <w:sz w:val="24"/>
          <w:szCs w:val="24"/>
        </w:rPr>
        <w:t xml:space="preserve">) подпункта б) пункта 1 настоящего Приказа ГОСТ 33756-2016, отменить действие на территории Приднестровской Молдавской Республики ГОСТ ПМР ГОСТ Р 51760-2017 «Тара потребительская полимерная. Общие технические условия», введенного в действие Приказом Министерства промышленности и регионального развития Приднестровской Молдавской Республики от 7 апреля 2017 года № 175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15 апреля 2017 года № 68). </w:t>
      </w:r>
    </w:p>
    <w:p w:rsidR="003020C1" w:rsidRPr="000823F5"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4.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пунктам 1 и 2 настоящего Приказа.</w:t>
      </w:r>
    </w:p>
    <w:p w:rsidR="003020C1" w:rsidRPr="00AA6D50" w:rsidRDefault="003020C1" w:rsidP="003020C1">
      <w:pPr>
        <w:spacing w:after="0" w:line="240" w:lineRule="auto"/>
        <w:ind w:firstLine="567"/>
        <w:jc w:val="both"/>
        <w:rPr>
          <w:rFonts w:ascii="Times New Roman" w:hAnsi="Times New Roman" w:cs="Times New Roman"/>
          <w:sz w:val="24"/>
          <w:szCs w:val="24"/>
        </w:rPr>
      </w:pPr>
      <w:r w:rsidRPr="000823F5">
        <w:rPr>
          <w:rFonts w:ascii="Times New Roman" w:hAnsi="Times New Roman" w:cs="Times New Roman"/>
          <w:sz w:val="24"/>
          <w:szCs w:val="24"/>
        </w:rPr>
        <w:t>5. Настоящий Приказ вступает в силу со дня, следующего за днем его официального опубликования в газете «Приднестровье».</w:t>
      </w:r>
    </w:p>
    <w:p w:rsidR="003020C1" w:rsidRDefault="003020C1" w:rsidP="003020C1">
      <w:pPr>
        <w:spacing w:after="0" w:line="240" w:lineRule="auto"/>
        <w:ind w:firstLine="567"/>
        <w:jc w:val="both"/>
        <w:rPr>
          <w:rFonts w:ascii="Times New Roman" w:hAnsi="Times New Roman" w:cs="Times New Roman"/>
          <w:sz w:val="24"/>
          <w:szCs w:val="24"/>
        </w:rPr>
      </w:pPr>
    </w:p>
    <w:p w:rsidR="003020C1" w:rsidRDefault="003020C1" w:rsidP="003020C1">
      <w:pPr>
        <w:spacing w:after="0" w:line="240" w:lineRule="auto"/>
        <w:ind w:firstLine="567"/>
        <w:jc w:val="both"/>
        <w:rPr>
          <w:rFonts w:ascii="Times New Roman" w:hAnsi="Times New Roman" w:cs="Times New Roman"/>
          <w:sz w:val="24"/>
          <w:szCs w:val="24"/>
        </w:rPr>
      </w:pPr>
    </w:p>
    <w:p w:rsidR="003020C1" w:rsidRDefault="003020C1" w:rsidP="00302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Правительства – </w:t>
      </w:r>
    </w:p>
    <w:p w:rsidR="003020C1" w:rsidRDefault="003020C1" w:rsidP="003020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министр экономического развития </w:t>
      </w:r>
    </w:p>
    <w:p w:rsidR="003020C1" w:rsidRDefault="003020C1" w:rsidP="003020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С.А. </w:t>
      </w:r>
      <w:proofErr w:type="spellStart"/>
      <w:r>
        <w:rPr>
          <w:rFonts w:ascii="Times New Roman" w:hAnsi="Times New Roman" w:cs="Times New Roman"/>
          <w:sz w:val="24"/>
          <w:szCs w:val="24"/>
        </w:rPr>
        <w:t>Оболоник</w:t>
      </w:r>
      <w:proofErr w:type="spellEnd"/>
    </w:p>
    <w:p w:rsidR="005F444A" w:rsidRPr="00386FAD" w:rsidRDefault="005F444A" w:rsidP="003020C1">
      <w:pPr>
        <w:spacing w:after="0"/>
        <w:ind w:firstLine="709"/>
        <w:jc w:val="both"/>
        <w:rPr>
          <w:rFonts w:ascii="Times New Roman" w:hAnsi="Times New Roman" w:cs="Times New Roman"/>
          <w:color w:val="000000"/>
          <w:sz w:val="24"/>
          <w:szCs w:val="24"/>
        </w:rPr>
      </w:pPr>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4D0F"/>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0C1"/>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C6E"/>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BAC3-C879-4E6A-A867-443146EC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107</cp:revision>
  <cp:lastPrinted>2017-07-27T06:54:00Z</cp:lastPrinted>
  <dcterms:created xsi:type="dcterms:W3CDTF">2018-01-10T12:19:00Z</dcterms:created>
  <dcterms:modified xsi:type="dcterms:W3CDTF">2022-04-26T14:12:00Z</dcterms:modified>
</cp:coreProperties>
</file>