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9A5089" w:rsidP="0085602B">
      <w:pPr>
        <w:spacing w:after="0" w:line="240" w:lineRule="auto"/>
        <w:rPr>
          <w:rFonts w:ascii="Times New Roman" w:hAnsi="Times New Roman" w:cs="Times New Roman"/>
          <w:b/>
        </w:rPr>
      </w:pPr>
      <w:r>
        <w:rPr>
          <w:rFonts w:ascii="Times New Roman" w:hAnsi="Times New Roman" w:cs="Times New Roman"/>
          <w:b/>
          <w:u w:val="single"/>
        </w:rPr>
        <w:t>0</w:t>
      </w:r>
      <w:r w:rsidR="00B961B4" w:rsidRPr="00B961B4">
        <w:rPr>
          <w:rFonts w:ascii="Times New Roman" w:hAnsi="Times New Roman" w:cs="Times New Roman"/>
          <w:b/>
          <w:u w:val="single"/>
        </w:rPr>
        <w:t>1 июля 2020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010FF" w:rsidRPr="00B961B4">
        <w:rPr>
          <w:rFonts w:ascii="Times New Roman" w:hAnsi="Times New Roman" w:cs="Times New Roman"/>
          <w:b/>
          <w:u w:val="single"/>
        </w:rPr>
        <w:t xml:space="preserve">№ </w:t>
      </w:r>
      <w:r w:rsidR="00B961B4" w:rsidRPr="00B961B4">
        <w:rPr>
          <w:rFonts w:ascii="Times New Roman" w:hAnsi="Times New Roman" w:cs="Times New Roman"/>
          <w:b/>
          <w:u w:val="single"/>
        </w:rPr>
        <w:t>486</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F52CFD" w:rsidRPr="00F52CFD" w:rsidRDefault="00F52CFD" w:rsidP="00F52CFD">
      <w:pPr>
        <w:widowControl w:val="0"/>
        <w:autoSpaceDE w:val="0"/>
        <w:autoSpaceDN w:val="0"/>
        <w:adjustRightInd w:val="0"/>
        <w:spacing w:after="0" w:line="240" w:lineRule="auto"/>
        <w:jc w:val="center"/>
        <w:rPr>
          <w:rFonts w:ascii="Times New Roman" w:hAnsi="Times New Roman" w:cs="Times New Roman"/>
          <w:b/>
          <w:i/>
          <w:sz w:val="23"/>
          <w:szCs w:val="23"/>
        </w:rPr>
      </w:pPr>
      <w:r w:rsidRPr="00F52CFD">
        <w:rPr>
          <w:rFonts w:ascii="Times New Roman" w:hAnsi="Times New Roman" w:cs="Times New Roman"/>
          <w:b/>
          <w:i/>
          <w:sz w:val="23"/>
          <w:szCs w:val="23"/>
        </w:rPr>
        <w:t xml:space="preserve">О введении в действие и отмене </w:t>
      </w:r>
      <w:proofErr w:type="gramStart"/>
      <w:r w:rsidRPr="00F52CFD">
        <w:rPr>
          <w:rFonts w:ascii="Times New Roman" w:hAnsi="Times New Roman" w:cs="Times New Roman"/>
          <w:b/>
          <w:i/>
          <w:sz w:val="23"/>
          <w:szCs w:val="23"/>
        </w:rPr>
        <w:t>нормативных</w:t>
      </w:r>
      <w:proofErr w:type="gramEnd"/>
    </w:p>
    <w:p w:rsidR="00F52CFD" w:rsidRPr="00F52CFD" w:rsidRDefault="00F52CFD" w:rsidP="00F52CFD">
      <w:pPr>
        <w:widowControl w:val="0"/>
        <w:autoSpaceDE w:val="0"/>
        <w:autoSpaceDN w:val="0"/>
        <w:adjustRightInd w:val="0"/>
        <w:spacing w:after="0" w:line="240" w:lineRule="auto"/>
        <w:jc w:val="center"/>
        <w:rPr>
          <w:rFonts w:ascii="Times New Roman" w:hAnsi="Times New Roman" w:cs="Times New Roman"/>
          <w:b/>
          <w:i/>
          <w:sz w:val="23"/>
          <w:szCs w:val="23"/>
        </w:rPr>
      </w:pPr>
      <w:r w:rsidRPr="00F52CFD">
        <w:rPr>
          <w:rFonts w:ascii="Times New Roman" w:hAnsi="Times New Roman" w:cs="Times New Roman"/>
          <w:b/>
          <w:i/>
          <w:sz w:val="23"/>
          <w:szCs w:val="23"/>
        </w:rPr>
        <w:t>документов по стандартизации на территории</w:t>
      </w:r>
    </w:p>
    <w:p w:rsidR="00F52CFD" w:rsidRPr="00F52CFD" w:rsidRDefault="00F52CFD" w:rsidP="00F52CFD">
      <w:pPr>
        <w:spacing w:after="0" w:line="240" w:lineRule="auto"/>
        <w:jc w:val="center"/>
        <w:rPr>
          <w:rStyle w:val="a8"/>
          <w:rFonts w:ascii="Times New Roman" w:hAnsi="Times New Roman" w:cs="Times New Roman"/>
          <w:b/>
          <w:i w:val="0"/>
          <w:sz w:val="23"/>
          <w:szCs w:val="23"/>
        </w:rPr>
      </w:pPr>
      <w:r w:rsidRPr="00F52CFD">
        <w:rPr>
          <w:rFonts w:ascii="Times New Roman" w:hAnsi="Times New Roman" w:cs="Times New Roman"/>
          <w:b/>
          <w:i/>
          <w:sz w:val="23"/>
          <w:szCs w:val="23"/>
        </w:rPr>
        <w:t>Приднестровской Молдавской Республики</w:t>
      </w:r>
    </w:p>
    <w:p w:rsidR="00B961B4" w:rsidRDefault="00B961B4" w:rsidP="00B961B4">
      <w:pPr>
        <w:autoSpaceDE w:val="0"/>
        <w:autoSpaceDN w:val="0"/>
        <w:adjustRightInd w:val="0"/>
        <w:spacing w:after="0" w:line="240" w:lineRule="auto"/>
        <w:ind w:firstLine="709"/>
        <w:jc w:val="center"/>
        <w:rPr>
          <w:rFonts w:ascii="Times New Roman" w:hAnsi="Times New Roman" w:cs="Times New Roman"/>
          <w:b/>
          <w:i/>
          <w:bdr w:val="none" w:sz="0" w:space="0" w:color="auto" w:frame="1"/>
        </w:rPr>
      </w:pPr>
    </w:p>
    <w:p w:rsidR="00B961B4" w:rsidRDefault="00B961B4" w:rsidP="00B961B4">
      <w:pPr>
        <w:autoSpaceDE w:val="0"/>
        <w:autoSpaceDN w:val="0"/>
        <w:adjustRightInd w:val="0"/>
        <w:spacing w:after="0" w:line="240" w:lineRule="auto"/>
        <w:ind w:firstLine="709"/>
        <w:jc w:val="center"/>
        <w:rPr>
          <w:rFonts w:ascii="Times New Roman" w:hAnsi="Times New Roman" w:cs="Times New Roman"/>
          <w:b/>
          <w:i/>
          <w:bdr w:val="none" w:sz="0" w:space="0" w:color="auto" w:frame="1"/>
        </w:rPr>
      </w:pPr>
      <w:r w:rsidRPr="00C56BF3">
        <w:rPr>
          <w:rFonts w:ascii="Times New Roman" w:hAnsi="Times New Roman" w:cs="Times New Roman"/>
          <w:b/>
          <w:i/>
          <w:bdr w:val="none" w:sz="0" w:space="0" w:color="auto" w:frame="1"/>
        </w:rPr>
        <w:t xml:space="preserve">(опубликование в газете «Приднестровье» от </w:t>
      </w:r>
      <w:r>
        <w:rPr>
          <w:rFonts w:ascii="Times New Roman" w:hAnsi="Times New Roman" w:cs="Times New Roman"/>
          <w:b/>
          <w:i/>
          <w:bdr w:val="none" w:sz="0" w:space="0" w:color="auto" w:frame="1"/>
        </w:rPr>
        <w:t>14</w:t>
      </w:r>
      <w:r w:rsidRPr="00C56BF3">
        <w:rPr>
          <w:rFonts w:ascii="Times New Roman" w:hAnsi="Times New Roman" w:cs="Times New Roman"/>
          <w:b/>
          <w:i/>
          <w:bdr w:val="none" w:sz="0" w:space="0" w:color="auto" w:frame="1"/>
        </w:rPr>
        <w:t xml:space="preserve"> </w:t>
      </w:r>
      <w:r>
        <w:rPr>
          <w:rFonts w:ascii="Times New Roman" w:hAnsi="Times New Roman" w:cs="Times New Roman"/>
          <w:b/>
          <w:i/>
          <w:bdr w:val="none" w:sz="0" w:space="0" w:color="auto" w:frame="1"/>
        </w:rPr>
        <w:t>июля</w:t>
      </w:r>
      <w:r w:rsidRPr="00C56BF3">
        <w:rPr>
          <w:rFonts w:ascii="Times New Roman" w:hAnsi="Times New Roman" w:cs="Times New Roman"/>
          <w:b/>
          <w:i/>
          <w:bdr w:val="none" w:sz="0" w:space="0" w:color="auto" w:frame="1"/>
        </w:rPr>
        <w:t xml:space="preserve"> 2020 года № </w:t>
      </w:r>
      <w:r>
        <w:rPr>
          <w:rFonts w:ascii="Times New Roman" w:hAnsi="Times New Roman" w:cs="Times New Roman"/>
          <w:b/>
          <w:i/>
          <w:bdr w:val="none" w:sz="0" w:space="0" w:color="auto" w:frame="1"/>
        </w:rPr>
        <w:t>121</w:t>
      </w:r>
      <w:r w:rsidRPr="00C56BF3">
        <w:rPr>
          <w:rFonts w:ascii="Times New Roman" w:hAnsi="Times New Roman" w:cs="Times New Roman"/>
          <w:b/>
          <w:i/>
          <w:bdr w:val="none" w:sz="0" w:space="0" w:color="auto" w:frame="1"/>
        </w:rPr>
        <w:t>)</w:t>
      </w:r>
    </w:p>
    <w:p w:rsidR="005673D2" w:rsidRPr="00F52CFD" w:rsidRDefault="005673D2" w:rsidP="00EE658F">
      <w:pPr>
        <w:spacing w:after="0" w:line="240" w:lineRule="auto"/>
        <w:ind w:firstLine="708"/>
        <w:jc w:val="center"/>
        <w:rPr>
          <w:rFonts w:ascii="Times New Roman" w:hAnsi="Times New Roman" w:cs="Times New Roman"/>
          <w:b/>
          <w:sz w:val="23"/>
          <w:szCs w:val="23"/>
        </w:rPr>
      </w:pPr>
    </w:p>
    <w:p w:rsidR="00F52CFD" w:rsidRPr="00F52CFD" w:rsidRDefault="00F52CFD" w:rsidP="00F52CFD">
      <w:pPr>
        <w:spacing w:after="0" w:line="240" w:lineRule="auto"/>
        <w:ind w:firstLine="567"/>
        <w:jc w:val="both"/>
        <w:rPr>
          <w:rFonts w:ascii="Times New Roman" w:eastAsia="Times New Roman" w:hAnsi="Times New Roman" w:cs="Times New Roman"/>
          <w:sz w:val="23"/>
          <w:szCs w:val="23"/>
        </w:rPr>
      </w:pPr>
      <w:proofErr w:type="gramStart"/>
      <w:r w:rsidRPr="00F52CFD">
        <w:rPr>
          <w:rFonts w:ascii="Times New Roman" w:eastAsia="Times New Roman" w:hAnsi="Times New Roman" w:cs="Times New Roman"/>
          <w:sz w:val="23"/>
          <w:szCs w:val="23"/>
        </w:rPr>
        <w:t>В соответствии с Законом Приднестровской Молдавской Республики от 23 ноября 1994 года «О стандартизации» (СЗМР 94-4) в действующей редакции,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w:t>
      </w:r>
      <w:proofErr w:type="gramEnd"/>
      <w:r w:rsidRPr="00F52CFD">
        <w:rPr>
          <w:rFonts w:ascii="Times New Roman" w:eastAsia="Times New Roman" w:hAnsi="Times New Roman" w:cs="Times New Roman"/>
          <w:sz w:val="23"/>
          <w:szCs w:val="23"/>
        </w:rPr>
        <w:t xml:space="preserve"> сертификации» (САЗ 02-21), </w:t>
      </w:r>
      <w:r w:rsidRPr="00F52CFD">
        <w:rPr>
          <w:rFonts w:ascii="Times New Roman" w:hAnsi="Times New Roman" w:cs="Times New Roman"/>
          <w:sz w:val="23"/>
          <w:szCs w:val="23"/>
        </w:rPr>
        <w:t xml:space="preserve">в целях исполнения пункта 16 раздела 5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утвержденного Распоряжением Правительства Приднестровской Молдавской Республики от 22 ноября 2019 года № 947р,  </w:t>
      </w:r>
      <w:proofErr w:type="spellStart"/>
      <w:proofErr w:type="gramStart"/>
      <w:r w:rsidRPr="00F52CFD">
        <w:rPr>
          <w:rFonts w:ascii="Times New Roman" w:eastAsia="Times New Roman" w:hAnsi="Times New Roman" w:cs="Times New Roman"/>
          <w:b/>
          <w:sz w:val="23"/>
          <w:szCs w:val="23"/>
        </w:rPr>
        <w:t>п</w:t>
      </w:r>
      <w:proofErr w:type="spellEnd"/>
      <w:proofErr w:type="gramEnd"/>
      <w:r w:rsidRPr="00F52CFD">
        <w:rPr>
          <w:rFonts w:ascii="Times New Roman" w:eastAsia="Times New Roman" w:hAnsi="Times New Roman" w:cs="Times New Roman"/>
          <w:b/>
          <w:sz w:val="23"/>
          <w:szCs w:val="23"/>
        </w:rPr>
        <w:t xml:space="preserve"> </w:t>
      </w:r>
      <w:proofErr w:type="spellStart"/>
      <w:r w:rsidRPr="00F52CFD">
        <w:rPr>
          <w:rFonts w:ascii="Times New Roman" w:eastAsia="Times New Roman" w:hAnsi="Times New Roman" w:cs="Times New Roman"/>
          <w:b/>
          <w:sz w:val="23"/>
          <w:szCs w:val="23"/>
        </w:rPr>
        <w:t>р</w:t>
      </w:r>
      <w:proofErr w:type="spellEnd"/>
      <w:r w:rsidRPr="00F52CFD">
        <w:rPr>
          <w:rFonts w:ascii="Times New Roman" w:eastAsia="Times New Roman" w:hAnsi="Times New Roman" w:cs="Times New Roman"/>
          <w:b/>
          <w:sz w:val="23"/>
          <w:szCs w:val="23"/>
        </w:rPr>
        <w:t xml:space="preserve"> и к а </w:t>
      </w:r>
      <w:proofErr w:type="spellStart"/>
      <w:r w:rsidRPr="00F52CFD">
        <w:rPr>
          <w:rFonts w:ascii="Times New Roman" w:eastAsia="Times New Roman" w:hAnsi="Times New Roman" w:cs="Times New Roman"/>
          <w:b/>
          <w:sz w:val="23"/>
          <w:szCs w:val="23"/>
        </w:rPr>
        <w:t>з</w:t>
      </w:r>
      <w:proofErr w:type="spellEnd"/>
      <w:r w:rsidRPr="00F52CFD">
        <w:rPr>
          <w:rFonts w:ascii="Times New Roman" w:eastAsia="Times New Roman" w:hAnsi="Times New Roman" w:cs="Times New Roman"/>
          <w:b/>
          <w:sz w:val="23"/>
          <w:szCs w:val="23"/>
        </w:rPr>
        <w:t xml:space="preserve"> </w:t>
      </w:r>
      <w:proofErr w:type="spellStart"/>
      <w:r w:rsidRPr="00F52CFD">
        <w:rPr>
          <w:rFonts w:ascii="Times New Roman" w:eastAsia="Times New Roman" w:hAnsi="Times New Roman" w:cs="Times New Roman"/>
          <w:b/>
          <w:sz w:val="23"/>
          <w:szCs w:val="23"/>
        </w:rPr>
        <w:t>ы</w:t>
      </w:r>
      <w:proofErr w:type="spellEnd"/>
      <w:r w:rsidRPr="00F52CFD">
        <w:rPr>
          <w:rFonts w:ascii="Times New Roman" w:eastAsia="Times New Roman" w:hAnsi="Times New Roman" w:cs="Times New Roman"/>
          <w:b/>
          <w:sz w:val="23"/>
          <w:szCs w:val="23"/>
        </w:rPr>
        <w:t xml:space="preserve"> в а ю</w:t>
      </w:r>
      <w:r w:rsidRPr="00F52CFD">
        <w:rPr>
          <w:rFonts w:ascii="Times New Roman" w:eastAsia="Times New Roman" w:hAnsi="Times New Roman" w:cs="Times New Roman"/>
          <w:sz w:val="23"/>
          <w:szCs w:val="23"/>
        </w:rPr>
        <w:t>:</w:t>
      </w:r>
    </w:p>
    <w:p w:rsidR="00F52CFD" w:rsidRPr="00F52CFD" w:rsidRDefault="00F52CFD" w:rsidP="00F52CFD">
      <w:pPr>
        <w:tabs>
          <w:tab w:val="left" w:pos="567"/>
        </w:tabs>
        <w:spacing w:after="0" w:line="240" w:lineRule="auto"/>
        <w:ind w:firstLine="567"/>
        <w:jc w:val="both"/>
        <w:rPr>
          <w:rFonts w:ascii="Times New Roman" w:eastAsia="Times New Roman" w:hAnsi="Times New Roman" w:cs="Times New Roman"/>
          <w:b/>
          <w:sz w:val="23"/>
          <w:szCs w:val="23"/>
        </w:rPr>
      </w:pPr>
    </w:p>
    <w:p w:rsidR="00F52CFD" w:rsidRPr="00F52CFD" w:rsidRDefault="00F52CFD" w:rsidP="00F52CFD">
      <w:pPr>
        <w:tabs>
          <w:tab w:val="left" w:pos="567"/>
        </w:tabs>
        <w:spacing w:after="0" w:line="240" w:lineRule="auto"/>
        <w:ind w:firstLine="567"/>
        <w:jc w:val="both"/>
        <w:rPr>
          <w:rFonts w:ascii="Times New Roman" w:eastAsia="Times New Roman" w:hAnsi="Times New Roman" w:cs="Times New Roman"/>
          <w:sz w:val="23"/>
          <w:szCs w:val="23"/>
        </w:rPr>
      </w:pPr>
      <w:r w:rsidRPr="00F52CFD">
        <w:rPr>
          <w:rFonts w:ascii="Times New Roman" w:eastAsia="Times New Roman" w:hAnsi="Times New Roman" w:cs="Times New Roman"/>
          <w:sz w:val="23"/>
          <w:szCs w:val="23"/>
        </w:rPr>
        <w:t xml:space="preserve">1.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w:t>
      </w:r>
    </w:p>
    <w:p w:rsidR="00F52CFD" w:rsidRPr="00F52CFD" w:rsidRDefault="00F52CFD" w:rsidP="00F52CFD">
      <w:pPr>
        <w:tabs>
          <w:tab w:val="center" w:pos="5173"/>
        </w:tabs>
        <w:spacing w:after="0" w:line="240" w:lineRule="auto"/>
        <w:ind w:firstLine="567"/>
        <w:jc w:val="both"/>
        <w:rPr>
          <w:rFonts w:ascii="Times New Roman" w:eastAsia="Times New Roman" w:hAnsi="Times New Roman" w:cs="Times New Roman"/>
          <w:sz w:val="23"/>
          <w:szCs w:val="23"/>
        </w:rPr>
      </w:pPr>
      <w:r w:rsidRPr="00F52CFD">
        <w:rPr>
          <w:rFonts w:ascii="Times New Roman" w:eastAsia="Times New Roman" w:hAnsi="Times New Roman" w:cs="Times New Roman"/>
          <w:sz w:val="23"/>
          <w:szCs w:val="23"/>
        </w:rPr>
        <w:t>а) без редакционных изменений:</w:t>
      </w:r>
    </w:p>
    <w:p w:rsidR="00F52CFD" w:rsidRPr="00F52CFD" w:rsidRDefault="00F52CFD" w:rsidP="00F52CFD">
      <w:pPr>
        <w:tabs>
          <w:tab w:val="center" w:pos="5173"/>
        </w:tabs>
        <w:spacing w:after="0" w:line="240" w:lineRule="auto"/>
        <w:ind w:firstLine="567"/>
        <w:jc w:val="both"/>
        <w:rPr>
          <w:rFonts w:ascii="Times New Roman" w:eastAsia="Times New Roman" w:hAnsi="Times New Roman" w:cs="Times New Roman"/>
          <w:sz w:val="23"/>
          <w:szCs w:val="23"/>
        </w:rPr>
      </w:pPr>
      <w:r w:rsidRPr="00F52CFD">
        <w:rPr>
          <w:rFonts w:ascii="Times New Roman" w:hAnsi="Times New Roman" w:cs="Times New Roman"/>
          <w:sz w:val="23"/>
          <w:szCs w:val="23"/>
        </w:rPr>
        <w:t xml:space="preserve">1) </w:t>
      </w:r>
      <w:r w:rsidRPr="00F52CFD">
        <w:rPr>
          <w:rFonts w:ascii="Times New Roman" w:eastAsia="Times New Roman" w:hAnsi="Times New Roman" w:cs="Times New Roman"/>
          <w:sz w:val="23"/>
          <w:szCs w:val="23"/>
        </w:rPr>
        <w:t>ГОСТ 33542-2015 «Интерфейс человек-машина. Основные принципы безопасности, маркировка, идентификация. Основные принципы и принципы безопасности. Иде</w:t>
      </w:r>
      <w:r w:rsidR="00A25D1D">
        <w:rPr>
          <w:rFonts w:ascii="Times New Roman" w:eastAsia="Times New Roman" w:hAnsi="Times New Roman" w:cs="Times New Roman"/>
          <w:sz w:val="23"/>
          <w:szCs w:val="23"/>
        </w:rPr>
        <w:t>н</w:t>
      </w:r>
      <w:r w:rsidRPr="00F52CFD">
        <w:rPr>
          <w:rFonts w:ascii="Times New Roman" w:eastAsia="Times New Roman" w:hAnsi="Times New Roman" w:cs="Times New Roman"/>
          <w:sz w:val="23"/>
          <w:szCs w:val="23"/>
        </w:rPr>
        <w:t>тификация выводов, концов проводов и проводников электрооборудования»;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2) ГОСТ 33709.1-2015 «Краны грузоподъемные. Словарь. Часть 1. Общие положения»;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3) ГОСТ IEC 60447-2015 «Интерфейс человек-машина. Основные принципы безопасности, маркировка и идентификация. Принципы включения»;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4) ГОСТ IEC 60695-11-5-2013 «Испытания на </w:t>
      </w:r>
      <w:proofErr w:type="spellStart"/>
      <w:r w:rsidRPr="00F52CFD">
        <w:rPr>
          <w:rFonts w:ascii="Times New Roman" w:hAnsi="Times New Roman" w:cs="Times New Roman"/>
          <w:sz w:val="23"/>
          <w:szCs w:val="23"/>
        </w:rPr>
        <w:t>пожароопасность</w:t>
      </w:r>
      <w:proofErr w:type="spellEnd"/>
      <w:r w:rsidRPr="00F52CFD">
        <w:rPr>
          <w:rFonts w:ascii="Times New Roman" w:hAnsi="Times New Roman" w:cs="Times New Roman"/>
          <w:sz w:val="23"/>
          <w:szCs w:val="23"/>
        </w:rPr>
        <w:t>. Часть 11-5. Метод испытания игольчатым пламенем. Аппаратура, руководство и порядок испытания на подтверждение соответствия»;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5) ГОСТ IEC 60947-7-1-2016 «Аппаратура распределения и управления низковольтная. Часть 7-1. Электрооборудование вспомогательное. Колодки </w:t>
      </w:r>
      <w:proofErr w:type="spellStart"/>
      <w:r w:rsidRPr="00F52CFD">
        <w:rPr>
          <w:rFonts w:ascii="Times New Roman" w:hAnsi="Times New Roman" w:cs="Times New Roman"/>
          <w:sz w:val="23"/>
          <w:szCs w:val="23"/>
        </w:rPr>
        <w:t>клеммные</w:t>
      </w:r>
      <w:proofErr w:type="spellEnd"/>
      <w:r w:rsidRPr="00F52CFD">
        <w:rPr>
          <w:rFonts w:ascii="Times New Roman" w:hAnsi="Times New Roman" w:cs="Times New Roman"/>
          <w:sz w:val="23"/>
          <w:szCs w:val="23"/>
        </w:rPr>
        <w:t xml:space="preserve"> для медных проводников»;</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6) ГОСТ IEC 61508-3-2018 «Функциональная безопасность систем электрических, электронных, </w:t>
      </w:r>
      <w:proofErr w:type="spellStart"/>
      <w:r w:rsidRPr="00F52CFD">
        <w:rPr>
          <w:rFonts w:ascii="Times New Roman" w:hAnsi="Times New Roman" w:cs="Times New Roman"/>
          <w:sz w:val="23"/>
          <w:szCs w:val="23"/>
        </w:rPr>
        <w:t>программмируемых</w:t>
      </w:r>
      <w:proofErr w:type="spellEnd"/>
      <w:r w:rsidRPr="00F52CFD">
        <w:rPr>
          <w:rFonts w:ascii="Times New Roman" w:hAnsi="Times New Roman" w:cs="Times New Roman"/>
          <w:sz w:val="23"/>
          <w:szCs w:val="23"/>
        </w:rPr>
        <w:t xml:space="preserve"> электронных, связанных с безопасностью. Часть 3. Требования к программному обеспечению»;</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б)</w:t>
      </w:r>
      <w:r w:rsidRPr="00F52CFD">
        <w:rPr>
          <w:rFonts w:ascii="Times New Roman" w:hAnsi="Times New Roman" w:cs="Times New Roman"/>
          <w:b/>
          <w:bCs/>
          <w:sz w:val="23"/>
          <w:szCs w:val="23"/>
        </w:rPr>
        <w:t xml:space="preserve"> </w:t>
      </w:r>
      <w:r w:rsidRPr="00F52CFD">
        <w:rPr>
          <w:rFonts w:ascii="Times New Roman" w:hAnsi="Times New Roman" w:cs="Times New Roman"/>
          <w:sz w:val="23"/>
          <w:szCs w:val="23"/>
        </w:rPr>
        <w:t>с редакционными изменениями, соответствующими требованиями законодательства Приднестровской Молдавской Республики:</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lastRenderedPageBreak/>
        <w:t>1) ГОСТ 30533-97 «Электроприводы постоянного тока общего назначения. Общие технические требования»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2) ГОСТ 30535-97 «Клеи полимерные. Номенклатура показателей»;</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3) ГОСТ 30630.2.7-2013 «Методы испытаний на стойкость к климатическим внешним воздействующим факторам машин, приборов и других технических изделий. Испытания на воздействие пыли (песка)»;</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4) ГОСТ 30804.4.13-2013 (IEC 61000-4-13:2002) «Совместимость технических средств электромагнитная. Устойчивость к искажениям синусоидальности напряжения электропитания, включая передачу сигналов по электрическим сетям. Требования и методы испытаний»;</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5) ГОСТ 31591-2012 «</w:t>
      </w:r>
      <w:proofErr w:type="spellStart"/>
      <w:proofErr w:type="gramStart"/>
      <w:r w:rsidRPr="00F52CFD">
        <w:rPr>
          <w:rFonts w:ascii="Times New Roman" w:hAnsi="Times New Roman" w:cs="Times New Roman"/>
          <w:sz w:val="23"/>
          <w:szCs w:val="23"/>
        </w:rPr>
        <w:t>Мотор-редукторы</w:t>
      </w:r>
      <w:proofErr w:type="spellEnd"/>
      <w:proofErr w:type="gramEnd"/>
      <w:r w:rsidRPr="00F52CFD">
        <w:rPr>
          <w:rFonts w:ascii="Times New Roman" w:hAnsi="Times New Roman" w:cs="Times New Roman"/>
          <w:sz w:val="23"/>
          <w:szCs w:val="23"/>
        </w:rPr>
        <w:t>. Общие технические условия»;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6) ГОСТ 31592-2012 «Редукторы общемашиностроительного применения. Общие технические условия»;</w:t>
      </w:r>
    </w:p>
    <w:p w:rsidR="00F52CFD" w:rsidRPr="00F52CFD" w:rsidRDefault="00F52CFD" w:rsidP="00F52CFD">
      <w:pPr>
        <w:pStyle w:val="ab"/>
        <w:tabs>
          <w:tab w:val="left" w:pos="426"/>
        </w:tabs>
        <w:ind w:firstLine="567"/>
        <w:jc w:val="both"/>
        <w:rPr>
          <w:rFonts w:ascii="Times New Roman" w:hAnsi="Times New Roman" w:cs="Times New Roman"/>
          <w:sz w:val="23"/>
          <w:szCs w:val="23"/>
        </w:rPr>
      </w:pPr>
      <w:r w:rsidRPr="00F52CFD">
        <w:rPr>
          <w:rFonts w:ascii="Times New Roman" w:hAnsi="Times New Roman" w:cs="Times New Roman"/>
          <w:sz w:val="23"/>
          <w:szCs w:val="23"/>
        </w:rPr>
        <w:t>7) ГОСТ 32576.1-2015 «Краны грузоподъемные. Средства доступа, ограждения и защиты. Часть 1. Общие положения»;</w:t>
      </w:r>
    </w:p>
    <w:p w:rsidR="00F52CFD" w:rsidRPr="00F52CFD" w:rsidRDefault="00F52CFD" w:rsidP="00F52CFD">
      <w:pPr>
        <w:pStyle w:val="ab"/>
        <w:tabs>
          <w:tab w:val="left" w:pos="426"/>
        </w:tabs>
        <w:ind w:firstLine="567"/>
        <w:jc w:val="both"/>
        <w:rPr>
          <w:rFonts w:ascii="Times New Roman" w:hAnsi="Times New Roman" w:cs="Times New Roman"/>
          <w:sz w:val="23"/>
          <w:szCs w:val="23"/>
          <w:highlight w:val="yellow"/>
        </w:rPr>
      </w:pPr>
      <w:r w:rsidRPr="00F52CFD">
        <w:rPr>
          <w:rFonts w:ascii="Times New Roman" w:hAnsi="Times New Roman" w:cs="Times New Roman"/>
          <w:sz w:val="23"/>
          <w:szCs w:val="23"/>
        </w:rPr>
        <w:t>8) ГОСТ 33166.1-2014 «Краны грузоподъемные. Требования к механизмам. Часть 1. Общие положения»;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9) ГОСТ 33710-2015 «Краны грузоподъемные. Выбор канатов, барабанов и блоков»;</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10) ГОСТ 33718-2015 «Краны грузоподъемные. Проволочные канаты. Уход и техническое обслуживание, проверка и отбраковка»;</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0A733A">
        <w:rPr>
          <w:rFonts w:ascii="Times New Roman" w:hAnsi="Times New Roman" w:cs="Times New Roman"/>
          <w:sz w:val="23"/>
          <w:szCs w:val="23"/>
        </w:rPr>
        <w:t>11) ГОСТ 33807-2016 «Безопасность аттракционов. Общие требования»;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12) ГОСТ IEC 60034-9-2014 «Машины электрические вращающиеся. Часть 9. Пределы шума»;</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13) ГОСТ IEC 60269-4-1-2011 «Предохранители плавкие низковольтные. Часть 4-1. Дополнительные требования к плавким вставкам для защиты полупроводниковых устройств. Разделы I-III. Примеры типов стандартизованных плавких вставок»;</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14) ГОСТ IEC 60269-6-2013 «Предохранители плавкие низковольтные. Часть 6. Дополнительные требования к плавким вставкам для защиты солнечных фотогальванических энергетических систем»;</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15) ГОСТ IEC 60947-3-2016 «Аппаратура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16) ГОСТ IEC 60947-6-1-2016 «Аппаратура распределения и управления низковольтная. Часть 6-1. Аппаратура многофункциональная. Аппаратура коммутационная переключения»;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17) ГОСТ IEC 60947-6-2-2013 «Аппаратура распределения и управления низковольтная. Часть 6-2. Оборудование многофункциональное. Коммутационные устройства (или оборудование) управления и защиты»;</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18) ГОСТ IEC 61131-2-2012 «Контроллеры программируемые. Часть 2. Требования к оборудованию и испытания»;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19) ГОСТ IEC 61496-1-2016 «Безопасность механизмов. Защитная </w:t>
      </w:r>
      <w:proofErr w:type="spellStart"/>
      <w:r w:rsidRPr="00F52CFD">
        <w:rPr>
          <w:rFonts w:ascii="Times New Roman" w:hAnsi="Times New Roman" w:cs="Times New Roman"/>
          <w:sz w:val="23"/>
          <w:szCs w:val="23"/>
        </w:rPr>
        <w:t>электрочувствительная</w:t>
      </w:r>
      <w:proofErr w:type="spellEnd"/>
      <w:r w:rsidRPr="00F52CFD">
        <w:rPr>
          <w:rFonts w:ascii="Times New Roman" w:hAnsi="Times New Roman" w:cs="Times New Roman"/>
          <w:sz w:val="23"/>
          <w:szCs w:val="23"/>
        </w:rPr>
        <w:t xml:space="preserve"> аппаратура. Часть 1. Общие требования и испытания»;</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20) ГОСТ IEC 61557-3-2013 «Сети электрические распределительные низковольтные напряжением до 1000</w:t>
      </w:r>
      <w:proofErr w:type="gramStart"/>
      <w:r w:rsidRPr="00F52CFD">
        <w:rPr>
          <w:rFonts w:ascii="Times New Roman" w:hAnsi="Times New Roman" w:cs="Times New Roman"/>
          <w:sz w:val="23"/>
          <w:szCs w:val="23"/>
        </w:rPr>
        <w:t xml:space="preserve"> В</w:t>
      </w:r>
      <w:proofErr w:type="gramEnd"/>
      <w:r w:rsidRPr="00F52CFD">
        <w:rPr>
          <w:rFonts w:ascii="Times New Roman" w:hAnsi="Times New Roman" w:cs="Times New Roman"/>
          <w:sz w:val="23"/>
          <w:szCs w:val="23"/>
        </w:rPr>
        <w:t xml:space="preserve"> переменного тока и 1500 В постоянного тока. </w:t>
      </w:r>
      <w:proofErr w:type="spellStart"/>
      <w:r w:rsidRPr="00F52CFD">
        <w:rPr>
          <w:rFonts w:ascii="Times New Roman" w:hAnsi="Times New Roman" w:cs="Times New Roman"/>
          <w:sz w:val="23"/>
          <w:szCs w:val="23"/>
        </w:rPr>
        <w:t>Электробезопасность</w:t>
      </w:r>
      <w:proofErr w:type="spellEnd"/>
      <w:r w:rsidRPr="00F52CFD">
        <w:rPr>
          <w:rFonts w:ascii="Times New Roman" w:hAnsi="Times New Roman" w:cs="Times New Roman"/>
          <w:sz w:val="23"/>
          <w:szCs w:val="23"/>
        </w:rPr>
        <w:t>. Аппаратура для испытания, измерения или контроля средств защиты. Часть 3. Полное сопротивление контура»;</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21) ГОСТ IEC 61800-2-2018 «Системы силовых электроприводов с регулируемой скоростью. Часть 2. Общие требования. Номинальные технические характеристики низковольтных систем силовых электроприводов переменного тока с регулируемой скоростью».</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 Ввести в действие на территории Приднестровской Молдавской </w:t>
      </w:r>
      <w:proofErr w:type="gramStart"/>
      <w:r w:rsidRPr="00F52CFD">
        <w:rPr>
          <w:rFonts w:ascii="Times New Roman" w:hAnsi="Times New Roman" w:cs="Times New Roman"/>
          <w:sz w:val="23"/>
          <w:szCs w:val="23"/>
        </w:rPr>
        <w:t>Республики</w:t>
      </w:r>
      <w:proofErr w:type="gramEnd"/>
      <w:r w:rsidRPr="00F52CFD">
        <w:rPr>
          <w:rFonts w:ascii="Times New Roman" w:hAnsi="Times New Roman" w:cs="Times New Roman"/>
          <w:sz w:val="23"/>
          <w:szCs w:val="23"/>
        </w:rPr>
        <w:t xml:space="preserve"> следующие государственные стандарты Приднестровской Молдавской Республики:</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а) без редакционных изменений:</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ИСО 7250-1-2020 «Эргономика. Основные антропометрические измерения для технического проектирования. Часть 1. Определения и основные антропометрические точки»,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ИСО 7250-1-2013;</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lastRenderedPageBreak/>
        <w:t xml:space="preserve">2)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ИСО 15535-2020 «Эргономика. Основные требования к созданию антропометрических баз данных»,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ИСО 15535-2012;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б) с редакционными изменениями, соответствующими требованиями законодательства Приднестровской Молдавской Республики:</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8.669-2020 «Государственная система обеспечения единства измерений. Виброметры с </w:t>
      </w:r>
      <w:proofErr w:type="gramStart"/>
      <w:r w:rsidRPr="00F52CFD">
        <w:rPr>
          <w:rFonts w:ascii="Times New Roman" w:hAnsi="Times New Roman" w:cs="Times New Roman"/>
          <w:sz w:val="23"/>
          <w:szCs w:val="23"/>
        </w:rPr>
        <w:t>пьезоэлектрическими</w:t>
      </w:r>
      <w:proofErr w:type="gramEnd"/>
      <w:r w:rsidRPr="00F52CFD">
        <w:rPr>
          <w:rFonts w:ascii="Times New Roman" w:hAnsi="Times New Roman" w:cs="Times New Roman"/>
          <w:sz w:val="23"/>
          <w:szCs w:val="23"/>
        </w:rPr>
        <w:t xml:space="preserve">, индукционными и </w:t>
      </w:r>
      <w:proofErr w:type="spellStart"/>
      <w:r w:rsidRPr="00F52CFD">
        <w:rPr>
          <w:rFonts w:ascii="Times New Roman" w:hAnsi="Times New Roman" w:cs="Times New Roman"/>
          <w:sz w:val="23"/>
          <w:szCs w:val="23"/>
        </w:rPr>
        <w:t>вихретоковыми</w:t>
      </w:r>
      <w:proofErr w:type="spellEnd"/>
      <w:r w:rsidRPr="00F52CFD">
        <w:rPr>
          <w:rFonts w:ascii="Times New Roman" w:hAnsi="Times New Roman" w:cs="Times New Roman"/>
          <w:sz w:val="23"/>
          <w:szCs w:val="23"/>
        </w:rPr>
        <w:t xml:space="preserve"> </w:t>
      </w:r>
      <w:proofErr w:type="spellStart"/>
      <w:r w:rsidRPr="00F52CFD">
        <w:rPr>
          <w:rFonts w:ascii="Times New Roman" w:hAnsi="Times New Roman" w:cs="Times New Roman"/>
          <w:sz w:val="23"/>
          <w:szCs w:val="23"/>
        </w:rPr>
        <w:t>вибропреобразователями</w:t>
      </w:r>
      <w:proofErr w:type="spellEnd"/>
      <w:r w:rsidRPr="00F52CFD">
        <w:rPr>
          <w:rFonts w:ascii="Times New Roman" w:hAnsi="Times New Roman" w:cs="Times New Roman"/>
          <w:sz w:val="23"/>
          <w:szCs w:val="23"/>
        </w:rPr>
        <w:t xml:space="preserve">. Методика поверки»,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8.669-2009; </w:t>
      </w:r>
    </w:p>
    <w:p w:rsidR="00F52CFD" w:rsidRPr="00F52CFD" w:rsidRDefault="00F52CFD" w:rsidP="00F52CFD">
      <w:pPr>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ИСО 12474-2020 «Винты с цилиндрической головкой и шестигранным углублением под ключ </w:t>
      </w:r>
      <w:proofErr w:type="spellStart"/>
      <w:r w:rsidRPr="00F52CFD">
        <w:rPr>
          <w:rFonts w:ascii="Times New Roman" w:hAnsi="Times New Roman" w:cs="Times New Roman"/>
          <w:sz w:val="23"/>
          <w:szCs w:val="23"/>
        </w:rPr>
        <w:t>c</w:t>
      </w:r>
      <w:proofErr w:type="spellEnd"/>
      <w:r w:rsidRPr="00F52CFD">
        <w:rPr>
          <w:rFonts w:ascii="Times New Roman" w:hAnsi="Times New Roman" w:cs="Times New Roman"/>
          <w:sz w:val="23"/>
          <w:szCs w:val="23"/>
        </w:rPr>
        <w:t xml:space="preserve"> мелким шагом резьбы», гармонизированный с ГОСТ Р ИСО 12474-2012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3) ГОСТ ПМР </w:t>
      </w:r>
      <w:hyperlink r:id="rId7" w:history="1">
        <w:r w:rsidRPr="00F52CFD">
          <w:rPr>
            <w:rFonts w:ascii="Times New Roman" w:hAnsi="Times New Roman" w:cs="Times New Roman"/>
            <w:sz w:val="23"/>
            <w:szCs w:val="23"/>
          </w:rPr>
          <w:t xml:space="preserve">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ИСО 20685-2020</w:t>
        </w:r>
      </w:hyperlink>
      <w:r w:rsidRPr="00F52CFD">
        <w:rPr>
          <w:rFonts w:ascii="Times New Roman" w:hAnsi="Times New Roman" w:cs="Times New Roman"/>
          <w:sz w:val="23"/>
          <w:szCs w:val="23"/>
        </w:rPr>
        <w:t xml:space="preserve"> «Эргономика. Методология трехмерного сканирования для разработки совместимых с международными антропометрических баз данных», гармонизированный с </w:t>
      </w:r>
      <w:hyperlink r:id="rId8" w:history="1">
        <w:r w:rsidRPr="00F52CFD">
          <w:rPr>
            <w:rFonts w:ascii="Times New Roman" w:hAnsi="Times New Roman" w:cs="Times New Roman"/>
            <w:sz w:val="23"/>
            <w:szCs w:val="23"/>
          </w:rPr>
          <w:t xml:space="preserve">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ИСО 20685-2013</w:t>
        </w:r>
      </w:hyperlink>
      <w:r w:rsidRPr="00F52CFD">
        <w:rPr>
          <w:rFonts w:ascii="Times New Roman" w:hAnsi="Times New Roman" w:cs="Times New Roman"/>
          <w:sz w:val="23"/>
          <w:szCs w:val="23"/>
        </w:rPr>
        <w:t>;</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4)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50030.2-2020 (МЭК 60947-2:2006) «Аппаратура распределения и управления низковольтная. Часть 2. Автоматические выключатели»,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50030.2-2010 (МЭК60947-2:2006);</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5)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50030.4.1-2020 (МЭК 60947-4-1:2009) «Аппаратура распределения и управления низковольтная. Часть 4. Контакторы и пускатели. Раздел 1. Электромеханические контакторы и пускатели»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50030.4.1-2012 (МЭК60947-4-1:2009);</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6)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50030.6.2-2020 (МЭК 60947-6-2:2007) «Аппаратура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50030.6.2-2011 (МЭК60947-6-2:2007);</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7)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50392-2020 «Арматура для компенсаторов и уплотнений </w:t>
      </w:r>
      <w:proofErr w:type="spellStart"/>
      <w:r w:rsidRPr="00F52CFD">
        <w:rPr>
          <w:rFonts w:ascii="Times New Roman" w:hAnsi="Times New Roman" w:cs="Times New Roman"/>
          <w:sz w:val="23"/>
          <w:szCs w:val="23"/>
        </w:rPr>
        <w:t>сильфонных</w:t>
      </w:r>
      <w:proofErr w:type="spellEnd"/>
      <w:r w:rsidRPr="00F52CFD">
        <w:rPr>
          <w:rFonts w:ascii="Times New Roman" w:hAnsi="Times New Roman" w:cs="Times New Roman"/>
          <w:sz w:val="23"/>
          <w:szCs w:val="23"/>
        </w:rPr>
        <w:t xml:space="preserve"> металлических. Типы, основные параметры и размеры, общие технические требования»,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50392-92;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8)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51057-2020 «Техника пожарная. Огнетушители переносные. Общие технические требования. Методы испытаний»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51057-2001;</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9)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51237-2020 «Нетрадиционная энергетика. Ветроэнергетика. Термины и определения»,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51237-98;</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10)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51317.3.4-2020 (МЭК 61000-3-4:1998) «Совместимость технических средств электромагнитная. Ограничение эмиссии гармонических составляющих тока техническими средствами с потребляемым током более 16</w:t>
      </w:r>
      <w:proofErr w:type="gramStart"/>
      <w:r w:rsidRPr="00F52CFD">
        <w:rPr>
          <w:rFonts w:ascii="Times New Roman" w:hAnsi="Times New Roman" w:cs="Times New Roman"/>
          <w:sz w:val="23"/>
          <w:szCs w:val="23"/>
        </w:rPr>
        <w:t xml:space="preserve"> А</w:t>
      </w:r>
      <w:proofErr w:type="gramEnd"/>
      <w:r w:rsidRPr="00F52CFD">
        <w:rPr>
          <w:rFonts w:ascii="Times New Roman" w:hAnsi="Times New Roman" w:cs="Times New Roman"/>
          <w:sz w:val="23"/>
          <w:szCs w:val="23"/>
        </w:rPr>
        <w:t xml:space="preserve">, подключаемыми к низковольтным системам электроснабжения. Нормы и методы испытаний»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51317.3.4-2006 (МЭК  61000-3-4:1998);</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11)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51317.4.34-2020 (МЭК 61000-4-34:2005) «Совместимость технических средств электромагнитная. Устойчивость к провалам, кратковременным прерываниям и изменениям напряжения электропитания технических средств с потребляемым током более 16</w:t>
      </w:r>
      <w:proofErr w:type="gramStart"/>
      <w:r w:rsidRPr="00F52CFD">
        <w:rPr>
          <w:rFonts w:ascii="Times New Roman" w:hAnsi="Times New Roman" w:cs="Times New Roman"/>
          <w:sz w:val="23"/>
          <w:szCs w:val="23"/>
        </w:rPr>
        <w:t xml:space="preserve"> А</w:t>
      </w:r>
      <w:proofErr w:type="gramEnd"/>
      <w:r w:rsidRPr="00F52CFD">
        <w:rPr>
          <w:rFonts w:ascii="Times New Roman" w:hAnsi="Times New Roman" w:cs="Times New Roman"/>
          <w:sz w:val="23"/>
          <w:szCs w:val="23"/>
        </w:rPr>
        <w:t xml:space="preserve"> в одной фазе. Требования и методы испытаний»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51317.4.34-2007 (МЭК  61000-4-34:2005);</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12)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51321.1-2020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51321.1-2007 (МЭК 60439-1:2004);</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13)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51524-2020 (МЭК 61800-3:2012) «Совместимость технических средств электромагнитная. Системы электрического привода с регулируемой скоростью. Часть 3. Требования ЭМС и специальные методы испытаний»,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51524-2012 (МЭК 61800-3:2012);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14)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51841-2020 (МЭК 61131-2-92) «Программируемые контроллеры. Общие технические требования и методы испытаний»,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51841-2001 (МЭК 61131-2-92) ; </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15)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54418.21-2020 (МЭК 61400-21:2008) «Возобновляемая энергетика. Ветроэнергетика. Установки ветроэнергетические. Часть 21. Измерение и оценка характеристик, связанных с качеством электрической энергии, ветроэнергетических </w:t>
      </w:r>
      <w:r w:rsidRPr="00F52CFD">
        <w:rPr>
          <w:rFonts w:ascii="Times New Roman" w:hAnsi="Times New Roman" w:cs="Times New Roman"/>
          <w:sz w:val="23"/>
          <w:szCs w:val="23"/>
        </w:rPr>
        <w:lastRenderedPageBreak/>
        <w:t xml:space="preserve">установок, подключенных к электрической сети»,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54418.21-2011; </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16)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55842-2020 (ИСО 30061:2007) «Освещение аварийное. Классификация и нормы»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55842-2013 (ИСО 30061:2007);</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17)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56066-2020 «Безопасность аттракционов. Методы измерения ускорений, действующих на пассажиров аттракционов»,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56066-2014; </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18)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56620.2-2020 /ISO/TR 7250-2:2010 «Эргономика. Основные антропометрические измерения для технического проектирования. Часть 2. Статистические данные национальных совокупностей»,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56620.2-2015 /ISO/TR 7250-2:2010;</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19)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60204-1-2020 «Безопасность машин. Электрооборудование машин и механизмов. Часть 1. Общие требования»,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60204-1-2007; </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20)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61131-1-2020 «Контроллеры программируемые. Часть 1. Общая информация»,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61131-1-2016;</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21)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61131-3-2020 «Контроллеры программируемые. Часть 3. Языки программирования»,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61131-3-2016;</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22)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61508-1-2020 «Функциональная безопасность систем электрических, электронных, программируемых электронных, связанных с безопасностью. Часть 1. Общие требования»,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61508-1-2012;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23)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61508-2-2020 «Функциональная безопасность систем электрических, электронных, программируемых электронных, связанных с безопасностью. Часть 2. Требования к системам»,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61508-2-2012;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24)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61508-4-2020 «Функциональная безопасность систем электрических, электронных, </w:t>
      </w:r>
      <w:proofErr w:type="spellStart"/>
      <w:r w:rsidRPr="00F52CFD">
        <w:rPr>
          <w:rFonts w:ascii="Times New Roman" w:hAnsi="Times New Roman" w:cs="Times New Roman"/>
          <w:sz w:val="23"/>
          <w:szCs w:val="23"/>
        </w:rPr>
        <w:t>программмируемых</w:t>
      </w:r>
      <w:proofErr w:type="spellEnd"/>
      <w:r w:rsidRPr="00F52CFD">
        <w:rPr>
          <w:rFonts w:ascii="Times New Roman" w:hAnsi="Times New Roman" w:cs="Times New Roman"/>
          <w:sz w:val="23"/>
          <w:szCs w:val="23"/>
        </w:rPr>
        <w:t xml:space="preserve"> электронных, связанных с безопасностью. Часть 4. Термины и определения»,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61508-4-2012;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25)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61508-5-2020 «Функциональная безопасность систем электрических, электронных, программируемых электронных, связанных с безопасностью. Часть 5. Рекомендации по применению методов определения уровней полноты безопасности»,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61508-5-2012;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26)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61508-6-2020 «Функциональная безопасность систем электрических, электронных, программируемых электронных, связанных с безопасностью. Часть 6. Руководство по применению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61508-2 и ГОСТ ПМР ГОСТ Р МЭК 61508-3», гармонизированный с ГОСТ Р МЭК 61508-6-2012;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27)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61508-7-2020 «Функциональная безопасность систем электрических, электронных, программируемых электронных, связанных с безопасностью. Часть 7. Методы и средства»,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61508-7-2012;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28)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61800-1-2020 «Системы силовых электроприводов регулируемой скоростью. Часть 1. Общие требования. Номинальные технические характеристики низковольтных систем электроприводов постоянного тока с регулируемой скоростью», гармонизированный с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61800-1-2012.</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3. Ввести в действие на территории Приднестровской Молдавской </w:t>
      </w:r>
      <w:proofErr w:type="gramStart"/>
      <w:r w:rsidRPr="00F52CFD">
        <w:rPr>
          <w:rFonts w:ascii="Times New Roman" w:hAnsi="Times New Roman" w:cs="Times New Roman"/>
          <w:sz w:val="23"/>
          <w:szCs w:val="23"/>
        </w:rPr>
        <w:t>Республики</w:t>
      </w:r>
      <w:proofErr w:type="gramEnd"/>
      <w:r w:rsidRPr="00F52CFD">
        <w:rPr>
          <w:rFonts w:ascii="Times New Roman" w:hAnsi="Times New Roman" w:cs="Times New Roman"/>
          <w:sz w:val="23"/>
          <w:szCs w:val="23"/>
        </w:rPr>
        <w:t xml:space="preserve"> следующие нормативные документы по стандартизации без редакционных изменений:</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а) МИ ПМР 1949-2020</w:t>
      </w:r>
      <w:r w:rsidRPr="00F52CFD">
        <w:rPr>
          <w:rFonts w:ascii="Times New Roman" w:hAnsi="Times New Roman" w:cs="Times New Roman"/>
          <w:b/>
          <w:bCs/>
          <w:sz w:val="23"/>
          <w:szCs w:val="23"/>
        </w:rPr>
        <w:t xml:space="preserve"> </w:t>
      </w:r>
      <w:r w:rsidRPr="00F52CFD">
        <w:rPr>
          <w:rFonts w:ascii="Times New Roman" w:hAnsi="Times New Roman" w:cs="Times New Roman"/>
          <w:sz w:val="23"/>
          <w:szCs w:val="23"/>
        </w:rPr>
        <w:t>«Рекомендация. Государственная система обеспечения единства измерений. Государственная поверочная схема для средств измерений угла фазового сдвига между двумя электрическими напряжениями в диапазоне частот</w:t>
      </w:r>
      <w:r w:rsidRPr="00F52CFD">
        <w:rPr>
          <w:rFonts w:ascii="Times New Roman" w:hAnsi="Times New Roman" w:cs="Times New Roman"/>
          <w:b/>
          <w:bCs/>
          <w:sz w:val="23"/>
          <w:szCs w:val="23"/>
        </w:rPr>
        <w:t xml:space="preserve"> </w:t>
      </w:r>
      <w:r w:rsidRPr="00F52CFD">
        <w:rPr>
          <w:rFonts w:ascii="Times New Roman" w:hAnsi="Times New Roman" w:cs="Times New Roman"/>
          <w:sz w:val="23"/>
          <w:szCs w:val="23"/>
        </w:rPr>
        <w:t>1·10</w:t>
      </w:r>
      <w:r w:rsidRPr="00F52CFD">
        <w:rPr>
          <w:rFonts w:ascii="Times New Roman" w:hAnsi="Times New Roman" w:cs="Times New Roman"/>
          <w:sz w:val="23"/>
          <w:szCs w:val="23"/>
          <w:vertAlign w:val="superscript"/>
        </w:rPr>
        <w:t>-3</w:t>
      </w:r>
      <w:r w:rsidRPr="00F52CFD">
        <w:rPr>
          <w:rFonts w:ascii="Times New Roman" w:hAnsi="Times New Roman" w:cs="Times New Roman"/>
          <w:sz w:val="23"/>
          <w:szCs w:val="23"/>
        </w:rPr>
        <w:t xml:space="preserve"> ÷ 2·10</w:t>
      </w:r>
      <w:r w:rsidRPr="00F52CFD">
        <w:rPr>
          <w:rFonts w:ascii="Times New Roman" w:hAnsi="Times New Roman" w:cs="Times New Roman"/>
          <w:sz w:val="23"/>
          <w:szCs w:val="23"/>
          <w:vertAlign w:val="superscript"/>
        </w:rPr>
        <w:t>7</w:t>
      </w:r>
      <w:r w:rsidRPr="00F52CFD">
        <w:rPr>
          <w:rFonts w:ascii="Times New Roman" w:hAnsi="Times New Roman" w:cs="Times New Roman"/>
          <w:sz w:val="23"/>
          <w:szCs w:val="23"/>
        </w:rPr>
        <w:t xml:space="preserve"> Гц», гармонизирована с МИ 1949-88;</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б) МИ ПМР 2070-2020 «Рекомендация. Государственная система обеспечения единства измерений. Государственная поверочная схема для средств измерений </w:t>
      </w:r>
      <w:proofErr w:type="spellStart"/>
      <w:r w:rsidRPr="00F52CFD">
        <w:rPr>
          <w:rFonts w:ascii="Times New Roman" w:hAnsi="Times New Roman" w:cs="Times New Roman"/>
          <w:sz w:val="23"/>
          <w:szCs w:val="23"/>
        </w:rPr>
        <w:t>виброперемещения</w:t>
      </w:r>
      <w:proofErr w:type="spellEnd"/>
      <w:r w:rsidRPr="00F52CFD">
        <w:rPr>
          <w:rFonts w:ascii="Times New Roman" w:hAnsi="Times New Roman" w:cs="Times New Roman"/>
          <w:sz w:val="23"/>
          <w:szCs w:val="23"/>
        </w:rPr>
        <w:t xml:space="preserve">, </w:t>
      </w:r>
      <w:proofErr w:type="spellStart"/>
      <w:r w:rsidRPr="00F52CFD">
        <w:rPr>
          <w:rFonts w:ascii="Times New Roman" w:hAnsi="Times New Roman" w:cs="Times New Roman"/>
          <w:sz w:val="23"/>
          <w:szCs w:val="23"/>
        </w:rPr>
        <w:t>виброскорости</w:t>
      </w:r>
      <w:proofErr w:type="spellEnd"/>
      <w:r w:rsidRPr="00F52CFD">
        <w:rPr>
          <w:rFonts w:ascii="Times New Roman" w:hAnsi="Times New Roman" w:cs="Times New Roman"/>
          <w:sz w:val="23"/>
          <w:szCs w:val="23"/>
        </w:rPr>
        <w:t xml:space="preserve"> и </w:t>
      </w:r>
      <w:proofErr w:type="spellStart"/>
      <w:r w:rsidRPr="00F52CFD">
        <w:rPr>
          <w:rFonts w:ascii="Times New Roman" w:hAnsi="Times New Roman" w:cs="Times New Roman"/>
          <w:sz w:val="23"/>
          <w:szCs w:val="23"/>
        </w:rPr>
        <w:t>виброускорения</w:t>
      </w:r>
      <w:proofErr w:type="spellEnd"/>
      <w:r w:rsidRPr="00F52CFD">
        <w:rPr>
          <w:rFonts w:ascii="Times New Roman" w:hAnsi="Times New Roman" w:cs="Times New Roman"/>
          <w:sz w:val="23"/>
          <w:szCs w:val="23"/>
        </w:rPr>
        <w:t xml:space="preserve"> в диапазоне частот (3•10</w:t>
      </w:r>
      <w:r w:rsidRPr="00F52CFD">
        <w:rPr>
          <w:rFonts w:ascii="Times New Roman" w:hAnsi="Times New Roman" w:cs="Times New Roman"/>
          <w:sz w:val="23"/>
          <w:szCs w:val="23"/>
          <w:vertAlign w:val="superscript"/>
        </w:rPr>
        <w:t>-1</w:t>
      </w:r>
      <w:r w:rsidRPr="00F52CFD">
        <w:rPr>
          <w:rFonts w:ascii="Times New Roman" w:hAnsi="Times New Roman" w:cs="Times New Roman"/>
          <w:sz w:val="23"/>
          <w:szCs w:val="23"/>
        </w:rPr>
        <w:t xml:space="preserve"> - 2•10</w:t>
      </w:r>
      <w:r w:rsidRPr="00F52CFD">
        <w:rPr>
          <w:rFonts w:ascii="Times New Roman" w:hAnsi="Times New Roman" w:cs="Times New Roman"/>
          <w:sz w:val="23"/>
          <w:szCs w:val="23"/>
          <w:vertAlign w:val="superscript"/>
        </w:rPr>
        <w:t>4</w:t>
      </w:r>
      <w:r w:rsidRPr="00F52CFD">
        <w:rPr>
          <w:rFonts w:ascii="Times New Roman" w:hAnsi="Times New Roman" w:cs="Times New Roman"/>
          <w:sz w:val="23"/>
          <w:szCs w:val="23"/>
        </w:rPr>
        <w:t xml:space="preserve">) Гц» </w:t>
      </w:r>
      <w:proofErr w:type="spellStart"/>
      <w:r w:rsidRPr="00F52CFD">
        <w:rPr>
          <w:rFonts w:ascii="Times New Roman" w:hAnsi="Times New Roman" w:cs="Times New Roman"/>
          <w:sz w:val="23"/>
          <w:szCs w:val="23"/>
        </w:rPr>
        <w:t>гармонизированай</w:t>
      </w:r>
      <w:proofErr w:type="spellEnd"/>
      <w:r w:rsidRPr="00F52CFD">
        <w:rPr>
          <w:rFonts w:ascii="Times New Roman" w:hAnsi="Times New Roman" w:cs="Times New Roman"/>
          <w:sz w:val="23"/>
          <w:szCs w:val="23"/>
        </w:rPr>
        <w:t xml:space="preserve"> с МИ 2070-90.</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4. В связи с введением в действие подпунктом 3) подпункта «а» пункта 1 настоящего Приказа ГОСТ IEC 60447-2015 отменить действие на территории Приднестровской Молдавской Республики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МЭК 60447-2013 «Интерфейс </w:t>
      </w:r>
      <w:proofErr w:type="spellStart"/>
      <w:r w:rsidRPr="00F52CFD">
        <w:rPr>
          <w:rFonts w:ascii="Times New Roman" w:hAnsi="Times New Roman" w:cs="Times New Roman"/>
          <w:sz w:val="23"/>
          <w:szCs w:val="23"/>
        </w:rPr>
        <w:t>человекомашинный</w:t>
      </w:r>
      <w:proofErr w:type="spellEnd"/>
      <w:r w:rsidRPr="00F52CFD">
        <w:rPr>
          <w:rFonts w:ascii="Times New Roman" w:hAnsi="Times New Roman" w:cs="Times New Roman"/>
          <w:sz w:val="23"/>
          <w:szCs w:val="23"/>
        </w:rPr>
        <w:t xml:space="preserve">. Принципы приведения в действие», введенного в действие Приказом </w:t>
      </w:r>
      <w:r w:rsidRPr="00F52CFD">
        <w:rPr>
          <w:rFonts w:ascii="Times New Roman" w:hAnsi="Times New Roman" w:cs="Times New Roman"/>
          <w:sz w:val="23"/>
          <w:szCs w:val="23"/>
        </w:rPr>
        <w:lastRenderedPageBreak/>
        <w:t>Государственной службы энергетики и жилищно-коммунального хозяйства Приднестровской Молдавской Республики от 14 мая 2013 года № 194 «О введении в действие нормативных документов по стандартизации на территории Приднестровской Молдавской Республики» (газета «Приднестровье» от 25 мая 2013 года № 98).</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5. В связи с введением в действие подпунктом 4) подпункта «б» пункта 1 настоящего Приказа ГОСТ 30804.4.13-2013 отменить действие на территории Приднестровской Молдавской Республики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51317.4.13-2012 «Совместимость технических средств электромагнитная. Устойчивость к искажениям синусоидальности напряжения электропитания, включая передачу сигналов по электрическим сетям. Требования и методы испытаний», введенного в действие Приказом Министерства промышленности Приднестровской Молдавской Республики от 18 января 2012 года № 24 «О введении в действие нормативных документов по стандартизации</w:t>
      </w:r>
      <w:r w:rsidRPr="00F52CFD">
        <w:rPr>
          <w:sz w:val="23"/>
          <w:szCs w:val="23"/>
        </w:rPr>
        <w:t xml:space="preserve"> </w:t>
      </w:r>
      <w:r w:rsidRPr="00F52CFD">
        <w:rPr>
          <w:rFonts w:ascii="Times New Roman" w:hAnsi="Times New Roman" w:cs="Times New Roman"/>
          <w:sz w:val="23"/>
          <w:szCs w:val="23"/>
        </w:rPr>
        <w:t>на территории Приднестровской Молдавской Республики» (газета «Приднестровье» от 26 января 2012 года № 17).</w:t>
      </w:r>
    </w:p>
    <w:p w:rsidR="00F52CFD" w:rsidRPr="00F52CFD" w:rsidRDefault="00F52CFD" w:rsidP="00F52CFD">
      <w:pPr>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 xml:space="preserve">6. В связи с введением в действие пунктом 1 Приказа Министерства экономического развития Приднестровской Молдавской Республики от 1 августа 2019 года № 654 «О введении в действие нормативного документа по стандартизации на территории Приднестровской Молдавской Республики» (опубликование в газете «Приднестровье» от 9 августа 2019 года № 143) ГОСТ ПМР ГОСТ </w:t>
      </w:r>
      <w:proofErr w:type="gramStart"/>
      <w:r w:rsidRPr="00F52CFD">
        <w:rPr>
          <w:rFonts w:ascii="Times New Roman" w:hAnsi="Times New Roman" w:cs="Times New Roman"/>
          <w:sz w:val="23"/>
          <w:szCs w:val="23"/>
        </w:rPr>
        <w:t>Р</w:t>
      </w:r>
      <w:proofErr w:type="gramEnd"/>
      <w:r w:rsidRPr="00F52CFD">
        <w:rPr>
          <w:rFonts w:ascii="Times New Roman" w:hAnsi="Times New Roman" w:cs="Times New Roman"/>
          <w:sz w:val="23"/>
          <w:szCs w:val="23"/>
        </w:rPr>
        <w:t xml:space="preserve"> 8.899-2019 «Государственная система обеспечения единства измерений. Измерение расхода и количества жидкостей и газов с помощью стандартных сужающих устройств. Аттестация методики измерений» отменить действие на территории Приднестровской Молдавской Республики </w:t>
      </w:r>
      <w:proofErr w:type="gramStart"/>
      <w:r w:rsidRPr="00F52CFD">
        <w:rPr>
          <w:rFonts w:ascii="Times New Roman" w:hAnsi="Times New Roman" w:cs="Times New Roman"/>
          <w:sz w:val="23"/>
          <w:szCs w:val="23"/>
        </w:rPr>
        <w:t>ПР</w:t>
      </w:r>
      <w:proofErr w:type="gramEnd"/>
      <w:r w:rsidRPr="00F52CFD">
        <w:rPr>
          <w:rFonts w:ascii="Times New Roman" w:hAnsi="Times New Roman" w:cs="Times New Roman"/>
          <w:sz w:val="23"/>
          <w:szCs w:val="23"/>
        </w:rPr>
        <w:t xml:space="preserve"> ПМР 50.2.022-2011 «Правила по метрологии Приднестровской Молдавской Республики. Государственная система обеспечения единства измерений. Порядок осуществления государственного метрологического контроля и надзора за применением и состоянием измерительных комплексов», введенного в действие Приказом Министерства промышленности Приднестровской Молдавской Республики от 22 апреля 2011 года № 174 «О введении в действие нормативного документа по стандартизации</w:t>
      </w:r>
      <w:r w:rsidRPr="00F52CFD">
        <w:rPr>
          <w:sz w:val="23"/>
          <w:szCs w:val="23"/>
        </w:rPr>
        <w:t xml:space="preserve"> </w:t>
      </w:r>
      <w:r w:rsidRPr="00F52CFD">
        <w:rPr>
          <w:rFonts w:ascii="Times New Roman" w:hAnsi="Times New Roman" w:cs="Times New Roman"/>
          <w:sz w:val="23"/>
          <w:szCs w:val="23"/>
        </w:rPr>
        <w:t>на территории Приднестровской Молдавской Республики» (газета «Приднестровье» от 6 мая 2011 года № 88-89).</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7. На официальном сайте Министерства экономического развития Приднестровской Молдавской Республики (http://minregion.gospmr.org/index.php/gos-reestry</w:t>
      </w:r>
      <w:proofErr w:type="gramStart"/>
      <w:r w:rsidRPr="00F52CFD">
        <w:rPr>
          <w:rFonts w:ascii="Times New Roman" w:hAnsi="Times New Roman" w:cs="Times New Roman"/>
          <w:sz w:val="23"/>
          <w:szCs w:val="23"/>
        </w:rPr>
        <w:t xml:space="preserve"> )</w:t>
      </w:r>
      <w:proofErr w:type="gramEnd"/>
      <w:r w:rsidRPr="00F52CFD">
        <w:rPr>
          <w:rFonts w:ascii="Times New Roman" w:hAnsi="Times New Roman" w:cs="Times New Roman"/>
          <w:sz w:val="23"/>
          <w:szCs w:val="23"/>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пунктам 1 - 3 настоящего Приказа.</w:t>
      </w:r>
    </w:p>
    <w:p w:rsidR="00F52CFD" w:rsidRPr="00F52CFD" w:rsidRDefault="00F52CFD" w:rsidP="00F52CFD">
      <w:pPr>
        <w:autoSpaceDE w:val="0"/>
        <w:autoSpaceDN w:val="0"/>
        <w:adjustRightInd w:val="0"/>
        <w:spacing w:after="0" w:line="240" w:lineRule="auto"/>
        <w:ind w:firstLine="567"/>
        <w:jc w:val="both"/>
        <w:rPr>
          <w:rFonts w:ascii="Times New Roman" w:hAnsi="Times New Roman" w:cs="Times New Roman"/>
          <w:sz w:val="23"/>
          <w:szCs w:val="23"/>
        </w:rPr>
      </w:pPr>
      <w:r w:rsidRPr="00F52CFD">
        <w:rPr>
          <w:rFonts w:ascii="Times New Roman" w:hAnsi="Times New Roman" w:cs="Times New Roman"/>
          <w:sz w:val="23"/>
          <w:szCs w:val="23"/>
        </w:rPr>
        <w:t>8. Настоящий Приказ вступает в силу со дня, следующего за днем его официального опубликования в газете «Приднестровье».</w:t>
      </w:r>
    </w:p>
    <w:p w:rsidR="004D183A" w:rsidRPr="00F52CFD" w:rsidRDefault="004D183A" w:rsidP="004D183A">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4D183A" w:rsidRPr="00F52CFD" w:rsidRDefault="004D183A" w:rsidP="004D183A">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4D183A" w:rsidRPr="00F52CFD" w:rsidRDefault="004D183A" w:rsidP="004D183A">
      <w:pPr>
        <w:spacing w:after="0" w:line="240" w:lineRule="auto"/>
        <w:jc w:val="both"/>
        <w:rPr>
          <w:rFonts w:ascii="Times New Roman" w:hAnsi="Times New Roman" w:cs="Times New Roman"/>
          <w:b/>
          <w:sz w:val="23"/>
          <w:szCs w:val="23"/>
        </w:rPr>
      </w:pPr>
    </w:p>
    <w:p w:rsidR="004D183A" w:rsidRPr="00F52CFD" w:rsidRDefault="004D183A" w:rsidP="004D183A">
      <w:pPr>
        <w:spacing w:after="0" w:line="240" w:lineRule="auto"/>
        <w:jc w:val="both"/>
        <w:rPr>
          <w:rFonts w:ascii="Times New Roman" w:hAnsi="Times New Roman" w:cs="Times New Roman"/>
          <w:b/>
          <w:sz w:val="23"/>
          <w:szCs w:val="23"/>
        </w:rPr>
      </w:pPr>
    </w:p>
    <w:p w:rsidR="004D183A" w:rsidRPr="00F52CFD" w:rsidRDefault="004D183A" w:rsidP="004D183A">
      <w:pPr>
        <w:spacing w:after="0" w:line="240" w:lineRule="auto"/>
        <w:jc w:val="both"/>
        <w:rPr>
          <w:rFonts w:ascii="Times New Roman" w:hAnsi="Times New Roman" w:cs="Times New Roman"/>
          <w:sz w:val="23"/>
          <w:szCs w:val="23"/>
        </w:rPr>
      </w:pPr>
      <w:r w:rsidRPr="00F52CFD">
        <w:rPr>
          <w:rFonts w:ascii="Times New Roman" w:hAnsi="Times New Roman" w:cs="Times New Roman"/>
          <w:sz w:val="23"/>
          <w:szCs w:val="23"/>
        </w:rPr>
        <w:t xml:space="preserve">Заместитель Председателя Правительства – </w:t>
      </w:r>
    </w:p>
    <w:p w:rsidR="00F52CFD" w:rsidRDefault="004D183A" w:rsidP="004D183A">
      <w:pPr>
        <w:autoSpaceDE w:val="0"/>
        <w:autoSpaceDN w:val="0"/>
        <w:adjustRightInd w:val="0"/>
        <w:spacing w:after="0" w:line="240" w:lineRule="auto"/>
        <w:jc w:val="both"/>
        <w:rPr>
          <w:rFonts w:ascii="Times New Roman" w:hAnsi="Times New Roman" w:cs="Times New Roman"/>
          <w:sz w:val="23"/>
          <w:szCs w:val="23"/>
        </w:rPr>
      </w:pPr>
      <w:r w:rsidRPr="00F52CFD">
        <w:rPr>
          <w:rFonts w:ascii="Times New Roman" w:hAnsi="Times New Roman" w:cs="Times New Roman"/>
          <w:sz w:val="23"/>
          <w:szCs w:val="23"/>
        </w:rPr>
        <w:t xml:space="preserve">министр экономического развития </w:t>
      </w:r>
    </w:p>
    <w:p w:rsidR="004D183A" w:rsidRPr="00F52CFD" w:rsidRDefault="00F52CFD" w:rsidP="004D183A">
      <w:pPr>
        <w:autoSpaceDE w:val="0"/>
        <w:autoSpaceDN w:val="0"/>
        <w:adjustRightInd w:val="0"/>
        <w:spacing w:after="0" w:line="240" w:lineRule="auto"/>
        <w:jc w:val="both"/>
        <w:rPr>
          <w:rFonts w:ascii="Times New Roman" w:hAnsi="Times New Roman" w:cs="Times New Roman"/>
          <w:color w:val="000000"/>
          <w:sz w:val="23"/>
          <w:szCs w:val="23"/>
        </w:rPr>
      </w:pPr>
      <w:r w:rsidRPr="00F52CFD">
        <w:rPr>
          <w:rFonts w:ascii="Times New Roman" w:hAnsi="Times New Roman" w:cs="Times New Roman"/>
          <w:sz w:val="23"/>
          <w:szCs w:val="23"/>
        </w:rPr>
        <w:t>Приднестровской Молдавской Республики</w:t>
      </w:r>
      <w:r w:rsidR="004D183A" w:rsidRPr="00F52CFD">
        <w:rPr>
          <w:rFonts w:ascii="Times New Roman" w:hAnsi="Times New Roman" w:cs="Times New Roman"/>
          <w:sz w:val="23"/>
          <w:szCs w:val="23"/>
        </w:rPr>
        <w:t xml:space="preserve">                      </w:t>
      </w:r>
      <w:r w:rsidR="006368B2" w:rsidRPr="00F52CFD">
        <w:rPr>
          <w:rFonts w:ascii="Times New Roman" w:hAnsi="Times New Roman" w:cs="Times New Roman"/>
          <w:sz w:val="23"/>
          <w:szCs w:val="23"/>
        </w:rPr>
        <w:t xml:space="preserve">             </w:t>
      </w:r>
      <w:r w:rsidR="004D183A" w:rsidRPr="00F52CFD">
        <w:rPr>
          <w:rFonts w:ascii="Times New Roman" w:hAnsi="Times New Roman" w:cs="Times New Roman"/>
          <w:sz w:val="23"/>
          <w:szCs w:val="23"/>
        </w:rPr>
        <w:t xml:space="preserve">                          С.А. </w:t>
      </w:r>
      <w:proofErr w:type="spellStart"/>
      <w:r w:rsidR="004D183A" w:rsidRPr="00F52CFD">
        <w:rPr>
          <w:rFonts w:ascii="Times New Roman" w:hAnsi="Times New Roman" w:cs="Times New Roman"/>
          <w:sz w:val="23"/>
          <w:szCs w:val="23"/>
        </w:rPr>
        <w:t>Оболоник</w:t>
      </w:r>
      <w:proofErr w:type="spellEnd"/>
    </w:p>
    <w:p w:rsidR="00F85333" w:rsidRDefault="00F85333" w:rsidP="006C4A7C">
      <w:pPr>
        <w:spacing w:line="240" w:lineRule="auto"/>
        <w:jc w:val="center"/>
        <w:rPr>
          <w:rStyle w:val="a8"/>
          <w:rFonts w:ascii="Times New Roman" w:hAnsi="Times New Roman" w:cs="Times New Roman"/>
          <w:b/>
          <w:i w:val="0"/>
          <w:sz w:val="23"/>
          <w:szCs w:val="23"/>
        </w:rPr>
      </w:pPr>
    </w:p>
    <w:p w:rsidR="002E79D3" w:rsidRDefault="002E79D3" w:rsidP="006C4A7C">
      <w:pPr>
        <w:spacing w:line="240" w:lineRule="auto"/>
        <w:jc w:val="center"/>
        <w:rPr>
          <w:rStyle w:val="a8"/>
          <w:rFonts w:ascii="Times New Roman" w:hAnsi="Times New Roman" w:cs="Times New Roman"/>
          <w:b/>
          <w:i w:val="0"/>
          <w:sz w:val="23"/>
          <w:szCs w:val="23"/>
        </w:rPr>
      </w:pPr>
    </w:p>
    <w:p w:rsidR="002E79D3" w:rsidRDefault="002E79D3" w:rsidP="006C4A7C">
      <w:pPr>
        <w:spacing w:line="240" w:lineRule="auto"/>
        <w:jc w:val="center"/>
        <w:rPr>
          <w:rStyle w:val="a8"/>
          <w:rFonts w:ascii="Times New Roman" w:hAnsi="Times New Roman" w:cs="Times New Roman"/>
          <w:b/>
          <w:i w:val="0"/>
          <w:sz w:val="23"/>
          <w:szCs w:val="23"/>
        </w:rPr>
      </w:pPr>
    </w:p>
    <w:sectPr w:rsidR="002E79D3"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733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2E79D3"/>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1571"/>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6F5221"/>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4029"/>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089"/>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25D1D"/>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5E7"/>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1B4"/>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115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04A25"/>
    <w:rsid w:val="00F1131B"/>
    <w:rsid w:val="00F45D4D"/>
    <w:rsid w:val="00F46D75"/>
    <w:rsid w:val="00F52BE2"/>
    <w:rsid w:val="00F52CFD"/>
    <w:rsid w:val="00F67820"/>
    <w:rsid w:val="00F67BF2"/>
    <w:rsid w:val="00F70FB7"/>
    <w:rsid w:val="00F739D4"/>
    <w:rsid w:val="00F74F21"/>
    <w:rsid w:val="00F77F42"/>
    <w:rsid w:val="00F83DFB"/>
    <w:rsid w:val="00F85333"/>
    <w:rsid w:val="00F9604A"/>
    <w:rsid w:val="00FA0ABF"/>
    <w:rsid w:val="00FB178D"/>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paragraph" w:styleId="ab">
    <w:name w:val="header"/>
    <w:basedOn w:val="a"/>
    <w:link w:val="ac"/>
    <w:uiPriority w:val="99"/>
    <w:unhideWhenUsed/>
    <w:rsid w:val="00F52CFD"/>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F52CFD"/>
    <w:rPr>
      <w:rFonts w:eastAsiaTheme="minorHAnsi"/>
      <w:lang w:eastAsia="en-US"/>
    </w:rPr>
  </w:style>
  <w:style w:type="paragraph" w:customStyle="1" w:styleId="ad">
    <w:name w:val="Исполнитель"/>
    <w:basedOn w:val="a"/>
    <w:link w:val="ae"/>
    <w:qFormat/>
    <w:rsid w:val="002E79D3"/>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Исполнитель Знак"/>
    <w:link w:val="ad"/>
    <w:rsid w:val="002E79D3"/>
    <w:rPr>
      <w:rFonts w:ascii="Times New Roman" w:eastAsia="Times New Roman" w:hAnsi="Times New Roman" w:cs="Times New Roman"/>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8145" TargetMode="External"/><Relationship Id="rId3" Type="http://schemas.openxmlformats.org/officeDocument/2006/relationships/styles" Target="styles.xml"/><Relationship Id="rId7" Type="http://schemas.openxmlformats.org/officeDocument/2006/relationships/hyperlink" Target="http://docs.cntd.ru/document/1200108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BA19-F19F-4767-B7C7-59428B02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4</cp:revision>
  <cp:lastPrinted>2017-07-27T06:54:00Z</cp:lastPrinted>
  <dcterms:created xsi:type="dcterms:W3CDTF">2020-07-21T11:39:00Z</dcterms:created>
  <dcterms:modified xsi:type="dcterms:W3CDTF">2020-07-21T11:46:00Z</dcterms:modified>
</cp:coreProperties>
</file>