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59" w:type="pct"/>
        <w:tblLook w:val="0000"/>
      </w:tblPr>
      <w:tblGrid>
        <w:gridCol w:w="1780"/>
        <w:gridCol w:w="2422"/>
        <w:gridCol w:w="1240"/>
        <w:gridCol w:w="2494"/>
        <w:gridCol w:w="1634"/>
        <w:gridCol w:w="6"/>
      </w:tblGrid>
      <w:tr w:rsidR="00250D11" w:rsidRPr="00C22FCE" w:rsidTr="00C74C66">
        <w:trPr>
          <w:trHeight w:val="1370"/>
        </w:trPr>
        <w:tc>
          <w:tcPr>
            <w:tcW w:w="2219" w:type="pct"/>
            <w:gridSpan w:val="2"/>
          </w:tcPr>
          <w:p w:rsidR="00250D11" w:rsidRPr="00F23721" w:rsidRDefault="00983289" w:rsidP="00C74C66">
            <w:pPr>
              <w:spacing w:line="120" w:lineRule="atLeast"/>
              <w:ind w:left="-142"/>
              <w:rPr>
                <w:b/>
                <w:color w:val="404040"/>
                <w:spacing w:val="-1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МИНИСТЕРУЛ ДЕЗВОЛТЭРИЙ</w:t>
            </w:r>
          </w:p>
          <w:p w:rsidR="00250D11" w:rsidRPr="00F23721" w:rsidRDefault="00C74C66" w:rsidP="00C74C66">
            <w:pPr>
              <w:tabs>
                <w:tab w:val="left" w:pos="5828"/>
                <w:tab w:val="right" w:pos="5956"/>
              </w:tabs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>
              <w:rPr>
                <w:b/>
                <w:color w:val="404040"/>
                <w:sz w:val="22"/>
                <w:szCs w:val="22"/>
              </w:rPr>
              <w:t>РЕЖИОНАЛЕ</w:t>
            </w:r>
          </w:p>
          <w:p w:rsidR="00F23721" w:rsidRDefault="00250D11" w:rsidP="00C74C66">
            <w:pPr>
              <w:spacing w:line="120" w:lineRule="atLeast"/>
              <w:ind w:left="-142" w:right="-74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АЛ РЕПУБЛИЧИЙ</w:t>
            </w:r>
            <w:r w:rsidR="00C74C66">
              <w:rPr>
                <w:b/>
                <w:color w:val="404040"/>
                <w:sz w:val="22"/>
                <w:szCs w:val="22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</w:rPr>
              <w:t>МОЛДОВЕНЕШТЬ</w:t>
            </w:r>
          </w:p>
          <w:p w:rsidR="00250D11" w:rsidRDefault="00250D11" w:rsidP="00C74C66">
            <w:pPr>
              <w:spacing w:line="120" w:lineRule="atLeast"/>
              <w:ind w:left="-142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 xml:space="preserve"> НИСТРЕНЕ</w:t>
            </w:r>
          </w:p>
          <w:p w:rsidR="00F23721" w:rsidRPr="00957326" w:rsidRDefault="00F23721" w:rsidP="00250D11">
            <w:pPr>
              <w:spacing w:line="120" w:lineRule="atLeast"/>
              <w:ind w:left="34"/>
              <w:rPr>
                <w:b/>
                <w:sz w:val="23"/>
                <w:szCs w:val="23"/>
              </w:rPr>
            </w:pPr>
          </w:p>
        </w:tc>
        <w:tc>
          <w:tcPr>
            <w:tcW w:w="596" w:type="pct"/>
          </w:tcPr>
          <w:p w:rsidR="00250D11" w:rsidRPr="00957326" w:rsidRDefault="003E0308" w:rsidP="00952CC5">
            <w:pPr>
              <w:spacing w:line="240" w:lineRule="atLeast"/>
              <w:ind w:left="-141" w:right="-75"/>
              <w:rPr>
                <w:b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1" style="width:62pt;height:60pt;visibility:visible">
                  <v:imagedata r:id="rId8" o:title="1" blacklevel="-7864f"/>
                </v:shape>
              </w:pict>
            </w:r>
          </w:p>
        </w:tc>
        <w:tc>
          <w:tcPr>
            <w:tcW w:w="2185" w:type="pct"/>
            <w:gridSpan w:val="3"/>
          </w:tcPr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Н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Pr="00F23721">
              <w:rPr>
                <w:b/>
                <w:color w:val="404040"/>
                <w:sz w:val="22"/>
                <w:szCs w:val="22"/>
              </w:rPr>
              <w:t>СТЕРСТВО</w:t>
            </w:r>
          </w:p>
          <w:p w:rsidR="00250D11" w:rsidRPr="00F23721" w:rsidRDefault="000735BE" w:rsidP="001230D3">
            <w:pPr>
              <w:spacing w:line="240" w:lineRule="atLeast"/>
              <w:ind w:left="0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</w:rPr>
              <w:t>РЕГ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250D11" w:rsidRPr="00F23721">
              <w:rPr>
                <w:b/>
                <w:color w:val="404040"/>
                <w:sz w:val="22"/>
                <w:szCs w:val="22"/>
              </w:rPr>
              <w:t>О</w:t>
            </w:r>
            <w:r w:rsidRPr="00F23721">
              <w:rPr>
                <w:b/>
                <w:color w:val="404040"/>
                <w:sz w:val="22"/>
                <w:szCs w:val="22"/>
              </w:rPr>
              <w:t>НАЛЬНОГО РОЗВИТКУ</w:t>
            </w:r>
          </w:p>
          <w:p w:rsidR="00250D11" w:rsidRPr="00F23721" w:rsidRDefault="00250D11" w:rsidP="00C74C66">
            <w:pPr>
              <w:spacing w:line="240" w:lineRule="atLeast"/>
              <w:ind w:left="-143" w:right="-143"/>
              <w:rPr>
                <w:b/>
                <w:color w:val="404040"/>
                <w:sz w:val="22"/>
                <w:szCs w:val="22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ПРИДНІСТРОВСЬКО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  <w:r w:rsidR="00C74C66">
              <w:rPr>
                <w:b/>
                <w:color w:val="404040"/>
                <w:sz w:val="22"/>
                <w:szCs w:val="22"/>
                <w:lang w:val="uk-UA"/>
              </w:rPr>
              <w:t xml:space="preserve"> </w:t>
            </w: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МОЛДАВСЬКО</w:t>
            </w:r>
            <w:r w:rsidRPr="00F23721">
              <w:rPr>
                <w:b/>
                <w:color w:val="404040"/>
                <w:sz w:val="22"/>
                <w:szCs w:val="22"/>
                <w:lang w:val="en-US"/>
              </w:rPr>
              <w:t>I</w:t>
            </w:r>
          </w:p>
          <w:p w:rsidR="00250D11" w:rsidRPr="00957326" w:rsidRDefault="00250D11" w:rsidP="001230D3">
            <w:pPr>
              <w:spacing w:line="216" w:lineRule="auto"/>
              <w:ind w:left="0"/>
              <w:rPr>
                <w:b/>
                <w:sz w:val="23"/>
                <w:szCs w:val="23"/>
              </w:rPr>
            </w:pPr>
            <w:r w:rsidRPr="00F23721">
              <w:rPr>
                <w:b/>
                <w:color w:val="404040"/>
                <w:sz w:val="22"/>
                <w:szCs w:val="22"/>
                <w:lang w:val="uk-UA"/>
              </w:rPr>
              <w:t>РЕСПУБЛІКИ</w:t>
            </w:r>
            <w:r w:rsidRPr="00957326">
              <w:rPr>
                <w:b/>
                <w:sz w:val="23"/>
                <w:szCs w:val="23"/>
              </w:rPr>
              <w:t xml:space="preserve"> </w:t>
            </w:r>
          </w:p>
        </w:tc>
      </w:tr>
      <w:tr w:rsidR="00AA6362" w:rsidRPr="00C22FCE" w:rsidTr="00C74C66">
        <w:trPr>
          <w:trHeight w:val="1311"/>
        </w:trPr>
        <w:tc>
          <w:tcPr>
            <w:tcW w:w="5000" w:type="pct"/>
            <w:gridSpan w:val="6"/>
            <w:vAlign w:val="center"/>
          </w:tcPr>
          <w:p w:rsidR="00A60B23" w:rsidRPr="0081517D" w:rsidRDefault="000735BE" w:rsidP="00C74C66">
            <w:pPr>
              <w:pStyle w:val="a4"/>
              <w:spacing w:before="0" w:line="240" w:lineRule="auto"/>
              <w:ind w:left="203" w:right="0"/>
              <w:rPr>
                <w:color w:val="404040"/>
                <w:sz w:val="23"/>
                <w:szCs w:val="23"/>
              </w:rPr>
            </w:pPr>
            <w:r w:rsidRPr="0081517D">
              <w:rPr>
                <w:color w:val="404040"/>
                <w:sz w:val="23"/>
                <w:szCs w:val="23"/>
              </w:rPr>
              <w:t>МИНИС</w:t>
            </w:r>
            <w:r w:rsidR="00C74C66">
              <w:rPr>
                <w:color w:val="404040"/>
                <w:sz w:val="23"/>
                <w:szCs w:val="23"/>
              </w:rPr>
              <w:t>ТЕРСТВО РЕГИОНАЛЬНОГО РАЗВИТИЯ</w:t>
            </w:r>
          </w:p>
          <w:p w:rsidR="00AA6362" w:rsidRPr="00957326" w:rsidRDefault="00A60B23" w:rsidP="00C74C66">
            <w:pPr>
              <w:ind w:left="203"/>
              <w:rPr>
                <w:b/>
                <w:spacing w:val="-20"/>
                <w:sz w:val="23"/>
                <w:szCs w:val="23"/>
                <w:lang w:val="uk-UA"/>
              </w:rPr>
            </w:pPr>
            <w:r w:rsidRPr="0081517D">
              <w:rPr>
                <w:b/>
                <w:color w:val="404040"/>
                <w:sz w:val="23"/>
                <w:szCs w:val="23"/>
              </w:rPr>
              <w:t>ПРИДНЕСТРОВСКОЙ МОЛДАВСКОЙ РЕСПУБЛИКИ</w:t>
            </w:r>
          </w:p>
        </w:tc>
      </w:tr>
      <w:tr w:rsidR="00862030" w:rsidRPr="00C22FCE" w:rsidTr="00C74C66">
        <w:trPr>
          <w:trHeight w:val="488"/>
        </w:trPr>
        <w:tc>
          <w:tcPr>
            <w:tcW w:w="5000" w:type="pct"/>
            <w:gridSpan w:val="6"/>
          </w:tcPr>
          <w:p w:rsidR="00862030" w:rsidRPr="00786A88" w:rsidRDefault="00786A88" w:rsidP="00C74C66">
            <w:pPr>
              <w:ind w:left="203"/>
              <w:rPr>
                <w:b/>
                <w:color w:val="333333"/>
                <w:spacing w:val="-20"/>
                <w:sz w:val="28"/>
                <w:szCs w:val="28"/>
              </w:rPr>
            </w:pPr>
            <w:r w:rsidRPr="001230D3">
              <w:rPr>
                <w:b/>
                <w:color w:val="333333"/>
                <w:sz w:val="32"/>
                <w:szCs w:val="28"/>
              </w:rPr>
              <w:t>ПРИКАЗ</w:t>
            </w:r>
          </w:p>
        </w:tc>
      </w:tr>
      <w:tr w:rsidR="001230D3" w:rsidRPr="00135AF9" w:rsidTr="00C74C66">
        <w:trPr>
          <w:gridAfter w:val="1"/>
          <w:wAfter w:w="6" w:type="pct"/>
          <w:trHeight w:val="737"/>
        </w:trPr>
        <w:tc>
          <w:tcPr>
            <w:tcW w:w="2219" w:type="pct"/>
            <w:gridSpan w:val="2"/>
          </w:tcPr>
          <w:p w:rsidR="001230D3" w:rsidRPr="00021382" w:rsidRDefault="001230D3" w:rsidP="00F40814">
            <w:pPr>
              <w:ind w:left="203" w:right="-110"/>
              <w:jc w:val="both"/>
            </w:pPr>
            <w:r w:rsidRPr="00021382">
              <w:t>_</w:t>
            </w:r>
            <w:r w:rsidRPr="00647B5B">
              <w:t>_</w:t>
            </w:r>
            <w:r w:rsidR="00F40814">
              <w:t>17 октября 2016 года</w:t>
            </w:r>
            <w:r w:rsidRPr="00647B5B">
              <w:t>___</w:t>
            </w:r>
          </w:p>
        </w:tc>
        <w:tc>
          <w:tcPr>
            <w:tcW w:w="596" w:type="pct"/>
            <w:vAlign w:val="bottom"/>
          </w:tcPr>
          <w:p w:rsidR="001230D3" w:rsidRPr="001230D3" w:rsidRDefault="00C74C66" w:rsidP="00C74C66">
            <w:pPr>
              <w:ind w:left="0" w:right="-104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1230D3" w:rsidRPr="001230D3">
              <w:rPr>
                <w:sz w:val="16"/>
                <w:szCs w:val="16"/>
              </w:rPr>
              <w:t>г. Тирасполь</w:t>
            </w:r>
          </w:p>
        </w:tc>
        <w:tc>
          <w:tcPr>
            <w:tcW w:w="2179" w:type="pct"/>
            <w:gridSpan w:val="2"/>
          </w:tcPr>
          <w:p w:rsidR="001230D3" w:rsidRPr="00135AF9" w:rsidRDefault="001230D3" w:rsidP="00F40814">
            <w:pPr>
              <w:ind w:left="203"/>
              <w:rPr>
                <w:sz w:val="20"/>
                <w:szCs w:val="20"/>
              </w:rPr>
            </w:pPr>
            <w:r>
              <w:t xml:space="preserve">№ </w:t>
            </w:r>
            <w:r w:rsidRPr="00647B5B">
              <w:t>_</w:t>
            </w:r>
            <w:r w:rsidR="00F40814">
              <w:t>746</w:t>
            </w:r>
            <w:r>
              <w:t>_</w:t>
            </w:r>
          </w:p>
        </w:tc>
      </w:tr>
      <w:tr w:rsidR="001230D3" w:rsidRPr="00135AF9" w:rsidTr="00C74C66">
        <w:trPr>
          <w:trHeight w:val="479"/>
        </w:trPr>
        <w:tc>
          <w:tcPr>
            <w:tcW w:w="942" w:type="pct"/>
          </w:tcPr>
          <w:p w:rsidR="001230D3" w:rsidRDefault="001230D3" w:rsidP="0055104B">
            <w:pPr>
              <w:ind w:right="-104"/>
            </w:pPr>
          </w:p>
        </w:tc>
        <w:tc>
          <w:tcPr>
            <w:tcW w:w="3187" w:type="pct"/>
            <w:gridSpan w:val="3"/>
            <w:tcMar>
              <w:top w:w="227" w:type="dxa"/>
            </w:tcMar>
          </w:tcPr>
          <w:p w:rsidR="00B26671" w:rsidRDefault="00B26671" w:rsidP="00D0580E">
            <w:pPr>
              <w:widowControl w:val="0"/>
              <w:autoSpaceDE w:val="0"/>
              <w:autoSpaceDN w:val="0"/>
              <w:adjustRightInd w:val="0"/>
              <w:ind w:left="0"/>
              <w:rPr>
                <w:b/>
                <w:i/>
              </w:rPr>
            </w:pPr>
            <w:permStart w:id="0" w:edGrp="everyone"/>
            <w:r w:rsidRPr="00EA67F5">
              <w:rPr>
                <w:b/>
                <w:i/>
              </w:rPr>
              <w:t>О введении в действие</w:t>
            </w:r>
            <w:r>
              <w:rPr>
                <w:b/>
                <w:i/>
              </w:rPr>
              <w:t xml:space="preserve"> и отмене</w:t>
            </w:r>
            <w:r w:rsidRPr="00EA67F5">
              <w:rPr>
                <w:b/>
                <w:i/>
              </w:rPr>
              <w:t xml:space="preserve"> нормативных документов по стандартизации на территории</w:t>
            </w:r>
          </w:p>
          <w:p w:rsidR="00F40814" w:rsidRDefault="00B26671" w:rsidP="008D57BC">
            <w:pPr>
              <w:ind w:left="33" w:right="-1"/>
              <w:rPr>
                <w:b/>
                <w:i/>
              </w:rPr>
            </w:pPr>
            <w:r w:rsidRPr="00EA67F5">
              <w:rPr>
                <w:b/>
                <w:i/>
              </w:rPr>
              <w:t>Приднестровской Молдавской Республики</w:t>
            </w:r>
          </w:p>
          <w:p w:rsidR="00F40814" w:rsidRDefault="00F40814" w:rsidP="008D57BC">
            <w:pPr>
              <w:ind w:left="33" w:right="-1"/>
              <w:rPr>
                <w:b/>
                <w:i/>
              </w:rPr>
            </w:pPr>
          </w:p>
          <w:p w:rsidR="00F40814" w:rsidRDefault="00F40814" w:rsidP="00F40814">
            <w:pPr>
              <w:ind w:left="33" w:right="-1"/>
              <w:rPr>
                <w:b/>
                <w:i/>
              </w:rPr>
            </w:pPr>
            <w:r>
              <w:rPr>
                <w:b/>
                <w:i/>
              </w:rPr>
              <w:t xml:space="preserve">(опубликование в газете «Приднестровье» </w:t>
            </w:r>
          </w:p>
          <w:p w:rsidR="001230D3" w:rsidRPr="00135AF9" w:rsidRDefault="00F40814" w:rsidP="008D57BC">
            <w:pPr>
              <w:ind w:left="33" w:right="-1"/>
              <w:rPr>
                <w:sz w:val="20"/>
                <w:szCs w:val="20"/>
              </w:rPr>
            </w:pPr>
            <w:r>
              <w:rPr>
                <w:b/>
                <w:i/>
              </w:rPr>
              <w:t>от 26 октября 2016 года № 198)</w:t>
            </w:r>
            <w:r w:rsidR="00B26671">
              <w:t xml:space="preserve"> </w:t>
            </w:r>
            <w:permEnd w:id="0"/>
          </w:p>
        </w:tc>
        <w:tc>
          <w:tcPr>
            <w:tcW w:w="871" w:type="pct"/>
            <w:gridSpan w:val="2"/>
          </w:tcPr>
          <w:p w:rsidR="001230D3" w:rsidRPr="00135AF9" w:rsidRDefault="001230D3" w:rsidP="00952CC5">
            <w:pPr>
              <w:ind w:left="203"/>
              <w:rPr>
                <w:sz w:val="20"/>
                <w:szCs w:val="20"/>
              </w:rPr>
            </w:pPr>
          </w:p>
        </w:tc>
      </w:tr>
    </w:tbl>
    <w:p w:rsidR="0033064C" w:rsidRPr="00135AF9" w:rsidRDefault="0033064C" w:rsidP="004A4CB6">
      <w:pPr>
        <w:rPr>
          <w:b/>
          <w:sz w:val="20"/>
          <w:szCs w:val="20"/>
        </w:rPr>
        <w:sectPr w:rsidR="0033064C" w:rsidRPr="00135AF9" w:rsidSect="00952CC5">
          <w:pgSz w:w="11906" w:h="16838"/>
          <w:pgMar w:top="624" w:right="567" w:bottom="1134" w:left="1701" w:header="709" w:footer="822" w:gutter="0"/>
          <w:cols w:space="708"/>
          <w:titlePg/>
          <w:docGrid w:linePitch="360"/>
        </w:sectPr>
      </w:pPr>
    </w:p>
    <w:p w:rsidR="005C0821" w:rsidRDefault="005C0821" w:rsidP="00952CC5">
      <w:pPr>
        <w:ind w:right="622"/>
      </w:pPr>
    </w:p>
    <w:p w:rsidR="005C0821" w:rsidRDefault="005C0821" w:rsidP="00952CC5">
      <w:pPr>
        <w:ind w:right="622"/>
      </w:pPr>
    </w:p>
    <w:p w:rsidR="00B26671" w:rsidRPr="00060BF6" w:rsidRDefault="00B26671" w:rsidP="00D0580E">
      <w:pPr>
        <w:ind w:left="0" w:firstLine="709"/>
        <w:jc w:val="both"/>
      </w:pPr>
      <w:permStart w:id="1" w:edGrp="everyone"/>
      <w:r w:rsidRPr="00584A7D">
        <w:t xml:space="preserve">В соответствии с </w:t>
      </w:r>
      <w:r w:rsidRPr="00584A7D">
        <w:rPr>
          <w:color w:val="000000"/>
        </w:rPr>
        <w:t xml:space="preserve">Законом Приднестровской Молдавской Республики от 23 ноября 1994 года «О стандартизации» (СЗМР 94-4) с изменениями </w:t>
      </w:r>
      <w:r w:rsidRPr="00584A7D">
        <w:t>и дополнением</w:t>
      </w:r>
      <w:r w:rsidRPr="00584A7D">
        <w:rPr>
          <w:color w:val="000000"/>
        </w:rPr>
        <w:t xml:space="preserve">, внесенным законами Приднестровской Молдавской Республики </w:t>
      </w:r>
      <w:r w:rsidRPr="00C20434">
        <w:rPr>
          <w:color w:val="000000"/>
        </w:rPr>
        <w:t>от 22 июля 1</w:t>
      </w:r>
      <w:r>
        <w:rPr>
          <w:color w:val="000000"/>
        </w:rPr>
        <w:t xml:space="preserve">999 года № 185-ЗИД (СЗМР 99-3), </w:t>
      </w:r>
      <w:r w:rsidRPr="00C20434">
        <w:rPr>
          <w:color w:val="000000"/>
        </w:rPr>
        <w:t xml:space="preserve">от 6 апреля </w:t>
      </w:r>
      <w:r>
        <w:rPr>
          <w:color w:val="000000"/>
        </w:rPr>
        <w:t>2000 года № 271-ЗИД (СЗМР 00-2),</w:t>
      </w:r>
      <w:r w:rsidRPr="00C20434">
        <w:rPr>
          <w:color w:val="000000"/>
        </w:rPr>
        <w:t xml:space="preserve"> от 4 мая</w:t>
      </w:r>
      <w:r>
        <w:rPr>
          <w:color w:val="000000"/>
        </w:rPr>
        <w:t xml:space="preserve"> 2000 года № 290-ЗД (СЗМР 00-2),</w:t>
      </w:r>
      <w:r w:rsidRPr="00C20434">
        <w:rPr>
          <w:color w:val="000000"/>
        </w:rPr>
        <w:t xml:space="preserve"> от 10 июля 2002</w:t>
      </w:r>
      <w:r>
        <w:rPr>
          <w:color w:val="000000"/>
        </w:rPr>
        <w:t xml:space="preserve"> года № 152-ЗИД-III (САЗ 02-28), от 12 марта 2004 года №</w:t>
      </w:r>
      <w:r w:rsidRPr="00C20434">
        <w:rPr>
          <w:color w:val="000000"/>
        </w:rPr>
        <w:t xml:space="preserve"> 397-ЗИ-III (САЗ 04-</w:t>
      </w:r>
      <w:r>
        <w:rPr>
          <w:color w:val="000000"/>
        </w:rPr>
        <w:t>11),</w:t>
      </w:r>
      <w:r w:rsidRPr="00C20434">
        <w:rPr>
          <w:color w:val="000000"/>
        </w:rPr>
        <w:t xml:space="preserve"> от 28 декабря 20</w:t>
      </w:r>
      <w:r>
        <w:rPr>
          <w:color w:val="000000"/>
        </w:rPr>
        <w:t>07 года № 374-ЗД-IV (САЗ 07-53),</w:t>
      </w:r>
      <w:r w:rsidRPr="00C20434">
        <w:rPr>
          <w:color w:val="000000"/>
        </w:rPr>
        <w:t xml:space="preserve"> от 10 апреля 20</w:t>
      </w:r>
      <w:r>
        <w:rPr>
          <w:color w:val="000000"/>
        </w:rPr>
        <w:t>09 года № 719-ЗД-IV (САЗ 09-15),</w:t>
      </w:r>
      <w:r w:rsidRPr="00C20434">
        <w:rPr>
          <w:color w:val="000000"/>
        </w:rPr>
        <w:t xml:space="preserve"> от 5 апреля 20</w:t>
      </w:r>
      <w:r>
        <w:rPr>
          <w:color w:val="000000"/>
        </w:rPr>
        <w:t>16 года № 64-ЗИ-VI (САЗ 16-14)</w:t>
      </w:r>
      <w:r w:rsidRPr="00584A7D">
        <w:t>,</w:t>
      </w:r>
      <w:r w:rsidRPr="00584A7D">
        <w:rPr>
          <w:color w:val="FF0000"/>
        </w:rPr>
        <w:t xml:space="preserve"> </w:t>
      </w:r>
      <w:r w:rsidRPr="00D6770A">
        <w:t>Постановление</w:t>
      </w:r>
      <w:r>
        <w:t>м</w:t>
      </w:r>
      <w:r w:rsidRPr="00D6770A">
        <w:t xml:space="preserve"> Верховного Совета Приднестровской Молдавской Республики от 21 мая 2002 года № 584 «О признании рамочной нормой права на территории Приднестровской Молдавской Республики Соглашения «О проведении согласованной политики в области стандартизации, метрологии и сертификации» (с оговоркой) Межгосударственного совета по стандартизации, метрологии и</w:t>
      </w:r>
      <w:r>
        <w:t xml:space="preserve"> </w:t>
      </w:r>
      <w:r w:rsidRPr="00D6770A">
        <w:t>сертификации»</w:t>
      </w:r>
      <w:r>
        <w:t xml:space="preserve"> </w:t>
      </w:r>
      <w:r w:rsidRPr="00D6770A">
        <w:t>(САЗ 02-21</w:t>
      </w:r>
      <w:r>
        <w:t>) и</w:t>
      </w:r>
      <w:r w:rsidRPr="00551B5C">
        <w:t xml:space="preserve"> в целях актуализации нормативной базы стандартов </w:t>
      </w:r>
      <w:r>
        <w:t xml:space="preserve">                 </w:t>
      </w:r>
      <w:r w:rsidRPr="00E73909">
        <w:rPr>
          <w:b/>
        </w:rPr>
        <w:t>п р и к а з ы в а ю:</w:t>
      </w:r>
    </w:p>
    <w:p w:rsidR="00B26671" w:rsidRPr="000845AB" w:rsidRDefault="00B26671" w:rsidP="00D0580E">
      <w:pPr>
        <w:tabs>
          <w:tab w:val="left" w:pos="567"/>
        </w:tabs>
        <w:ind w:left="0" w:firstLine="709"/>
        <w:jc w:val="both"/>
      </w:pPr>
      <w:r w:rsidRPr="000845AB">
        <w:rPr>
          <w:b/>
        </w:rPr>
        <w:t>1.</w:t>
      </w:r>
      <w:r w:rsidRPr="000845AB">
        <w:t xml:space="preserve"> </w:t>
      </w:r>
      <w:r w:rsidR="00C807BE" w:rsidRPr="000845AB">
        <w:t>Ввести в действие на территории Приднестровской Молдавской Республики в качестве государственного стандарта Приднестровской Молдавской Республики с редакционными изменениями, соответствующими требованиям законодательства Приднестровской Молдавской Республики, следующий межгосударственный стандарт:</w:t>
      </w:r>
    </w:p>
    <w:p w:rsidR="00B26671" w:rsidRPr="000845AB" w:rsidRDefault="00B26671" w:rsidP="00D0580E">
      <w:pPr>
        <w:ind w:left="0" w:firstLine="709"/>
        <w:jc w:val="both"/>
      </w:pPr>
      <w:r w:rsidRPr="000845AB">
        <w:t xml:space="preserve">ГОСТ </w:t>
      </w:r>
      <w:r w:rsidRPr="000845AB">
        <w:rPr>
          <w:lang w:val="en-US"/>
        </w:rPr>
        <w:t>IEC</w:t>
      </w:r>
      <w:r w:rsidRPr="000845AB">
        <w:t xml:space="preserve"> 60335-2-17-2012 «Безопасность бытовых и аналогичных электрических приборов. Часть 2-17. Частные требования к одеялам, подушкам, одежде и аналогичным гибким нагревательным приборам».</w:t>
      </w:r>
    </w:p>
    <w:p w:rsidR="00B26671" w:rsidRPr="000845AB" w:rsidRDefault="00B26671" w:rsidP="00D0580E">
      <w:pPr>
        <w:ind w:left="0" w:firstLine="709"/>
        <w:jc w:val="both"/>
      </w:pPr>
      <w:r w:rsidRPr="000845AB">
        <w:rPr>
          <w:b/>
        </w:rPr>
        <w:t xml:space="preserve">2. </w:t>
      </w:r>
      <w:r w:rsidRPr="000845AB">
        <w:t>Ввести в действие на территории Приднестровской Молдавской Республики</w:t>
      </w:r>
      <w:r w:rsidR="009D0576" w:rsidRPr="000845AB">
        <w:t>,</w:t>
      </w:r>
      <w:r w:rsidRPr="000845AB">
        <w:t xml:space="preserve"> следующие государственные стандарты Приднестровской Молдавской Республики:</w:t>
      </w:r>
    </w:p>
    <w:p w:rsidR="00B26671" w:rsidRPr="000845AB" w:rsidRDefault="00B26671" w:rsidP="00D0580E">
      <w:pPr>
        <w:ind w:left="0" w:right="-1" w:firstLine="709"/>
        <w:jc w:val="both"/>
      </w:pPr>
      <w:r w:rsidRPr="000845AB">
        <w:rPr>
          <w:b/>
        </w:rPr>
        <w:t>а)</w:t>
      </w:r>
      <w:r w:rsidRPr="000845AB">
        <w:t xml:space="preserve"> с редакционными изменениями, соответствующими требованиями законодательства Приднестровской Молдавской Республики:</w:t>
      </w:r>
    </w:p>
    <w:p w:rsidR="00B26671" w:rsidRPr="000845AB" w:rsidRDefault="00B26671" w:rsidP="00D0580E">
      <w:pPr>
        <w:ind w:firstLine="505"/>
        <w:jc w:val="both"/>
        <w:rPr>
          <w:b/>
          <w:i/>
        </w:rPr>
      </w:pPr>
      <w:r w:rsidRPr="000845AB">
        <w:t xml:space="preserve">1) ГОСТ ПМР ГОСТ Р ИСО 8548-2-2016 «Протезирование и ортезирование. Дефекты конечностей. Часть 2. Метод описания ампутационной культи нижней конечности», гармонизированный </w:t>
      </w:r>
      <w:r w:rsidRPr="000845AB">
        <w:rPr>
          <w:lang w:val="en-US"/>
        </w:rPr>
        <w:t>c</w:t>
      </w:r>
      <w:r w:rsidRPr="000845AB">
        <w:t xml:space="preserve">  ГОСТ Р ИСО 8548-2-2011;</w:t>
      </w:r>
    </w:p>
    <w:p w:rsidR="00B26671" w:rsidRPr="000845AB" w:rsidRDefault="00B26671" w:rsidP="00D0580E">
      <w:pPr>
        <w:ind w:firstLine="505"/>
        <w:jc w:val="both"/>
        <w:rPr>
          <w:rFonts w:ascii="Arial" w:hAnsi="Arial" w:cs="Arial"/>
          <w:sz w:val="20"/>
          <w:szCs w:val="20"/>
        </w:rPr>
      </w:pPr>
      <w:r w:rsidRPr="000845AB">
        <w:t xml:space="preserve">2) ГОСТ ПМР ГОСТ Р ИСО 10328-2016 «Протезирование. Испытания конструкции протезов нижних конечностей. Требования и методы испытаний», гармонизированный </w:t>
      </w:r>
      <w:r w:rsidRPr="000845AB">
        <w:rPr>
          <w:lang w:val="en-US"/>
        </w:rPr>
        <w:t>c</w:t>
      </w:r>
      <w:r w:rsidRPr="000845AB">
        <w:t xml:space="preserve">  ГОСТ Р ИСО 10328-2007;</w:t>
      </w:r>
      <w:r w:rsidRPr="000845AB">
        <w:rPr>
          <w:rFonts w:ascii="Arial" w:hAnsi="Arial" w:cs="Arial"/>
          <w:sz w:val="20"/>
          <w:szCs w:val="20"/>
        </w:rPr>
        <w:t xml:space="preserve"> 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lastRenderedPageBreak/>
        <w:t xml:space="preserve">3) ГОСТ ПМР ГОСТ Р ИСО 13404-2016 «Протезирование и ортезирование. Классификация и описание наружных ортезов и их элементов», гармонизированный </w:t>
      </w:r>
      <w:r w:rsidRPr="000845AB">
        <w:rPr>
          <w:lang w:val="en-US"/>
        </w:rPr>
        <w:t>c</w:t>
      </w:r>
      <w:r w:rsidRPr="000845AB">
        <w:t xml:space="preserve">  ГОСТ Р ИСО 13404-2010;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  <w:rPr>
          <w:b/>
          <w:i/>
        </w:rPr>
      </w:pPr>
      <w:r w:rsidRPr="000845AB">
        <w:t xml:space="preserve">4) ГОСТ ПМР ГОСТ Р ИСО 13405-1-2016 «Протезирование и ортезирование. Классификация и описание узлов протезов. Часть 1. Классификация узлов протезов», гармонизированный </w:t>
      </w:r>
      <w:r w:rsidRPr="000845AB">
        <w:rPr>
          <w:lang w:val="en-US"/>
        </w:rPr>
        <w:t>c</w:t>
      </w:r>
      <w:r w:rsidRPr="000845AB">
        <w:t xml:space="preserve">  ГОСТ Р ИСО 13405-1-2001;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  <w:rPr>
          <w:b/>
          <w:i/>
        </w:rPr>
      </w:pPr>
      <w:r w:rsidRPr="000845AB">
        <w:t xml:space="preserve">5) ГОСТ ПМР ГОСТ Р ИСО 13405-2-2016 «Протезирование и ортезирование. Классификация и описание узлов протезов. Часть 2. Описание узлов протезов нижних конечностей», гармонизированный </w:t>
      </w:r>
      <w:r w:rsidRPr="000845AB">
        <w:rPr>
          <w:lang w:val="en-US"/>
        </w:rPr>
        <w:t>c</w:t>
      </w:r>
      <w:r w:rsidRPr="000845AB">
        <w:t xml:space="preserve"> ГОСТ Р ИСО 13405-2-2001;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t xml:space="preserve">6) ГОСТ ПМР ГОСТ Р ИСО 13405-3-2016 «Протезирование и ортезирование. Классификация и описание узлов протезов. Часть 3. Описание узлов протезов верхних конечностей», гармонизированный </w:t>
      </w:r>
      <w:r w:rsidRPr="000845AB">
        <w:rPr>
          <w:lang w:val="en-US"/>
        </w:rPr>
        <w:t>c</w:t>
      </w:r>
      <w:r w:rsidRPr="000845AB">
        <w:t xml:space="preserve"> ГОСТ Р ИСО 13405-3-2001;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  <w:rPr>
          <w:b/>
          <w:i/>
        </w:rPr>
      </w:pPr>
      <w:r w:rsidRPr="000845AB">
        <w:t xml:space="preserve">7) ГОСТ ПМР ГОСТ Р ИСО 15032-2016 «Протезы. Испытания конструкции тазобедренных узлов», гармонизированный </w:t>
      </w:r>
      <w:r w:rsidRPr="000845AB">
        <w:rPr>
          <w:lang w:val="en-US"/>
        </w:rPr>
        <w:t>c</w:t>
      </w:r>
      <w:r w:rsidRPr="000845AB">
        <w:t xml:space="preserve"> ГОСТ Р ИСО 15032-2001;</w:t>
      </w:r>
    </w:p>
    <w:p w:rsidR="00B26671" w:rsidRPr="000845AB" w:rsidRDefault="00B26671" w:rsidP="00D0580E">
      <w:pPr>
        <w:ind w:firstLine="505"/>
        <w:jc w:val="both"/>
      </w:pPr>
      <w:r w:rsidRPr="000845AB">
        <w:t xml:space="preserve">8) ГОСТ ПМР ГОСТ Р ИСО 22523-2016 «Протезы конечностей и ортезы наружные. Требования и методы испытаний», гармонизированный </w:t>
      </w:r>
      <w:r w:rsidRPr="000845AB">
        <w:rPr>
          <w:lang w:val="en-US"/>
        </w:rPr>
        <w:t>c</w:t>
      </w:r>
      <w:r w:rsidRPr="000845AB">
        <w:t xml:space="preserve"> ГОСТ Р ИСО 22523-2007;</w:t>
      </w:r>
    </w:p>
    <w:p w:rsidR="00B26671" w:rsidRPr="000845AB" w:rsidRDefault="00B26671" w:rsidP="00D0580E">
      <w:pPr>
        <w:ind w:firstLine="505"/>
        <w:jc w:val="both"/>
      </w:pPr>
      <w:r w:rsidRPr="000845AB">
        <w:t xml:space="preserve">9) ГОСТ ПМР ГОСТ Р ИСО 22675-2016 «Протезирование. Испытание голеностопных узлов и узлов стоп протезов нижних конечностей. Требования и методы испытаний», гармонизированный </w:t>
      </w:r>
      <w:r w:rsidRPr="000845AB">
        <w:rPr>
          <w:lang w:val="en-US"/>
        </w:rPr>
        <w:t>c</w:t>
      </w:r>
      <w:r w:rsidRPr="000845AB">
        <w:t xml:space="preserve"> ГОСТ Р ИСО 22675-2009;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  <w:rPr>
          <w:b/>
          <w:i/>
        </w:rPr>
      </w:pPr>
      <w:r w:rsidRPr="000845AB">
        <w:t xml:space="preserve">10) ГОСТ ПМР ГОСТ Р 50916-2016 «Восьмибитный код обмена и обработки информации для восьмиточечного представления символов в системе Брайля», гармонизированный </w:t>
      </w:r>
      <w:r w:rsidRPr="000845AB">
        <w:rPr>
          <w:lang w:val="en-US"/>
        </w:rPr>
        <w:t>c</w:t>
      </w:r>
      <w:r w:rsidRPr="000845AB">
        <w:t xml:space="preserve"> ГОСТ Р 50916-96;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t xml:space="preserve">11) ГОСТ ПМР ГОСТ Р 50918-2016 «Устройства отображения информации по системе шрифта Брайля. Общие технические условия», гармонизированный </w:t>
      </w:r>
      <w:r w:rsidRPr="000845AB">
        <w:rPr>
          <w:lang w:val="en-US"/>
        </w:rPr>
        <w:t>c</w:t>
      </w:r>
      <w:r w:rsidRPr="000845AB">
        <w:t xml:space="preserve"> ГОСТ Р 50918-96;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t xml:space="preserve">12) ГОСТ ПМР ГОСТ Р 51191-2016 «Узлы протезов нижних конечностей. Технические требования и методы испытаний», гармонизированный </w:t>
      </w:r>
      <w:r w:rsidRPr="000845AB">
        <w:rPr>
          <w:lang w:val="en-US"/>
        </w:rPr>
        <w:t>c</w:t>
      </w:r>
      <w:r w:rsidRPr="000845AB">
        <w:t xml:space="preserve"> ГОСТ Р 51191-2007</w:t>
      </w:r>
      <w:r w:rsidR="00252411" w:rsidRPr="000845AB">
        <w:t>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t>13) ГОСТ ПМР ГОСТ Р 53344-2016</w:t>
      </w:r>
      <w:r w:rsidR="00E64563" w:rsidRPr="000845AB">
        <w:t xml:space="preserve"> (ИСО 8548-1:1989) </w:t>
      </w:r>
      <w:r w:rsidRPr="000845AB">
        <w:t xml:space="preserve">«Протезирование и ортезирование. Дефекты конечностей. Часть 1. Метод описания врожденных дефектов конечностей», гармонизированный </w:t>
      </w:r>
      <w:r w:rsidRPr="000845AB">
        <w:rPr>
          <w:lang w:val="en-US"/>
        </w:rPr>
        <w:t>c</w:t>
      </w:r>
      <w:r w:rsidRPr="000845AB">
        <w:t xml:space="preserve"> ГОСТ Р 53344-2009</w:t>
      </w:r>
      <w:r w:rsidR="00E64563" w:rsidRPr="000845AB">
        <w:t xml:space="preserve"> (ИСО 8548-1:1989)</w:t>
      </w:r>
      <w:r w:rsidRPr="000845AB">
        <w:t>;</w:t>
      </w:r>
    </w:p>
    <w:p w:rsidR="00B26671" w:rsidRPr="000845AB" w:rsidRDefault="00B26671" w:rsidP="00D0580E">
      <w:pPr>
        <w:tabs>
          <w:tab w:val="left" w:pos="9498"/>
        </w:tabs>
        <w:ind w:right="-1" w:firstLine="505"/>
        <w:jc w:val="both"/>
      </w:pPr>
      <w:r w:rsidRPr="000845AB">
        <w:t xml:space="preserve">14) ГОСТ ПМР ГОСТ Р 53345-2016 </w:t>
      </w:r>
      <w:r w:rsidR="002D5B82" w:rsidRPr="000845AB">
        <w:t xml:space="preserve">(ИСО 8548-3:1989) </w:t>
      </w:r>
      <w:r w:rsidRPr="000845AB">
        <w:t xml:space="preserve">«Протезирование и ортезирование. Дефекты конечностей. Часть 3. Методы описания ампутационной культи верхней конечности», гармонизированный </w:t>
      </w:r>
      <w:r w:rsidRPr="000845AB">
        <w:rPr>
          <w:lang w:val="en-US"/>
        </w:rPr>
        <w:t>c</w:t>
      </w:r>
      <w:r w:rsidRPr="000845AB">
        <w:t xml:space="preserve"> ГОСТ Р 53345-2009</w:t>
      </w:r>
      <w:r w:rsidR="002D5B82" w:rsidRPr="000845AB">
        <w:t xml:space="preserve"> (ИСО 8548-3:19</w:t>
      </w:r>
      <w:r w:rsidR="009C2FC4" w:rsidRPr="000845AB">
        <w:t>93</w:t>
      </w:r>
      <w:r w:rsidR="002D5B82" w:rsidRPr="000845AB">
        <w:t>)</w:t>
      </w:r>
      <w:r w:rsidRPr="000845AB">
        <w:t>;</w:t>
      </w:r>
    </w:p>
    <w:p w:rsidR="00B26671" w:rsidRPr="000845AB" w:rsidRDefault="00B26671" w:rsidP="00D0580E">
      <w:pPr>
        <w:tabs>
          <w:tab w:val="center" w:pos="5173"/>
        </w:tabs>
        <w:ind w:left="0" w:firstLine="709"/>
        <w:jc w:val="both"/>
      </w:pPr>
      <w:r w:rsidRPr="000845AB">
        <w:rPr>
          <w:b/>
        </w:rPr>
        <w:t xml:space="preserve">б) </w:t>
      </w:r>
      <w:r w:rsidRPr="000845AB">
        <w:t>без редакционных изменений:</w:t>
      </w:r>
    </w:p>
    <w:p w:rsidR="00B26671" w:rsidRPr="000845AB" w:rsidRDefault="00B26671" w:rsidP="00D0580E">
      <w:pPr>
        <w:ind w:firstLine="505"/>
        <w:jc w:val="both"/>
      </w:pPr>
      <w:r w:rsidRPr="000845AB">
        <w:t xml:space="preserve">1) ГОСТ ПМР ГОСТ Р 34.303-2016 «Информационная технология. Наборы 8-битных кодированных символов. 8-битный код обмена и обработки информации», гармонизированный </w:t>
      </w:r>
      <w:r w:rsidRPr="000845AB">
        <w:rPr>
          <w:lang w:val="en-US"/>
        </w:rPr>
        <w:t>c</w:t>
      </w:r>
      <w:r w:rsidRPr="000845AB">
        <w:t xml:space="preserve"> ГОСТ Р 34.303-92;</w:t>
      </w:r>
    </w:p>
    <w:p w:rsidR="00B26671" w:rsidRPr="000845AB" w:rsidRDefault="00252411" w:rsidP="00D0580E">
      <w:pPr>
        <w:ind w:firstLine="505"/>
        <w:jc w:val="both"/>
      </w:pPr>
      <w:r w:rsidRPr="000845AB">
        <w:t>2</w:t>
      </w:r>
      <w:r w:rsidR="00B26671" w:rsidRPr="000845AB">
        <w:t xml:space="preserve">) ГОСТ ПМР ГОСТ Р ИСО 8549-2-2016 «Протезирование и ортезирование. Словарь. Часть 2. Термины, относящиеся к наружным протезам конечностей и их пользователям», гармонизированный </w:t>
      </w:r>
      <w:r w:rsidR="00B26671" w:rsidRPr="000845AB">
        <w:rPr>
          <w:lang w:val="en-US"/>
        </w:rPr>
        <w:t>c</w:t>
      </w:r>
      <w:r w:rsidR="00B26671" w:rsidRPr="000845AB">
        <w:t xml:space="preserve"> ГОСТ Р ИСО 8549-2-2013;</w:t>
      </w:r>
    </w:p>
    <w:p w:rsidR="00B26671" w:rsidRPr="000845AB" w:rsidRDefault="00252411" w:rsidP="00D0580E">
      <w:pPr>
        <w:ind w:firstLine="505"/>
        <w:jc w:val="both"/>
      </w:pPr>
      <w:r w:rsidRPr="000845AB">
        <w:t>3</w:t>
      </w:r>
      <w:r w:rsidR="00B26671" w:rsidRPr="000845AB">
        <w:t xml:space="preserve">) ГОСТ ПМР ГОСТ Р ИСО 8549-3-2016 «Протезирование и ортезирование. Словарь. Часть 3. Термины, относящиеся к наружным ортезам», гармонизированный </w:t>
      </w:r>
      <w:r w:rsidR="00B26671" w:rsidRPr="000845AB">
        <w:rPr>
          <w:lang w:val="en-US"/>
        </w:rPr>
        <w:t>c</w:t>
      </w:r>
      <w:r w:rsidR="00D51EF3" w:rsidRPr="000845AB">
        <w:t xml:space="preserve"> ГОСТ Р ИСО 8549-3-2011;</w:t>
      </w:r>
    </w:p>
    <w:p w:rsidR="00D51EF3" w:rsidRPr="000845AB" w:rsidRDefault="00252411" w:rsidP="00D51EF3">
      <w:pPr>
        <w:ind w:firstLine="505"/>
        <w:jc w:val="both"/>
      </w:pPr>
      <w:r w:rsidRPr="000845AB">
        <w:t>4</w:t>
      </w:r>
      <w:r w:rsidR="00D51EF3" w:rsidRPr="000845AB">
        <w:t xml:space="preserve">) ГОСТ ПМР ГОСТ Р 51819-2016 «Протезирование и ортезирование верхних и нижних конечностей. Термины и определения», гармонизированный </w:t>
      </w:r>
      <w:r w:rsidR="00D51EF3" w:rsidRPr="000845AB">
        <w:rPr>
          <w:lang w:val="en-US"/>
        </w:rPr>
        <w:t>c</w:t>
      </w:r>
      <w:r w:rsidR="00D51EF3" w:rsidRPr="000845AB">
        <w:t xml:space="preserve"> ГОСТ Р 51819-2001.</w:t>
      </w:r>
    </w:p>
    <w:p w:rsidR="008D6DA2" w:rsidRPr="00B44EF7" w:rsidRDefault="00A9374E" w:rsidP="008D6DA2">
      <w:pPr>
        <w:tabs>
          <w:tab w:val="center" w:pos="5173"/>
        </w:tabs>
        <w:ind w:left="0" w:firstLine="709"/>
        <w:jc w:val="both"/>
      </w:pPr>
      <w:r>
        <w:rPr>
          <w:b/>
        </w:rPr>
        <w:t>3</w:t>
      </w:r>
      <w:r w:rsidR="008D6DA2" w:rsidRPr="00B44EF7">
        <w:rPr>
          <w:b/>
        </w:rPr>
        <w:t>.</w:t>
      </w:r>
      <w:r w:rsidR="008D6DA2" w:rsidRPr="00B44EF7">
        <w:t xml:space="preserve"> В связи с введением в действие </w:t>
      </w:r>
      <w:r w:rsidR="000845AB" w:rsidRPr="00B44EF7">
        <w:t>ГОСТ 8.285-2013 «Государственная система обеспечения единства измерени</w:t>
      </w:r>
      <w:r w:rsidR="000845AB">
        <w:t xml:space="preserve">й. Тахометры. Методика поверки» </w:t>
      </w:r>
      <w:r w:rsidR="0063024B">
        <w:t>Приказом</w:t>
      </w:r>
      <w:r w:rsidR="008D6DA2">
        <w:t xml:space="preserve"> Министерства регионального развития № 621 </w:t>
      </w:r>
      <w:r w:rsidR="008D6DA2" w:rsidRPr="00B44EF7">
        <w:t>«О введении в действие нормативных документов по стандартизации на территории Приднестровской Молдавской Республики»</w:t>
      </w:r>
      <w:r w:rsidR="008D6DA2">
        <w:t xml:space="preserve"> от 15 августа 2016 года </w:t>
      </w:r>
      <w:r w:rsidR="008D6DA2" w:rsidRPr="00B44EF7">
        <w:t>(опубликование в газете «Приднестровье</w:t>
      </w:r>
      <w:r w:rsidR="008D6DA2">
        <w:t>» от 20 августа 2016 года № 153)</w:t>
      </w:r>
      <w:r w:rsidR="008D6DA2" w:rsidRPr="00B44EF7">
        <w:t>, отменить действие на территории Приднестровской Молда</w:t>
      </w:r>
      <w:r w:rsidR="008D6DA2">
        <w:t xml:space="preserve">вской Республики </w:t>
      </w:r>
      <w:r w:rsidR="008D6DA2" w:rsidRPr="008D6DA2">
        <w:t>ГОСТ ПМР ГОСТ Р 8.719-2012</w:t>
      </w:r>
      <w:r w:rsidR="008D6DA2" w:rsidRPr="00B44EF7">
        <w:t xml:space="preserve"> «</w:t>
      </w:r>
      <w:r w:rsidR="008D6DA2" w:rsidRPr="008D6DA2">
        <w:t>Государственная система обеспечения единства измерений. Тахометры. Методика поверки</w:t>
      </w:r>
      <w:r w:rsidR="008D6DA2" w:rsidRPr="00B44EF7">
        <w:t xml:space="preserve">», введенного в действие Приказом </w:t>
      </w:r>
      <w:r w:rsidRPr="00A9374E">
        <w:t xml:space="preserve">Государственной службы энергетики и жилищно-коммунального хозяйства </w:t>
      </w:r>
      <w:r w:rsidR="008D6DA2" w:rsidRPr="00B44EF7">
        <w:t>Приднестровской Молдавской Респу</w:t>
      </w:r>
      <w:r>
        <w:t xml:space="preserve">блики от 27 апреля </w:t>
      </w:r>
      <w:r>
        <w:lastRenderedPageBreak/>
        <w:t>2012 года № 46</w:t>
      </w:r>
      <w:r w:rsidR="008D6DA2" w:rsidRPr="00B44EF7">
        <w:t xml:space="preserve"> «О введении в действие нормативных документов по стандартизации на территории Приднестровской Молдавской Республики» (опубликование в газете «Приднестров</w:t>
      </w:r>
      <w:r>
        <w:t>ье» от 24 апреля 2012 года № 99</w:t>
      </w:r>
      <w:r w:rsidR="008D6DA2" w:rsidRPr="00B44EF7">
        <w:t>).</w:t>
      </w:r>
    </w:p>
    <w:p w:rsidR="00B26671" w:rsidRPr="00EE3D81" w:rsidRDefault="00A9374E" w:rsidP="00D0580E">
      <w:pPr>
        <w:ind w:left="0" w:firstLine="709"/>
        <w:jc w:val="both"/>
      </w:pPr>
      <w:r>
        <w:rPr>
          <w:b/>
        </w:rPr>
        <w:t>4</w:t>
      </w:r>
      <w:r w:rsidR="00B26671" w:rsidRPr="00551B5C">
        <w:rPr>
          <w:b/>
        </w:rPr>
        <w:t>.</w:t>
      </w:r>
      <w:r w:rsidR="00B26671" w:rsidRPr="00551B5C">
        <w:t xml:space="preserve"> На официальном сайте Министерства регионального развития Приднестровской Молдавской Республики (http://minregion.gospmr.org/) в двухнедельный срок</w:t>
      </w:r>
      <w:r w:rsidR="00B26671" w:rsidRPr="00EE3D81">
        <w:t xml:space="preserve"> со дня официального опубликования настоящего Приказа разместить тексты либо ссылки на сайты, содержащие тексты введенных стандартов, согласно пункт</w:t>
      </w:r>
      <w:r w:rsidR="00B26671">
        <w:t>ам</w:t>
      </w:r>
      <w:r w:rsidR="00B26671" w:rsidRPr="00EE3D81">
        <w:t xml:space="preserve"> 1 </w:t>
      </w:r>
      <w:r w:rsidR="00B26671">
        <w:t xml:space="preserve">и 2 </w:t>
      </w:r>
      <w:r w:rsidR="00B26671" w:rsidRPr="00EE3D81">
        <w:t>настоящего Приказа.</w:t>
      </w:r>
    </w:p>
    <w:p w:rsidR="005C0821" w:rsidRDefault="00C807BE" w:rsidP="001230D3">
      <w:pPr>
        <w:ind w:left="0" w:right="-1"/>
        <w:jc w:val="left"/>
      </w:pPr>
      <w:r>
        <w:rPr>
          <w:b/>
        </w:rPr>
        <w:tab/>
      </w:r>
      <w:r w:rsidR="00A9374E">
        <w:rPr>
          <w:b/>
        </w:rPr>
        <w:t>5</w:t>
      </w:r>
      <w:r w:rsidR="00B26671" w:rsidRPr="002B565D">
        <w:rPr>
          <w:b/>
        </w:rPr>
        <w:t>.</w:t>
      </w:r>
      <w:r w:rsidR="00B26671" w:rsidRPr="00EE3D81">
        <w:t xml:space="preserve"> Настоящий Приказ вступает в силу со дня, следующего за днем его официального опубликования в газете «Приднестровье».</w:t>
      </w:r>
      <w:permEnd w:id="1"/>
    </w:p>
    <w:p w:rsidR="00FB11CE" w:rsidRDefault="00FB11CE" w:rsidP="001230D3">
      <w:pPr>
        <w:ind w:left="0" w:right="622"/>
        <w:jc w:val="both"/>
      </w:pPr>
    </w:p>
    <w:p w:rsidR="00FB11CE" w:rsidRDefault="000735BE" w:rsidP="00C74C66">
      <w:pPr>
        <w:ind w:left="0" w:right="-1"/>
        <w:jc w:val="left"/>
      </w:pPr>
      <w:r>
        <w:t>М</w:t>
      </w:r>
      <w:r w:rsidR="00983289">
        <w:t>инистр</w:t>
      </w:r>
      <w:r w:rsidR="00C74C66">
        <w:t xml:space="preserve">                                                              </w:t>
      </w:r>
      <w:r w:rsidR="001230D3">
        <w:tab/>
      </w:r>
      <w:r w:rsidR="001230D3">
        <w:tab/>
      </w:r>
      <w:r w:rsidR="001230D3">
        <w:tab/>
      </w:r>
      <w:r w:rsidR="001230D3">
        <w:tab/>
      </w:r>
      <w:r w:rsidR="001230D3">
        <w:tab/>
        <w:t xml:space="preserve">        </w:t>
      </w:r>
      <w:r w:rsidR="00201698">
        <w:t>П.М. Гужев</w:t>
      </w:r>
    </w:p>
    <w:sectPr w:rsidR="00FB11CE" w:rsidSect="005C3289">
      <w:type w:val="continuous"/>
      <w:pgSz w:w="11906" w:h="16838"/>
      <w:pgMar w:top="567" w:right="567" w:bottom="1134" w:left="1701" w:header="709" w:footer="8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13F4" w:rsidRDefault="00AC13F4">
      <w:r>
        <w:separator/>
      </w:r>
    </w:p>
  </w:endnote>
  <w:endnote w:type="continuationSeparator" w:id="1">
    <w:p w:rsidR="00AC13F4" w:rsidRDefault="00AC1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13F4" w:rsidRDefault="00AC13F4">
      <w:r>
        <w:separator/>
      </w:r>
    </w:p>
  </w:footnote>
  <w:footnote w:type="continuationSeparator" w:id="1">
    <w:p w:rsidR="00AC13F4" w:rsidRDefault="00AC13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32301"/>
    <w:multiLevelType w:val="hybridMultilevel"/>
    <w:tmpl w:val="13E817C6"/>
    <w:lvl w:ilvl="0" w:tplc="66785F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2AD4B06"/>
    <w:multiLevelType w:val="hybridMultilevel"/>
    <w:tmpl w:val="F55EA29C"/>
    <w:lvl w:ilvl="0" w:tplc="6A76A0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DB01628"/>
    <w:multiLevelType w:val="hybridMultilevel"/>
    <w:tmpl w:val="5CC6B2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oNotTrackMoves/>
  <w:documentProtection w:edit="readOnly" w:enforcement="1"/>
  <w:defaultTabStop w:val="708"/>
  <w:drawingGridHorizontalSpacing w:val="120"/>
  <w:drawingGridVerticalSpacing w:val="28"/>
  <w:displayHorizontalDrawingGridEvery w:val="2"/>
  <w:characterSpacingControl w:val="doNotCompress"/>
  <w:hdrShapeDefaults>
    <o:shapedefaults v:ext="edit" spidmax="3789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637"/>
    <w:rsid w:val="000040A9"/>
    <w:rsid w:val="000050F2"/>
    <w:rsid w:val="00010871"/>
    <w:rsid w:val="00017B25"/>
    <w:rsid w:val="00021382"/>
    <w:rsid w:val="0002411F"/>
    <w:rsid w:val="00027D65"/>
    <w:rsid w:val="00032A2A"/>
    <w:rsid w:val="00043920"/>
    <w:rsid w:val="00043AF4"/>
    <w:rsid w:val="0004770D"/>
    <w:rsid w:val="0005488E"/>
    <w:rsid w:val="00054A1F"/>
    <w:rsid w:val="00063F05"/>
    <w:rsid w:val="0006413B"/>
    <w:rsid w:val="0006559A"/>
    <w:rsid w:val="000735BE"/>
    <w:rsid w:val="00083323"/>
    <w:rsid w:val="000845AB"/>
    <w:rsid w:val="00093E61"/>
    <w:rsid w:val="000A20A9"/>
    <w:rsid w:val="000A689D"/>
    <w:rsid w:val="000A739D"/>
    <w:rsid w:val="000C0739"/>
    <w:rsid w:val="000C23CE"/>
    <w:rsid w:val="000C7874"/>
    <w:rsid w:val="000D41FF"/>
    <w:rsid w:val="000D47C8"/>
    <w:rsid w:val="000E0E9F"/>
    <w:rsid w:val="000F48D4"/>
    <w:rsid w:val="001057BB"/>
    <w:rsid w:val="001134D2"/>
    <w:rsid w:val="0011409D"/>
    <w:rsid w:val="001145A1"/>
    <w:rsid w:val="0012288E"/>
    <w:rsid w:val="001230D3"/>
    <w:rsid w:val="00131B3C"/>
    <w:rsid w:val="00132442"/>
    <w:rsid w:val="00135AF9"/>
    <w:rsid w:val="001401E8"/>
    <w:rsid w:val="00151308"/>
    <w:rsid w:val="001544E4"/>
    <w:rsid w:val="001626FC"/>
    <w:rsid w:val="00170D61"/>
    <w:rsid w:val="00172D9D"/>
    <w:rsid w:val="0018264B"/>
    <w:rsid w:val="00185FF7"/>
    <w:rsid w:val="001862C2"/>
    <w:rsid w:val="00187325"/>
    <w:rsid w:val="0018743D"/>
    <w:rsid w:val="001A2230"/>
    <w:rsid w:val="001A3ADA"/>
    <w:rsid w:val="001A702B"/>
    <w:rsid w:val="001B15A8"/>
    <w:rsid w:val="001C1EFB"/>
    <w:rsid w:val="001C3962"/>
    <w:rsid w:val="001D0778"/>
    <w:rsid w:val="001D0DD6"/>
    <w:rsid w:val="001D65EB"/>
    <w:rsid w:val="001D7E76"/>
    <w:rsid w:val="001F1E81"/>
    <w:rsid w:val="001F3EFE"/>
    <w:rsid w:val="001F526E"/>
    <w:rsid w:val="001F748A"/>
    <w:rsid w:val="00201698"/>
    <w:rsid w:val="002068FA"/>
    <w:rsid w:val="0021241D"/>
    <w:rsid w:val="00214D34"/>
    <w:rsid w:val="00222F2E"/>
    <w:rsid w:val="002270A2"/>
    <w:rsid w:val="0023156E"/>
    <w:rsid w:val="00232B76"/>
    <w:rsid w:val="00250531"/>
    <w:rsid w:val="00250D11"/>
    <w:rsid w:val="00252411"/>
    <w:rsid w:val="002553BD"/>
    <w:rsid w:val="002607F4"/>
    <w:rsid w:val="00263D83"/>
    <w:rsid w:val="0027101E"/>
    <w:rsid w:val="00273612"/>
    <w:rsid w:val="0028757A"/>
    <w:rsid w:val="00292330"/>
    <w:rsid w:val="002A3E29"/>
    <w:rsid w:val="002B068A"/>
    <w:rsid w:val="002B305D"/>
    <w:rsid w:val="002B739F"/>
    <w:rsid w:val="002C5D6C"/>
    <w:rsid w:val="002C62B1"/>
    <w:rsid w:val="002D2EF7"/>
    <w:rsid w:val="002D42FD"/>
    <w:rsid w:val="002D5B82"/>
    <w:rsid w:val="002E2708"/>
    <w:rsid w:val="002F3208"/>
    <w:rsid w:val="002F3D57"/>
    <w:rsid w:val="003177E1"/>
    <w:rsid w:val="00322478"/>
    <w:rsid w:val="0033064C"/>
    <w:rsid w:val="003364DC"/>
    <w:rsid w:val="00354593"/>
    <w:rsid w:val="003569E8"/>
    <w:rsid w:val="00360689"/>
    <w:rsid w:val="00361974"/>
    <w:rsid w:val="00366101"/>
    <w:rsid w:val="00376829"/>
    <w:rsid w:val="00382937"/>
    <w:rsid w:val="00392FB5"/>
    <w:rsid w:val="003944AF"/>
    <w:rsid w:val="003A02AD"/>
    <w:rsid w:val="003E0308"/>
    <w:rsid w:val="003E0637"/>
    <w:rsid w:val="003E1AF2"/>
    <w:rsid w:val="003E75C6"/>
    <w:rsid w:val="00402B81"/>
    <w:rsid w:val="004174FA"/>
    <w:rsid w:val="00422041"/>
    <w:rsid w:val="00426025"/>
    <w:rsid w:val="00434D0F"/>
    <w:rsid w:val="00443BD8"/>
    <w:rsid w:val="00463388"/>
    <w:rsid w:val="00474DC8"/>
    <w:rsid w:val="004A4CB6"/>
    <w:rsid w:val="004A58E6"/>
    <w:rsid w:val="004A5E84"/>
    <w:rsid w:val="004A7286"/>
    <w:rsid w:val="004A78A5"/>
    <w:rsid w:val="004B0F20"/>
    <w:rsid w:val="004B4DED"/>
    <w:rsid w:val="004C2EED"/>
    <w:rsid w:val="004C68F8"/>
    <w:rsid w:val="004C6E5F"/>
    <w:rsid w:val="004D22C6"/>
    <w:rsid w:val="004D42D7"/>
    <w:rsid w:val="004E6A9E"/>
    <w:rsid w:val="00503612"/>
    <w:rsid w:val="005213FC"/>
    <w:rsid w:val="00525A12"/>
    <w:rsid w:val="00526E92"/>
    <w:rsid w:val="00540957"/>
    <w:rsid w:val="00545B75"/>
    <w:rsid w:val="0055104B"/>
    <w:rsid w:val="00551926"/>
    <w:rsid w:val="00557096"/>
    <w:rsid w:val="0056058F"/>
    <w:rsid w:val="00563CF1"/>
    <w:rsid w:val="00564C22"/>
    <w:rsid w:val="00574085"/>
    <w:rsid w:val="00577534"/>
    <w:rsid w:val="00581B28"/>
    <w:rsid w:val="0058460A"/>
    <w:rsid w:val="005B3380"/>
    <w:rsid w:val="005B6F82"/>
    <w:rsid w:val="005C0821"/>
    <w:rsid w:val="005C1C46"/>
    <w:rsid w:val="005C3289"/>
    <w:rsid w:val="005E247C"/>
    <w:rsid w:val="005E2FF6"/>
    <w:rsid w:val="005F55F3"/>
    <w:rsid w:val="005F6BCF"/>
    <w:rsid w:val="006264E9"/>
    <w:rsid w:val="00626C19"/>
    <w:rsid w:val="0063024B"/>
    <w:rsid w:val="0063027A"/>
    <w:rsid w:val="00630B53"/>
    <w:rsid w:val="006325B4"/>
    <w:rsid w:val="00634B8B"/>
    <w:rsid w:val="00640E9D"/>
    <w:rsid w:val="00644046"/>
    <w:rsid w:val="00647B5B"/>
    <w:rsid w:val="00647BD5"/>
    <w:rsid w:val="00650B3E"/>
    <w:rsid w:val="0065129A"/>
    <w:rsid w:val="00653655"/>
    <w:rsid w:val="00657938"/>
    <w:rsid w:val="00680A95"/>
    <w:rsid w:val="00683B21"/>
    <w:rsid w:val="00687B90"/>
    <w:rsid w:val="00692129"/>
    <w:rsid w:val="006A0C21"/>
    <w:rsid w:val="006B05C3"/>
    <w:rsid w:val="006B5BFC"/>
    <w:rsid w:val="006C26A2"/>
    <w:rsid w:val="006D3EA8"/>
    <w:rsid w:val="006F27EF"/>
    <w:rsid w:val="007027EA"/>
    <w:rsid w:val="00706C44"/>
    <w:rsid w:val="0072547E"/>
    <w:rsid w:val="007322F6"/>
    <w:rsid w:val="00735920"/>
    <w:rsid w:val="00737A78"/>
    <w:rsid w:val="00747A56"/>
    <w:rsid w:val="007515BD"/>
    <w:rsid w:val="007716D8"/>
    <w:rsid w:val="00786A88"/>
    <w:rsid w:val="007A0762"/>
    <w:rsid w:val="007A0A7D"/>
    <w:rsid w:val="007A2982"/>
    <w:rsid w:val="007D2F2B"/>
    <w:rsid w:val="007D4B70"/>
    <w:rsid w:val="007E0644"/>
    <w:rsid w:val="007F69E7"/>
    <w:rsid w:val="00807FB6"/>
    <w:rsid w:val="008116C0"/>
    <w:rsid w:val="008133E3"/>
    <w:rsid w:val="0081517D"/>
    <w:rsid w:val="008219D6"/>
    <w:rsid w:val="00851024"/>
    <w:rsid w:val="008510BD"/>
    <w:rsid w:val="00852B84"/>
    <w:rsid w:val="00862030"/>
    <w:rsid w:val="00873C20"/>
    <w:rsid w:val="008760E9"/>
    <w:rsid w:val="00895F18"/>
    <w:rsid w:val="008A376B"/>
    <w:rsid w:val="008A3B3B"/>
    <w:rsid w:val="008A4011"/>
    <w:rsid w:val="008A4B32"/>
    <w:rsid w:val="008B026D"/>
    <w:rsid w:val="008B118B"/>
    <w:rsid w:val="008C6E34"/>
    <w:rsid w:val="008D57BC"/>
    <w:rsid w:val="008D6DA2"/>
    <w:rsid w:val="00923523"/>
    <w:rsid w:val="00935452"/>
    <w:rsid w:val="00935E87"/>
    <w:rsid w:val="00940397"/>
    <w:rsid w:val="00940F0F"/>
    <w:rsid w:val="00951BD0"/>
    <w:rsid w:val="00952CC5"/>
    <w:rsid w:val="00957326"/>
    <w:rsid w:val="00957C1D"/>
    <w:rsid w:val="0097195D"/>
    <w:rsid w:val="009738E2"/>
    <w:rsid w:val="00975740"/>
    <w:rsid w:val="00982982"/>
    <w:rsid w:val="00983289"/>
    <w:rsid w:val="0098518E"/>
    <w:rsid w:val="009871CE"/>
    <w:rsid w:val="009A0646"/>
    <w:rsid w:val="009B1C24"/>
    <w:rsid w:val="009C2FC4"/>
    <w:rsid w:val="009D0576"/>
    <w:rsid w:val="009F4DEB"/>
    <w:rsid w:val="00A15255"/>
    <w:rsid w:val="00A335E0"/>
    <w:rsid w:val="00A416EF"/>
    <w:rsid w:val="00A46AA4"/>
    <w:rsid w:val="00A53092"/>
    <w:rsid w:val="00A566FC"/>
    <w:rsid w:val="00A60B23"/>
    <w:rsid w:val="00A63029"/>
    <w:rsid w:val="00A70118"/>
    <w:rsid w:val="00A70BB3"/>
    <w:rsid w:val="00A733D4"/>
    <w:rsid w:val="00A82D7A"/>
    <w:rsid w:val="00A83C5D"/>
    <w:rsid w:val="00A85C63"/>
    <w:rsid w:val="00A90ECC"/>
    <w:rsid w:val="00A91DE0"/>
    <w:rsid w:val="00A9374E"/>
    <w:rsid w:val="00A956FB"/>
    <w:rsid w:val="00A977B6"/>
    <w:rsid w:val="00AA2593"/>
    <w:rsid w:val="00AA30B0"/>
    <w:rsid w:val="00AA6362"/>
    <w:rsid w:val="00AA7E1C"/>
    <w:rsid w:val="00AB0D75"/>
    <w:rsid w:val="00AC13F4"/>
    <w:rsid w:val="00AC2C04"/>
    <w:rsid w:val="00AE37E4"/>
    <w:rsid w:val="00AE503B"/>
    <w:rsid w:val="00AF1FFD"/>
    <w:rsid w:val="00B003FC"/>
    <w:rsid w:val="00B03B28"/>
    <w:rsid w:val="00B129AD"/>
    <w:rsid w:val="00B22528"/>
    <w:rsid w:val="00B26671"/>
    <w:rsid w:val="00B44E32"/>
    <w:rsid w:val="00B46CC5"/>
    <w:rsid w:val="00B52AD8"/>
    <w:rsid w:val="00B74CB1"/>
    <w:rsid w:val="00B84FE0"/>
    <w:rsid w:val="00B945A2"/>
    <w:rsid w:val="00BA2313"/>
    <w:rsid w:val="00BA313D"/>
    <w:rsid w:val="00BB2CB5"/>
    <w:rsid w:val="00BC07FD"/>
    <w:rsid w:val="00BC55CC"/>
    <w:rsid w:val="00BD7C08"/>
    <w:rsid w:val="00BF1619"/>
    <w:rsid w:val="00BF6319"/>
    <w:rsid w:val="00C1090F"/>
    <w:rsid w:val="00C13C4D"/>
    <w:rsid w:val="00C16572"/>
    <w:rsid w:val="00C22FCE"/>
    <w:rsid w:val="00C33C86"/>
    <w:rsid w:val="00C42CAD"/>
    <w:rsid w:val="00C458D7"/>
    <w:rsid w:val="00C52A9A"/>
    <w:rsid w:val="00C546AB"/>
    <w:rsid w:val="00C7446D"/>
    <w:rsid w:val="00C74936"/>
    <w:rsid w:val="00C74C66"/>
    <w:rsid w:val="00C807BE"/>
    <w:rsid w:val="00C830BF"/>
    <w:rsid w:val="00C85D6E"/>
    <w:rsid w:val="00C9201B"/>
    <w:rsid w:val="00C92DE6"/>
    <w:rsid w:val="00C94F2E"/>
    <w:rsid w:val="00CA09CA"/>
    <w:rsid w:val="00CA5098"/>
    <w:rsid w:val="00CB7BB0"/>
    <w:rsid w:val="00CC2EAE"/>
    <w:rsid w:val="00CC71E8"/>
    <w:rsid w:val="00CD010A"/>
    <w:rsid w:val="00CE3E8F"/>
    <w:rsid w:val="00CE7B1B"/>
    <w:rsid w:val="00CF1EB4"/>
    <w:rsid w:val="00CF2756"/>
    <w:rsid w:val="00CF4ABC"/>
    <w:rsid w:val="00D23E62"/>
    <w:rsid w:val="00D51EF3"/>
    <w:rsid w:val="00D57E78"/>
    <w:rsid w:val="00D6227D"/>
    <w:rsid w:val="00D63F70"/>
    <w:rsid w:val="00D766CC"/>
    <w:rsid w:val="00D770B7"/>
    <w:rsid w:val="00D846DC"/>
    <w:rsid w:val="00D92CB3"/>
    <w:rsid w:val="00DA1E23"/>
    <w:rsid w:val="00DB330B"/>
    <w:rsid w:val="00DB623B"/>
    <w:rsid w:val="00DF7506"/>
    <w:rsid w:val="00E02F6F"/>
    <w:rsid w:val="00E048BA"/>
    <w:rsid w:val="00E34870"/>
    <w:rsid w:val="00E35C2E"/>
    <w:rsid w:val="00E50DDB"/>
    <w:rsid w:val="00E540B4"/>
    <w:rsid w:val="00E57121"/>
    <w:rsid w:val="00E5756F"/>
    <w:rsid w:val="00E61C37"/>
    <w:rsid w:val="00E64563"/>
    <w:rsid w:val="00E70532"/>
    <w:rsid w:val="00E77DF7"/>
    <w:rsid w:val="00E84B57"/>
    <w:rsid w:val="00E86EE9"/>
    <w:rsid w:val="00E9061D"/>
    <w:rsid w:val="00E93EF0"/>
    <w:rsid w:val="00EA5451"/>
    <w:rsid w:val="00ED5A4B"/>
    <w:rsid w:val="00EE5D00"/>
    <w:rsid w:val="00EF71B5"/>
    <w:rsid w:val="00F04F4C"/>
    <w:rsid w:val="00F23721"/>
    <w:rsid w:val="00F3759D"/>
    <w:rsid w:val="00F40814"/>
    <w:rsid w:val="00F51359"/>
    <w:rsid w:val="00F61D5A"/>
    <w:rsid w:val="00F64C87"/>
    <w:rsid w:val="00F759A9"/>
    <w:rsid w:val="00F75A6E"/>
    <w:rsid w:val="00F762C8"/>
    <w:rsid w:val="00F81B0C"/>
    <w:rsid w:val="00F84427"/>
    <w:rsid w:val="00FA7188"/>
    <w:rsid w:val="00FB11CE"/>
    <w:rsid w:val="00FB12B4"/>
    <w:rsid w:val="00FB25C5"/>
    <w:rsid w:val="00FC1B38"/>
    <w:rsid w:val="00FC238F"/>
    <w:rsid w:val="00FD09B5"/>
    <w:rsid w:val="00FD7E6D"/>
    <w:rsid w:val="00FE624C"/>
    <w:rsid w:val="00FF7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0BB3"/>
    <w:pPr>
      <w:ind w:left="204"/>
      <w:jc w:val="center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A4CB6"/>
    <w:rPr>
      <w:color w:val="0000FF"/>
      <w:u w:val="single"/>
    </w:rPr>
  </w:style>
  <w:style w:type="paragraph" w:styleId="a4">
    <w:name w:val="Block Text"/>
    <w:basedOn w:val="a"/>
    <w:rsid w:val="007A0A7D"/>
    <w:pPr>
      <w:widowControl w:val="0"/>
      <w:tabs>
        <w:tab w:val="left" w:pos="6237"/>
      </w:tabs>
      <w:spacing w:before="220" w:line="280" w:lineRule="auto"/>
      <w:ind w:left="2552" w:right="3402"/>
    </w:pPr>
    <w:rPr>
      <w:b/>
      <w:sz w:val="18"/>
      <w:szCs w:val="20"/>
    </w:rPr>
  </w:style>
  <w:style w:type="paragraph" w:styleId="a5">
    <w:name w:val="header"/>
    <w:basedOn w:val="a"/>
    <w:rsid w:val="00C42CAD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C42CAD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Татьяна"/>
    <w:basedOn w:val="a9"/>
    <w:rsid w:val="00F762C8"/>
    <w:rPr>
      <w:rFonts w:eastAsia="Calibri"/>
    </w:rPr>
  </w:style>
  <w:style w:type="paragraph" w:styleId="a9">
    <w:name w:val="Body Text"/>
    <w:basedOn w:val="a"/>
    <w:rsid w:val="00F762C8"/>
    <w:pPr>
      <w:spacing w:after="120"/>
    </w:pPr>
  </w:style>
  <w:style w:type="paragraph" w:customStyle="1" w:styleId="justify">
    <w:name w:val="justify"/>
    <w:basedOn w:val="a"/>
    <w:rsid w:val="00F762C8"/>
    <w:pPr>
      <w:spacing w:before="100" w:beforeAutospacing="1" w:after="100" w:afterAutospacing="1"/>
    </w:pPr>
    <w:rPr>
      <w:rFonts w:eastAsia="Calibri"/>
    </w:rPr>
  </w:style>
  <w:style w:type="paragraph" w:customStyle="1" w:styleId="2">
    <w:name w:val="Знак2 Знак Знак Знак"/>
    <w:basedOn w:val="a"/>
    <w:rsid w:val="0028757A"/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semiHidden/>
    <w:rsid w:val="00706C44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CA09CA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link w:val="ab"/>
    <w:rsid w:val="00CA09CA"/>
    <w:rPr>
      <w:sz w:val="24"/>
      <w:szCs w:val="24"/>
    </w:rPr>
  </w:style>
  <w:style w:type="table" w:styleId="ad">
    <w:name w:val="Table Grid"/>
    <w:basedOn w:val="a1"/>
    <w:rsid w:val="002B305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uiPriority w:val="99"/>
    <w:rsid w:val="00A63029"/>
    <w:rPr>
      <w:sz w:val="24"/>
      <w:szCs w:val="24"/>
    </w:rPr>
  </w:style>
  <w:style w:type="paragraph" w:customStyle="1" w:styleId="ae">
    <w:name w:val="Исполнитель"/>
    <w:basedOn w:val="a"/>
    <w:link w:val="af"/>
    <w:qFormat/>
    <w:rsid w:val="000F48D4"/>
    <w:pPr>
      <w:widowControl w:val="0"/>
      <w:shd w:val="clear" w:color="auto" w:fill="FFFFFF"/>
      <w:tabs>
        <w:tab w:val="left" w:leader="underscore" w:pos="1930"/>
        <w:tab w:val="left" w:leader="underscore" w:pos="3624"/>
      </w:tabs>
      <w:autoSpaceDE w:val="0"/>
      <w:autoSpaceDN w:val="0"/>
      <w:adjustRightInd w:val="0"/>
      <w:ind w:left="0"/>
      <w:jc w:val="left"/>
    </w:pPr>
    <w:rPr>
      <w:sz w:val="20"/>
      <w:szCs w:val="20"/>
      <w:lang/>
    </w:rPr>
  </w:style>
  <w:style w:type="character" w:customStyle="1" w:styleId="af">
    <w:name w:val="Исполнитель Знак"/>
    <w:link w:val="ae"/>
    <w:rsid w:val="000F48D4"/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322D-77F1-4F74-A392-D2662F1C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1057</Words>
  <Characters>6026</Characters>
  <Application>Microsoft Office Word</Application>
  <DocSecurity>8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МИНИСТРУЛ ИНДУСТРЕЙ                                      МІНІСТЕРСТВО ПРОМИСЛОВОСТІ</vt:lpstr>
    </vt:vector>
  </TitlesOfParts>
  <Company>MoBIL GROUP</Company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МИНИСТРУЛ ИНДУСТРЕЙ                                      МІНІСТЕРСТВО ПРОМИСЛОВОСТІ</dc:title>
  <dc:subject/>
  <dc:creator>admin</dc:creator>
  <cp:keywords/>
  <cp:lastModifiedBy>gorinchey</cp:lastModifiedBy>
  <cp:revision>17</cp:revision>
  <cp:lastPrinted>2015-04-16T14:30:00Z</cp:lastPrinted>
  <dcterms:created xsi:type="dcterms:W3CDTF">2016-04-11T11:05:00Z</dcterms:created>
  <dcterms:modified xsi:type="dcterms:W3CDTF">2016-10-28T05:30:00Z</dcterms:modified>
</cp:coreProperties>
</file>