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A11D37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EA19B3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</w:t>
            </w:r>
            <w:r w:rsidR="00EA19B3">
              <w:t>31 октября 2016 года</w:t>
            </w:r>
            <w:r>
              <w:t>___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EA19B3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="00EA19B3">
              <w:t>768</w:t>
            </w:r>
            <w:r>
              <w:t>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0908E4" w:rsidRDefault="000908E4" w:rsidP="00C46B84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</w:t>
            </w:r>
            <w:r w:rsidRPr="00EA67F5">
              <w:rPr>
                <w:b/>
                <w:i/>
              </w:rPr>
              <w:t xml:space="preserve">нормативных документов </w:t>
            </w:r>
          </w:p>
          <w:p w:rsidR="000908E4" w:rsidRDefault="000908E4" w:rsidP="00C46B84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EA67F5">
              <w:rPr>
                <w:b/>
                <w:i/>
              </w:rPr>
              <w:t>по стандартизации на территории</w:t>
            </w:r>
          </w:p>
          <w:p w:rsidR="001230D3" w:rsidRDefault="000908E4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EA19B3" w:rsidRDefault="00EA19B3" w:rsidP="008D57BC">
            <w:pPr>
              <w:ind w:left="33" w:right="-1"/>
              <w:rPr>
                <w:b/>
                <w:i/>
              </w:rPr>
            </w:pPr>
          </w:p>
          <w:p w:rsidR="00EA19B3" w:rsidRDefault="00EA19B3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газета «Приднестровье» от 9 ноября 2016 года № 207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0908E4" w:rsidRDefault="000908E4" w:rsidP="000908E4">
      <w:pPr>
        <w:ind w:left="0" w:right="-1" w:firstLine="709"/>
        <w:jc w:val="both"/>
      </w:pPr>
      <w:permStart w:id="1" w:edGrp="everyone"/>
      <w:r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 в целях актуализации нормативной базы стандартов в области информационных технологий, </w:t>
      </w:r>
      <w:r w:rsidRPr="00005FC9">
        <w:rPr>
          <w:b/>
        </w:rPr>
        <w:t>п р и к а з ы в а ю</w:t>
      </w:r>
      <w:r>
        <w:t>:</w:t>
      </w:r>
    </w:p>
    <w:p w:rsidR="000908E4" w:rsidRPr="00CD0C84" w:rsidRDefault="000908E4" w:rsidP="00005FC9">
      <w:pPr>
        <w:ind w:left="0" w:right="-1" w:firstLine="567"/>
        <w:jc w:val="both"/>
      </w:pPr>
      <w:r w:rsidRPr="00CD0C84">
        <w:rPr>
          <w:b/>
        </w:rPr>
        <w:t>1.</w:t>
      </w:r>
      <w:r w:rsidRPr="00CD0C84">
        <w:t xml:space="preserve"> Ввести в действие на территории Приднестровской Молдавской Республики, следующие государственные стандарты Приднестровской Молдавской Республики:</w:t>
      </w:r>
    </w:p>
    <w:p w:rsidR="000908E4" w:rsidRPr="00CD0C84" w:rsidRDefault="000908E4" w:rsidP="00005FC9">
      <w:pPr>
        <w:ind w:left="0" w:right="-1" w:firstLine="567"/>
        <w:jc w:val="both"/>
      </w:pPr>
      <w:r w:rsidRPr="00CD0C84">
        <w:rPr>
          <w:b/>
        </w:rPr>
        <w:t>а)</w:t>
      </w:r>
      <w:r w:rsidRPr="00CD0C84">
        <w:t xml:space="preserve"> с редакционными изменениями, соответствующими требованиями законодательства Приднестровской Молдавской Республики:</w:t>
      </w:r>
    </w:p>
    <w:p w:rsidR="000908E4" w:rsidRPr="002563F1" w:rsidRDefault="000908E4" w:rsidP="00005FC9">
      <w:pPr>
        <w:shd w:val="clear" w:color="auto" w:fill="FFFFFF"/>
        <w:tabs>
          <w:tab w:val="left" w:leader="underscore" w:pos="1930"/>
          <w:tab w:val="left" w:leader="underscore" w:pos="3624"/>
        </w:tabs>
        <w:ind w:left="-24" w:firstLine="567"/>
        <w:jc w:val="both"/>
      </w:pPr>
      <w:r w:rsidRPr="002563F1">
        <w:t>1) ГОСТ ПМР ГОСТ Р ИСО/МЭК 15408-1-2016 «Информационная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модель», гармонизированный с ГОСТ Р ИСО МЭК 15408-1-2012</w:t>
      </w:r>
      <w:r w:rsidR="00854DCC" w:rsidRPr="002563F1">
        <w:t>;</w:t>
      </w:r>
    </w:p>
    <w:p w:rsidR="000908E4" w:rsidRPr="002563F1" w:rsidRDefault="000908E4" w:rsidP="00005FC9">
      <w:pPr>
        <w:shd w:val="clear" w:color="auto" w:fill="FFFFFF"/>
        <w:tabs>
          <w:tab w:val="left" w:leader="underscore" w:pos="1930"/>
          <w:tab w:val="left" w:leader="underscore" w:pos="3624"/>
        </w:tabs>
        <w:ind w:left="-24" w:firstLine="567"/>
        <w:jc w:val="both"/>
      </w:pPr>
      <w:r w:rsidRPr="002563F1">
        <w:t>2) ГОСТ ПМР ГОСТ Р ИСО/МЭК 15408-2-2016 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гармонизированный с ГОСТ Р ИСО/МЭК 15408-2-2013</w:t>
      </w:r>
      <w:r w:rsidR="00854DCC" w:rsidRPr="002563F1">
        <w:t>;</w:t>
      </w:r>
    </w:p>
    <w:p w:rsidR="000908E4" w:rsidRPr="002563F1" w:rsidRDefault="000908E4" w:rsidP="00005FC9">
      <w:pPr>
        <w:shd w:val="clear" w:color="auto" w:fill="FFFFFF"/>
        <w:tabs>
          <w:tab w:val="left" w:leader="underscore" w:pos="1930"/>
          <w:tab w:val="left" w:leader="underscore" w:pos="3624"/>
        </w:tabs>
        <w:ind w:left="-24" w:firstLine="567"/>
        <w:jc w:val="both"/>
      </w:pPr>
      <w:r w:rsidRPr="002563F1">
        <w:t>3) ГОСТ ПМР ГОСТ Р ИСО/МЭК 15408-3-2016 «Информационная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безопасности», гармонизированный с ГОСТ Р ИСО/МЭК 15408-3-2013</w:t>
      </w:r>
      <w:r w:rsidR="00854DCC" w:rsidRPr="002563F1">
        <w:t>;</w:t>
      </w:r>
    </w:p>
    <w:p w:rsidR="000908E4" w:rsidRPr="002563F1" w:rsidRDefault="000908E4" w:rsidP="00005FC9">
      <w:pPr>
        <w:shd w:val="clear" w:color="auto" w:fill="FFFFFF"/>
        <w:tabs>
          <w:tab w:val="left" w:leader="underscore" w:pos="1930"/>
          <w:tab w:val="left" w:leader="underscore" w:pos="3624"/>
        </w:tabs>
        <w:ind w:left="-24" w:firstLine="567"/>
        <w:jc w:val="both"/>
      </w:pPr>
      <w:r w:rsidRPr="002563F1">
        <w:t>4) ГОСТ ПМР ГОСТ Р ИСО/МЭК 18045-2016 «Информационная технология. Методы и средства обеспечения безопасности. Методология оценки безопасности информационных технологий», гармонизированный с ГОСТ Р ИСО /МЭК 18045-2013</w:t>
      </w:r>
      <w:r w:rsidR="00854DCC" w:rsidRPr="002563F1">
        <w:t>;</w:t>
      </w:r>
    </w:p>
    <w:p w:rsidR="000908E4" w:rsidRPr="002563F1" w:rsidRDefault="000908E4" w:rsidP="00005FC9">
      <w:pPr>
        <w:shd w:val="clear" w:color="auto" w:fill="FFFFFF"/>
        <w:tabs>
          <w:tab w:val="left" w:leader="underscore" w:pos="1930"/>
          <w:tab w:val="left" w:leader="underscore" w:pos="3624"/>
        </w:tabs>
        <w:ind w:left="-24" w:firstLine="567"/>
        <w:jc w:val="both"/>
      </w:pPr>
      <w:r w:rsidRPr="002563F1">
        <w:lastRenderedPageBreak/>
        <w:t>5) ГОСТ ПМР ГОСТ Р 53532-2016 «Качество услуг связи. Показатели качества услуг телефонной связи в сети общего пользования. Общие требования», гармонизированный с ГОСТ Р 53532-2009</w:t>
      </w:r>
      <w:r w:rsidR="00854DCC" w:rsidRPr="002563F1">
        <w:t>;</w:t>
      </w:r>
    </w:p>
    <w:p w:rsidR="000908E4" w:rsidRPr="002563F1" w:rsidRDefault="000908E4" w:rsidP="00005FC9">
      <w:pPr>
        <w:shd w:val="clear" w:color="auto" w:fill="FFFFFF"/>
        <w:tabs>
          <w:tab w:val="left" w:leader="underscore" w:pos="1930"/>
          <w:tab w:val="left" w:leader="underscore" w:pos="3624"/>
        </w:tabs>
        <w:ind w:left="-24" w:firstLine="567"/>
        <w:jc w:val="both"/>
      </w:pPr>
      <w:r w:rsidRPr="002563F1">
        <w:rPr>
          <w:b/>
        </w:rPr>
        <w:t>б)</w:t>
      </w:r>
      <w:r w:rsidRPr="002563F1">
        <w:t xml:space="preserve"> без редакционных изменений:</w:t>
      </w:r>
    </w:p>
    <w:p w:rsidR="000908E4" w:rsidRPr="002563F1" w:rsidRDefault="000908E4" w:rsidP="00005FC9">
      <w:pPr>
        <w:ind w:left="0" w:right="-1" w:firstLine="567"/>
        <w:jc w:val="both"/>
      </w:pPr>
      <w:r w:rsidRPr="002563F1">
        <w:t>1) ГОСТ ПМР ГОСТ Р 50922-2016 «Защита информации. Основные термины и определения», гармонизированный с ГОСТ Р 50922-2006.</w:t>
      </w:r>
    </w:p>
    <w:p w:rsidR="000908E4" w:rsidRPr="00CD0C84" w:rsidRDefault="000908E4" w:rsidP="00005FC9">
      <w:pPr>
        <w:ind w:left="0" w:right="-1" w:firstLine="567"/>
        <w:jc w:val="both"/>
      </w:pPr>
      <w:r w:rsidRPr="00CD0C84">
        <w:rPr>
          <w:b/>
        </w:rPr>
        <w:t>2.</w:t>
      </w:r>
      <w:r w:rsidRPr="00CD0C84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пункту 1 настоящего Приказа.</w:t>
      </w:r>
    </w:p>
    <w:p w:rsidR="000908E4" w:rsidRPr="00CD0C84" w:rsidRDefault="000908E4" w:rsidP="00005FC9">
      <w:pPr>
        <w:ind w:left="0" w:right="-1" w:firstLine="567"/>
        <w:jc w:val="both"/>
      </w:pPr>
      <w:r w:rsidRPr="00CD0C84">
        <w:rPr>
          <w:b/>
        </w:rPr>
        <w:t>3.</w:t>
      </w:r>
      <w:r w:rsidRPr="00CD0C84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201698" w:rsidRDefault="00201698" w:rsidP="001230D3">
      <w:pPr>
        <w:ind w:left="0" w:right="-1"/>
        <w:jc w:val="left"/>
      </w:pPr>
    </w:p>
    <w:p w:rsidR="00201698" w:rsidRDefault="00201698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0908E4" w:rsidRDefault="000908E4" w:rsidP="001230D3">
      <w:pPr>
        <w:ind w:left="0" w:right="-1"/>
        <w:jc w:val="left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28"/>
      </w:tblGrid>
      <w:tr w:rsidR="000908E4" w:rsidTr="00C46B84">
        <w:trPr>
          <w:jc w:val="center"/>
        </w:trPr>
        <w:tc>
          <w:tcPr>
            <w:tcW w:w="9428" w:type="dxa"/>
          </w:tcPr>
          <w:p w:rsidR="000908E4" w:rsidRPr="004015DB" w:rsidRDefault="000908E4" w:rsidP="00C46B84">
            <w:pPr>
              <w:widowControl w:val="0"/>
              <w:jc w:val="both"/>
              <w:rPr>
                <w:color w:val="000000"/>
              </w:rPr>
            </w:pPr>
          </w:p>
        </w:tc>
      </w:tr>
      <w:tr w:rsidR="000908E4" w:rsidTr="00C46B84">
        <w:trPr>
          <w:jc w:val="center"/>
        </w:trPr>
        <w:tc>
          <w:tcPr>
            <w:tcW w:w="9428" w:type="dxa"/>
          </w:tcPr>
          <w:p w:rsidR="000908E4" w:rsidRPr="003D2530" w:rsidRDefault="000908E4" w:rsidP="00C46B84">
            <w:pPr>
              <w:pStyle w:val="ae"/>
              <w:rPr>
                <w:lang w:val="ru-RU" w:eastAsia="ru-RU"/>
              </w:rPr>
            </w:pPr>
          </w:p>
        </w:tc>
      </w:tr>
    </w:tbl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30" w:rsidRDefault="003D2530">
      <w:r>
        <w:separator/>
      </w:r>
    </w:p>
  </w:endnote>
  <w:endnote w:type="continuationSeparator" w:id="1">
    <w:p w:rsidR="003D2530" w:rsidRDefault="003D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30" w:rsidRDefault="003D2530">
      <w:r>
        <w:separator/>
      </w:r>
    </w:p>
  </w:footnote>
  <w:footnote w:type="continuationSeparator" w:id="1">
    <w:p w:rsidR="003D2530" w:rsidRDefault="003D2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05596"/>
    <w:rsid w:val="00005FC9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08E4"/>
    <w:rsid w:val="00093E61"/>
    <w:rsid w:val="000A20A9"/>
    <w:rsid w:val="000A27F4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563F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DF3"/>
    <w:rsid w:val="00392FB5"/>
    <w:rsid w:val="003944AF"/>
    <w:rsid w:val="003A02AD"/>
    <w:rsid w:val="003D2530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54DCC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379B"/>
    <w:rsid w:val="0098518E"/>
    <w:rsid w:val="009871CE"/>
    <w:rsid w:val="009B1C24"/>
    <w:rsid w:val="00A11D37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12BA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B6CC3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534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A19B3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525</Words>
  <Characters>2998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7</cp:revision>
  <cp:lastPrinted>2016-10-31T07:20:00Z</cp:lastPrinted>
  <dcterms:created xsi:type="dcterms:W3CDTF">2016-04-11T11:05:00Z</dcterms:created>
  <dcterms:modified xsi:type="dcterms:W3CDTF">2016-11-10T09:04:00Z</dcterms:modified>
</cp:coreProperties>
</file>