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106F1C" w:rsidRDefault="00B80E3F" w:rsidP="0085602B">
      <w:pPr>
        <w:spacing w:after="0" w:line="240" w:lineRule="auto"/>
        <w:rPr>
          <w:rFonts w:ascii="Times New Roman" w:hAnsi="Times New Roman" w:cs="Times New Roman"/>
          <w:b/>
        </w:rPr>
      </w:pPr>
      <w:r w:rsidRPr="00B80E3F">
        <w:rPr>
          <w:rFonts w:ascii="Times New Roman" w:hAnsi="Times New Roman" w:cs="Times New Roman"/>
          <w:b/>
          <w:u w:val="single"/>
        </w:rPr>
        <w:t>14</w:t>
      </w:r>
      <w:r w:rsidRPr="00106F1C">
        <w:rPr>
          <w:rFonts w:ascii="Times New Roman" w:hAnsi="Times New Roman" w:cs="Times New Roman"/>
          <w:b/>
          <w:u w:val="single"/>
        </w:rPr>
        <w:t xml:space="preserve"> </w:t>
      </w:r>
      <w:r w:rsidRPr="00B80E3F">
        <w:rPr>
          <w:rFonts w:ascii="Times New Roman" w:hAnsi="Times New Roman" w:cs="Times New Roman"/>
          <w:b/>
          <w:u w:val="single"/>
        </w:rPr>
        <w:t>декабря 2020 года</w:t>
      </w:r>
      <w:r w:rsidR="00F010FF" w:rsidRPr="00B80E3F">
        <w:rPr>
          <w:rFonts w:ascii="Times New Roman" w:hAnsi="Times New Roman" w:cs="Times New Roman"/>
          <w:b/>
          <w:u w:val="single"/>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proofErr w:type="gramStart"/>
      <w:r w:rsidR="00F010FF" w:rsidRPr="00B25EFD">
        <w:rPr>
          <w:rFonts w:ascii="Times New Roman" w:hAnsi="Times New Roman" w:cs="Times New Roman"/>
          <w:b/>
        </w:rPr>
        <w:t xml:space="preserve">№ </w:t>
      </w:r>
      <w:r w:rsidRPr="00106F1C">
        <w:rPr>
          <w:rFonts w:ascii="Times New Roman" w:hAnsi="Times New Roman" w:cs="Times New Roman"/>
          <w:b/>
        </w:rPr>
        <w:t xml:space="preserve"> 999</w:t>
      </w:r>
      <w:proofErr w:type="gramEnd"/>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3E02" w:rsidRDefault="00813E02" w:rsidP="00813E02">
      <w:pPr>
        <w:widowControl w:val="0"/>
        <w:autoSpaceDE w:val="0"/>
        <w:autoSpaceDN w:val="0"/>
        <w:adjustRightInd w:val="0"/>
        <w:spacing w:after="0" w:line="240" w:lineRule="auto"/>
        <w:jc w:val="center"/>
        <w:rPr>
          <w:rFonts w:ascii="Times New Roman" w:hAnsi="Times New Roman" w:cs="Times New Roman"/>
          <w:b/>
          <w:i/>
          <w:sz w:val="23"/>
          <w:szCs w:val="23"/>
        </w:rPr>
      </w:pPr>
      <w:r w:rsidRPr="00F52CFD">
        <w:rPr>
          <w:rFonts w:ascii="Times New Roman" w:hAnsi="Times New Roman" w:cs="Times New Roman"/>
          <w:b/>
          <w:i/>
          <w:sz w:val="23"/>
          <w:szCs w:val="23"/>
        </w:rPr>
        <w:t>О введении в действие нормативных</w:t>
      </w:r>
      <w:r w:rsidR="00106F1C" w:rsidRPr="00106F1C">
        <w:rPr>
          <w:rFonts w:ascii="Times New Roman" w:hAnsi="Times New Roman" w:cs="Times New Roman"/>
          <w:b/>
          <w:i/>
          <w:sz w:val="23"/>
          <w:szCs w:val="23"/>
        </w:rPr>
        <w:t xml:space="preserve"> </w:t>
      </w:r>
      <w:r w:rsidRPr="00F52CFD">
        <w:rPr>
          <w:rFonts w:ascii="Times New Roman" w:hAnsi="Times New Roman" w:cs="Times New Roman"/>
          <w:b/>
          <w:i/>
          <w:sz w:val="23"/>
          <w:szCs w:val="23"/>
        </w:rPr>
        <w:t>документов по стандартизации</w:t>
      </w:r>
    </w:p>
    <w:p w:rsidR="00813E02" w:rsidRDefault="00813E02" w:rsidP="00813E02">
      <w:pPr>
        <w:widowControl w:val="0"/>
        <w:autoSpaceDE w:val="0"/>
        <w:autoSpaceDN w:val="0"/>
        <w:adjustRightInd w:val="0"/>
        <w:spacing w:after="0" w:line="240" w:lineRule="auto"/>
        <w:jc w:val="center"/>
        <w:rPr>
          <w:rFonts w:ascii="Times New Roman" w:hAnsi="Times New Roman" w:cs="Times New Roman"/>
          <w:b/>
          <w:i/>
          <w:sz w:val="23"/>
          <w:szCs w:val="23"/>
        </w:rPr>
      </w:pPr>
      <w:r w:rsidRPr="00F52CFD">
        <w:rPr>
          <w:rFonts w:ascii="Times New Roman" w:hAnsi="Times New Roman" w:cs="Times New Roman"/>
          <w:b/>
          <w:i/>
          <w:sz w:val="23"/>
          <w:szCs w:val="23"/>
        </w:rPr>
        <w:t xml:space="preserve"> на </w:t>
      </w:r>
      <w:proofErr w:type="spellStart"/>
      <w:r w:rsidRPr="00F52CFD">
        <w:rPr>
          <w:rFonts w:ascii="Times New Roman" w:hAnsi="Times New Roman" w:cs="Times New Roman"/>
          <w:b/>
          <w:i/>
          <w:sz w:val="23"/>
          <w:szCs w:val="23"/>
        </w:rPr>
        <w:t>территорииПриднестровской</w:t>
      </w:r>
      <w:proofErr w:type="spellEnd"/>
      <w:r w:rsidRPr="00F52CFD">
        <w:rPr>
          <w:rFonts w:ascii="Times New Roman" w:hAnsi="Times New Roman" w:cs="Times New Roman"/>
          <w:b/>
          <w:i/>
          <w:sz w:val="23"/>
          <w:szCs w:val="23"/>
        </w:rPr>
        <w:t xml:space="preserve"> Молдавской Республики</w:t>
      </w:r>
    </w:p>
    <w:p w:rsidR="00B80E3F" w:rsidRDefault="00B80E3F" w:rsidP="00813E02">
      <w:pPr>
        <w:widowControl w:val="0"/>
        <w:autoSpaceDE w:val="0"/>
        <w:autoSpaceDN w:val="0"/>
        <w:adjustRightInd w:val="0"/>
        <w:spacing w:after="0" w:line="240" w:lineRule="auto"/>
        <w:jc w:val="center"/>
        <w:rPr>
          <w:rFonts w:ascii="Times New Roman" w:hAnsi="Times New Roman" w:cs="Times New Roman"/>
          <w:b/>
          <w:i/>
          <w:sz w:val="23"/>
          <w:szCs w:val="23"/>
        </w:rPr>
      </w:pPr>
    </w:p>
    <w:p w:rsidR="00B80E3F" w:rsidRPr="00B80E3F" w:rsidRDefault="00B80E3F" w:rsidP="00B80E3F">
      <w:pPr>
        <w:widowControl w:val="0"/>
        <w:autoSpaceDE w:val="0"/>
        <w:autoSpaceDN w:val="0"/>
        <w:adjustRightInd w:val="0"/>
        <w:spacing w:after="0" w:line="240" w:lineRule="auto"/>
        <w:jc w:val="center"/>
        <w:rPr>
          <w:rStyle w:val="a8"/>
          <w:rFonts w:ascii="Times New Roman" w:hAnsi="Times New Roman" w:cs="Times New Roman"/>
          <w:b/>
          <w:sz w:val="23"/>
          <w:szCs w:val="23"/>
        </w:rPr>
      </w:pPr>
      <w:r w:rsidRPr="00B80E3F">
        <w:rPr>
          <w:rStyle w:val="a8"/>
          <w:rFonts w:ascii="Times New Roman" w:hAnsi="Times New Roman" w:cs="Times New Roman"/>
          <w:b/>
          <w:sz w:val="23"/>
          <w:szCs w:val="23"/>
        </w:rPr>
        <w:t>(опубликование в газете «Приднестровье» от 24.12.2020 года № 236)</w:t>
      </w:r>
    </w:p>
    <w:p w:rsidR="00813E02" w:rsidRPr="00B80E3F" w:rsidRDefault="00813E02" w:rsidP="00813E02">
      <w:pPr>
        <w:autoSpaceDE w:val="0"/>
        <w:autoSpaceDN w:val="0"/>
        <w:adjustRightInd w:val="0"/>
        <w:spacing w:after="0" w:line="240" w:lineRule="auto"/>
        <w:ind w:firstLine="709"/>
        <w:jc w:val="both"/>
        <w:rPr>
          <w:rFonts w:ascii="Times New Roman" w:hAnsi="Times New Roman" w:cs="Times New Roman"/>
          <w:i/>
          <w:color w:val="000000"/>
          <w:sz w:val="23"/>
          <w:szCs w:val="23"/>
        </w:rPr>
      </w:pPr>
    </w:p>
    <w:p w:rsidR="00F37BCB" w:rsidRPr="00AA5D55" w:rsidRDefault="00813E02" w:rsidP="00AA5D55">
      <w:pPr>
        <w:tabs>
          <w:tab w:val="left" w:pos="567"/>
        </w:tabs>
        <w:spacing w:after="0" w:line="240" w:lineRule="auto"/>
        <w:ind w:firstLine="567"/>
        <w:jc w:val="both"/>
        <w:rPr>
          <w:rFonts w:ascii="Times New Roman" w:eastAsia="Times New Roman" w:hAnsi="Times New Roman" w:cs="Times New Roman"/>
          <w:sz w:val="23"/>
          <w:szCs w:val="23"/>
        </w:rPr>
      </w:pPr>
      <w:r w:rsidRPr="00F52CFD">
        <w:rPr>
          <w:rFonts w:ascii="Times New Roman" w:eastAsia="Times New Roman" w:hAnsi="Times New Roman" w:cs="Times New Roman"/>
          <w:sz w:val="23"/>
          <w:szCs w:val="23"/>
        </w:rPr>
        <w:t xml:space="preserve">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00AA5D55" w:rsidRPr="00AA5D55">
        <w:rPr>
          <w:rFonts w:ascii="Times New Roman" w:eastAsia="Times New Roman" w:hAnsi="Times New Roman" w:cs="Times New Roman"/>
          <w:sz w:val="24"/>
          <w:szCs w:val="24"/>
        </w:rPr>
        <w:t>и на основании ходатайства ГУ "Центр по контролю за медико-фармацевтической продукцией" от 28 сентября 2020 года № 01-26/10526, а также в целях актуализации нормативной базы стандартов</w:t>
      </w:r>
      <w:r w:rsidRPr="00AA5D55">
        <w:rPr>
          <w:rFonts w:ascii="Times New Roman" w:hAnsi="Times New Roman" w:cs="Times New Roman"/>
          <w:sz w:val="23"/>
          <w:szCs w:val="23"/>
        </w:rPr>
        <w:t>,</w:t>
      </w:r>
      <w:r w:rsidRPr="00F52CFD">
        <w:rPr>
          <w:rFonts w:ascii="Times New Roman" w:eastAsia="Times New Roman" w:hAnsi="Times New Roman" w:cs="Times New Roman"/>
          <w:b/>
          <w:sz w:val="23"/>
          <w:szCs w:val="23"/>
        </w:rPr>
        <w:t>п р и к а з ы в а ю</w:t>
      </w:r>
      <w:r w:rsidRPr="00F52CFD">
        <w:rPr>
          <w:rFonts w:ascii="Times New Roman" w:eastAsia="Times New Roman" w:hAnsi="Times New Roman" w:cs="Times New Roman"/>
          <w:sz w:val="23"/>
          <w:szCs w:val="23"/>
        </w:rPr>
        <w:t>:</w:t>
      </w:r>
    </w:p>
    <w:p w:rsidR="00813E02" w:rsidRPr="00556C13" w:rsidRDefault="00813E02" w:rsidP="00813E02">
      <w:pPr>
        <w:tabs>
          <w:tab w:val="left" w:pos="567"/>
        </w:tabs>
        <w:spacing w:after="0" w:line="240" w:lineRule="auto"/>
        <w:ind w:firstLine="567"/>
        <w:jc w:val="both"/>
        <w:rPr>
          <w:rFonts w:ascii="Times New Roman" w:eastAsia="Times New Roman" w:hAnsi="Times New Roman" w:cs="Times New Roman"/>
          <w:sz w:val="24"/>
          <w:szCs w:val="24"/>
        </w:rPr>
      </w:pPr>
      <w:r w:rsidRPr="00556C13">
        <w:rPr>
          <w:rFonts w:ascii="Times New Roman" w:eastAsia="Times New Roman" w:hAnsi="Times New Roman" w:cs="Times New Roman"/>
          <w:sz w:val="24"/>
          <w:szCs w:val="24"/>
        </w:rPr>
        <w:t xml:space="preserve">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813E02" w:rsidRPr="00556C13" w:rsidRDefault="00813E02" w:rsidP="00813E02">
      <w:pPr>
        <w:tabs>
          <w:tab w:val="center" w:pos="5173"/>
        </w:tabs>
        <w:spacing w:after="0" w:line="240" w:lineRule="auto"/>
        <w:ind w:firstLine="567"/>
        <w:jc w:val="both"/>
        <w:rPr>
          <w:rFonts w:ascii="Times New Roman" w:eastAsia="Times New Roman" w:hAnsi="Times New Roman" w:cs="Times New Roman"/>
          <w:sz w:val="24"/>
          <w:szCs w:val="24"/>
        </w:rPr>
      </w:pPr>
      <w:r w:rsidRPr="00556C13">
        <w:rPr>
          <w:rFonts w:ascii="Times New Roman" w:eastAsia="Times New Roman" w:hAnsi="Times New Roman" w:cs="Times New Roman"/>
          <w:sz w:val="24"/>
          <w:szCs w:val="24"/>
        </w:rPr>
        <w:t>а) без редакционных изменений:</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1) ГОСТ ISO 188-2013 «Резина и термоэластопласты. Испытания на ускоренное старение и теплостойкость»;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2) </w:t>
      </w:r>
      <w:hyperlink r:id="rId7" w:history="1">
        <w:r w:rsidRPr="00556C13">
          <w:rPr>
            <w:rFonts w:ascii="Times New Roman" w:hAnsi="Times New Roman" w:cs="Times New Roman"/>
            <w:sz w:val="24"/>
            <w:szCs w:val="24"/>
          </w:rPr>
          <w:t>ГОСТ ISO 247-2013</w:t>
        </w:r>
      </w:hyperlink>
      <w:r w:rsidRPr="00556C13">
        <w:rPr>
          <w:rFonts w:ascii="Times New Roman" w:hAnsi="Times New Roman" w:cs="Times New Roman"/>
          <w:sz w:val="24"/>
          <w:szCs w:val="24"/>
        </w:rPr>
        <w:t xml:space="preserve"> «Каучук и резина. Определение золы»;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3) </w:t>
      </w:r>
      <w:hyperlink r:id="rId8" w:history="1">
        <w:r w:rsidRPr="00556C13">
          <w:rPr>
            <w:rFonts w:ascii="Times New Roman" w:hAnsi="Times New Roman" w:cs="Times New Roman"/>
            <w:sz w:val="24"/>
            <w:szCs w:val="24"/>
          </w:rPr>
          <w:t>ГОСТ ISO 248-1-2013</w:t>
        </w:r>
      </w:hyperlink>
      <w:r w:rsidRPr="00556C13">
        <w:rPr>
          <w:rFonts w:ascii="Times New Roman" w:hAnsi="Times New Roman" w:cs="Times New Roman"/>
          <w:sz w:val="24"/>
          <w:szCs w:val="24"/>
        </w:rPr>
        <w:t xml:space="preserve"> «Каучук. Определение содержания летучих веществ. Часть 1. Метод горячего вальцевания и метод с использованием термостата»; </w:t>
      </w:r>
    </w:p>
    <w:p w:rsidR="00813E02" w:rsidRPr="00556C13" w:rsidRDefault="00813E02" w:rsidP="00813E02">
      <w:pPr>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4) ГОСТ ISO 2322-2018 «Каучук бутадиен-стирольный (SBR) эмульсионной и растворной полимеризации. Методы оценки»;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5) ГОСТ 32770-2014 «Добавки пищевые. Эмульгаторы пищевых продуктов. Термины и определения»;</w:t>
      </w:r>
    </w:p>
    <w:p w:rsidR="00813E02" w:rsidRPr="00556C13" w:rsidRDefault="00FB2463" w:rsidP="00813E02">
      <w:pPr>
        <w:autoSpaceDE w:val="0"/>
        <w:autoSpaceDN w:val="0"/>
        <w:adjustRightInd w:val="0"/>
        <w:spacing w:after="0" w:line="240" w:lineRule="auto"/>
        <w:ind w:firstLine="567"/>
        <w:jc w:val="both"/>
        <w:rPr>
          <w:rFonts w:ascii="Times New Roman" w:hAnsi="Times New Roman" w:cs="Times New Roman"/>
          <w:sz w:val="24"/>
          <w:szCs w:val="24"/>
        </w:rPr>
      </w:pPr>
      <w:r w:rsidRPr="00106F1C">
        <w:rPr>
          <w:rFonts w:ascii="Times New Roman" w:hAnsi="Times New Roman" w:cs="Times New Roman"/>
          <w:sz w:val="24"/>
          <w:szCs w:val="24"/>
        </w:rPr>
        <w:t>6</w:t>
      </w:r>
      <w:r w:rsidR="00813E02" w:rsidRPr="00556C13">
        <w:rPr>
          <w:rFonts w:ascii="Times New Roman" w:hAnsi="Times New Roman" w:cs="Times New Roman"/>
          <w:sz w:val="24"/>
          <w:szCs w:val="24"/>
        </w:rPr>
        <w:t xml:space="preserve">) ГОСТ 33070-2014 «Перчатки медицинские. Методы определения остаточного </w:t>
      </w:r>
      <w:proofErr w:type="spellStart"/>
      <w:r w:rsidR="00813E02" w:rsidRPr="00556C13">
        <w:rPr>
          <w:rFonts w:ascii="Times New Roman" w:hAnsi="Times New Roman" w:cs="Times New Roman"/>
          <w:sz w:val="24"/>
          <w:szCs w:val="24"/>
        </w:rPr>
        <w:t>опудривающего</w:t>
      </w:r>
      <w:proofErr w:type="spellEnd"/>
      <w:r w:rsidR="00813E02" w:rsidRPr="00556C13">
        <w:rPr>
          <w:rFonts w:ascii="Times New Roman" w:hAnsi="Times New Roman" w:cs="Times New Roman"/>
          <w:sz w:val="24"/>
          <w:szCs w:val="24"/>
        </w:rPr>
        <w:t xml:space="preserve"> вещества»;</w:t>
      </w:r>
    </w:p>
    <w:p w:rsidR="00813E02" w:rsidRPr="00556C13" w:rsidRDefault="00FB2463" w:rsidP="00813E02">
      <w:pPr>
        <w:spacing w:after="0" w:line="240" w:lineRule="auto"/>
        <w:ind w:firstLine="567"/>
        <w:jc w:val="both"/>
        <w:rPr>
          <w:rFonts w:ascii="Times New Roman" w:hAnsi="Times New Roman" w:cs="Times New Roman"/>
          <w:sz w:val="24"/>
          <w:szCs w:val="24"/>
        </w:rPr>
      </w:pPr>
      <w:r w:rsidRPr="00106F1C">
        <w:rPr>
          <w:rFonts w:ascii="Times New Roman" w:hAnsi="Times New Roman" w:cs="Times New Roman"/>
          <w:sz w:val="24"/>
          <w:szCs w:val="24"/>
        </w:rPr>
        <w:t>7</w:t>
      </w:r>
      <w:r w:rsidR="00813E02" w:rsidRPr="00556C13">
        <w:rPr>
          <w:rFonts w:ascii="Times New Roman" w:hAnsi="Times New Roman" w:cs="Times New Roman"/>
          <w:sz w:val="24"/>
          <w:szCs w:val="24"/>
        </w:rPr>
        <w:t>) ГОСТ 33076-2014 «Перчатки медицинские. Метод определения герметичности»;</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б)</w:t>
      </w:r>
      <w:r w:rsidR="00F344E9" w:rsidRPr="00F344E9">
        <w:rPr>
          <w:rFonts w:ascii="Times New Roman" w:hAnsi="Times New Roman" w:cs="Times New Roman"/>
          <w:sz w:val="24"/>
          <w:szCs w:val="24"/>
        </w:rPr>
        <w:t xml:space="preserve"> </w:t>
      </w:r>
      <w:r w:rsidRPr="00556C13">
        <w:rPr>
          <w:rFonts w:ascii="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813E02" w:rsidRPr="00556C13" w:rsidRDefault="00813E02" w:rsidP="00813E02">
      <w:pPr>
        <w:tabs>
          <w:tab w:val="center" w:pos="5173"/>
        </w:tabs>
        <w:spacing w:after="0" w:line="240" w:lineRule="auto"/>
        <w:ind w:firstLine="567"/>
        <w:jc w:val="both"/>
        <w:rPr>
          <w:rFonts w:ascii="Times New Roman" w:eastAsia="Times New Roman" w:hAnsi="Times New Roman" w:cs="Times New Roman"/>
          <w:sz w:val="24"/>
          <w:szCs w:val="24"/>
        </w:rPr>
      </w:pPr>
      <w:r w:rsidRPr="00556C13">
        <w:rPr>
          <w:rFonts w:ascii="Times New Roman" w:hAnsi="Times New Roman" w:cs="Times New Roman"/>
          <w:sz w:val="24"/>
          <w:szCs w:val="24"/>
        </w:rPr>
        <w:t>1)</w:t>
      </w:r>
      <w:r w:rsidRPr="00556C13">
        <w:rPr>
          <w:rFonts w:ascii="Times New Roman" w:eastAsia="Times New Roman" w:hAnsi="Times New Roman" w:cs="Times New Roman"/>
          <w:sz w:val="24"/>
          <w:szCs w:val="24"/>
        </w:rPr>
        <w:t xml:space="preserve"> ГОСТ ИСО 37-2013 «Резина и термопластик. Определение </w:t>
      </w:r>
      <w:proofErr w:type="spellStart"/>
      <w:r w:rsidRPr="00556C13">
        <w:rPr>
          <w:rFonts w:ascii="Times New Roman" w:eastAsia="Times New Roman" w:hAnsi="Times New Roman" w:cs="Times New Roman"/>
          <w:sz w:val="24"/>
          <w:szCs w:val="24"/>
        </w:rPr>
        <w:t>упругопрочностных</w:t>
      </w:r>
      <w:proofErr w:type="spellEnd"/>
      <w:r w:rsidRPr="00556C13">
        <w:rPr>
          <w:rFonts w:ascii="Times New Roman" w:eastAsia="Times New Roman" w:hAnsi="Times New Roman" w:cs="Times New Roman"/>
          <w:sz w:val="24"/>
          <w:szCs w:val="24"/>
        </w:rPr>
        <w:t xml:space="preserve"> свойств при растяжении»;</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2) ГОСТ ISO 2393-2016 «Смеси резиновые для испытаний. Приготовление, смешение и вулканизация. Оборудование и процедуры»;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3) ГОСТ ISO 23529-2013 «Резина. Общие методы приготовления и кондиционирования образцов для определения физических свойств»;</w:t>
      </w:r>
    </w:p>
    <w:p w:rsidR="00813E02" w:rsidRPr="00556C13" w:rsidRDefault="00813E02" w:rsidP="00813E02">
      <w:pPr>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lastRenderedPageBreak/>
        <w:t>4) ГОСТ 31340-2013 «Предупредительная маркировка химической продукции. Общие требования»;</w:t>
      </w:r>
    </w:p>
    <w:p w:rsidR="00813E02" w:rsidRPr="00556C13" w:rsidRDefault="00813E02" w:rsidP="00813E02">
      <w:pPr>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5) ГОСТ 32337-2013 «Перчатки медицинские диагностические нитрильные. Технические требования»;</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6) ГОСТ 32423-2013 «Классификация опасности смесевой химической продукции по воздействию на организм»;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7) ГОСТ 32443-2013 «Товары бытовой химии. Метод определения </w:t>
      </w:r>
      <w:proofErr w:type="spellStart"/>
      <w:r w:rsidRPr="00556C13">
        <w:rPr>
          <w:rFonts w:ascii="Times New Roman" w:hAnsi="Times New Roman" w:cs="Times New Roman"/>
          <w:sz w:val="24"/>
          <w:szCs w:val="24"/>
        </w:rPr>
        <w:t>смываемости</w:t>
      </w:r>
      <w:proofErr w:type="spellEnd"/>
      <w:r w:rsidRPr="00556C13">
        <w:rPr>
          <w:rFonts w:ascii="Times New Roman" w:hAnsi="Times New Roman" w:cs="Times New Roman"/>
          <w:sz w:val="24"/>
          <w:szCs w:val="24"/>
        </w:rPr>
        <w:t xml:space="preserve"> с посуды»;</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8) ГОСТ 32509-2013 «Вещества поверхностно-активные. Метод определения биоразлагаемости в водной среде».</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2. 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требованиями законодательства Приднестровской Молдавской Республики:</w:t>
      </w:r>
    </w:p>
    <w:p w:rsidR="00813E02" w:rsidRDefault="00813E02" w:rsidP="00813E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E9797F">
        <w:rPr>
          <w:rFonts w:ascii="Times New Roman" w:hAnsi="Times New Roman" w:cs="Times New Roman"/>
          <w:sz w:val="24"/>
          <w:szCs w:val="24"/>
        </w:rPr>
        <w:t xml:space="preserve">) </w:t>
      </w:r>
      <w:r>
        <w:rPr>
          <w:rFonts w:ascii="Times New Roman" w:hAnsi="Times New Roman" w:cs="Times New Roman"/>
          <w:sz w:val="24"/>
          <w:szCs w:val="24"/>
        </w:rPr>
        <w:t>без редакционных изменений:</w:t>
      </w:r>
    </w:p>
    <w:p w:rsidR="00813E02" w:rsidRDefault="00813E02" w:rsidP="00813E02">
      <w:pPr>
        <w:spacing w:after="0" w:line="240" w:lineRule="auto"/>
        <w:ind w:firstLine="567"/>
        <w:jc w:val="both"/>
        <w:rPr>
          <w:rFonts w:ascii="Times New Roman" w:hAnsi="Times New Roman" w:cs="Times New Roman"/>
          <w:sz w:val="24"/>
          <w:szCs w:val="24"/>
        </w:rPr>
      </w:pPr>
      <w:r w:rsidRPr="00E9797F">
        <w:rPr>
          <w:rFonts w:ascii="Times New Roman" w:hAnsi="Times New Roman" w:cs="Times New Roman"/>
          <w:sz w:val="24"/>
          <w:szCs w:val="24"/>
        </w:rPr>
        <w:t>ГОСТ ПМР ГОСТ Р 56994-2020 «</w:t>
      </w:r>
      <w:proofErr w:type="spellStart"/>
      <w:r w:rsidRPr="00E9797F">
        <w:rPr>
          <w:rFonts w:ascii="Times New Roman" w:hAnsi="Times New Roman" w:cs="Times New Roman"/>
          <w:sz w:val="24"/>
          <w:szCs w:val="24"/>
        </w:rPr>
        <w:t>Дезинфектология</w:t>
      </w:r>
      <w:proofErr w:type="spellEnd"/>
      <w:r w:rsidRPr="00E9797F">
        <w:rPr>
          <w:rFonts w:ascii="Times New Roman" w:hAnsi="Times New Roman" w:cs="Times New Roman"/>
          <w:sz w:val="24"/>
          <w:szCs w:val="24"/>
        </w:rPr>
        <w:t xml:space="preserve"> и дезинфекционная деятельность. Термины и определения», гармонизированный с ГОСТ Р 56994-2016; </w:t>
      </w:r>
    </w:p>
    <w:p w:rsidR="00813E02" w:rsidRDefault="00813E02" w:rsidP="00813E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C63CC1">
        <w:rPr>
          <w:rFonts w:ascii="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r>
        <w:rPr>
          <w:rFonts w:ascii="Times New Roman" w:hAnsi="Times New Roman" w:cs="Times New Roman"/>
          <w:sz w:val="24"/>
          <w:szCs w:val="24"/>
        </w:rPr>
        <w:t>:</w:t>
      </w:r>
    </w:p>
    <w:p w:rsidR="00813E02" w:rsidRPr="00556C13" w:rsidRDefault="00813E02" w:rsidP="00813E02">
      <w:pPr>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 xml:space="preserve">1) ГОСТ ПМР ГОСТ Р ИСО 2859-5-2020 «Статистические методы. Процедуры выборочного контроля по альтернативному признаку. Часть 5. Система последовательных планов на основе AQL для контроля последовательных партий», гармонизированный с ГОСТ Р ИСО 2859-5-2009;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56C13">
        <w:rPr>
          <w:rFonts w:ascii="Times New Roman" w:hAnsi="Times New Roman" w:cs="Times New Roman"/>
          <w:sz w:val="24"/>
          <w:szCs w:val="24"/>
        </w:rPr>
        <w:t>)</w:t>
      </w:r>
      <w:r w:rsidR="00F344E9" w:rsidRPr="00F344E9">
        <w:rPr>
          <w:rFonts w:ascii="Times New Roman" w:hAnsi="Times New Roman" w:cs="Times New Roman"/>
          <w:sz w:val="24"/>
          <w:szCs w:val="24"/>
        </w:rPr>
        <w:t xml:space="preserve"> </w:t>
      </w:r>
      <w:r w:rsidRPr="00556C13">
        <w:rPr>
          <w:rFonts w:ascii="Times New Roman" w:hAnsi="Times New Roman" w:cs="Times New Roman"/>
          <w:sz w:val="24"/>
          <w:szCs w:val="24"/>
        </w:rPr>
        <w:t xml:space="preserve">ГОСТ ПМР </w:t>
      </w:r>
      <w:r w:rsidRPr="00556C13">
        <w:rPr>
          <w:rStyle w:val="1"/>
          <w:sz w:val="24"/>
          <w:szCs w:val="24"/>
        </w:rPr>
        <w:t>ГОСТ Р ИСО 11193-2-2020 «Перчатки медицинские диагностические одноразовые. Часть 2. Спецификация на перчатки из поливинилхлорида»,</w:t>
      </w:r>
      <w:r w:rsidRPr="00556C13">
        <w:rPr>
          <w:rFonts w:ascii="Times New Roman" w:hAnsi="Times New Roman" w:cs="Times New Roman"/>
          <w:sz w:val="24"/>
          <w:szCs w:val="24"/>
        </w:rPr>
        <w:t xml:space="preserve"> гармонизированный с</w:t>
      </w:r>
      <w:r w:rsidRPr="00556C13">
        <w:rPr>
          <w:rStyle w:val="1"/>
          <w:sz w:val="24"/>
          <w:szCs w:val="24"/>
        </w:rPr>
        <w:t xml:space="preserve"> ГОСТ Р ИСО 11193-2-2009;</w:t>
      </w:r>
    </w:p>
    <w:p w:rsidR="00813E02" w:rsidRPr="00556C13" w:rsidRDefault="00813E02" w:rsidP="00813E02">
      <w:pPr>
        <w:spacing w:after="0" w:line="240" w:lineRule="auto"/>
        <w:ind w:firstLine="567"/>
        <w:jc w:val="both"/>
        <w:rPr>
          <w:rStyle w:val="1"/>
          <w:sz w:val="24"/>
          <w:szCs w:val="24"/>
        </w:rPr>
      </w:pPr>
      <w:r>
        <w:rPr>
          <w:rStyle w:val="1"/>
          <w:sz w:val="24"/>
          <w:szCs w:val="24"/>
        </w:rPr>
        <w:t>3</w:t>
      </w:r>
      <w:r w:rsidRPr="00556C13">
        <w:rPr>
          <w:rStyle w:val="1"/>
          <w:sz w:val="24"/>
          <w:szCs w:val="24"/>
        </w:rPr>
        <w:t xml:space="preserve">) ГОСТ ПМР ГОСТ Р 52238-2020 «Перчатки хирургические из каучукового латекса стерильные одноразовые. Спецификация», </w:t>
      </w:r>
      <w:r w:rsidRPr="00556C13">
        <w:rPr>
          <w:rFonts w:ascii="Times New Roman" w:hAnsi="Times New Roman" w:cs="Times New Roman"/>
          <w:sz w:val="24"/>
          <w:szCs w:val="24"/>
        </w:rPr>
        <w:t>гармонизированный</w:t>
      </w:r>
      <w:r w:rsidRPr="00556C13">
        <w:rPr>
          <w:rStyle w:val="1"/>
          <w:sz w:val="24"/>
          <w:szCs w:val="24"/>
        </w:rPr>
        <w:t xml:space="preserve"> ГОСТ Р 52238-2004</w:t>
      </w:r>
      <w:r w:rsidRPr="00556C13">
        <w:rPr>
          <w:rFonts w:ascii="Times New Roman" w:hAnsi="Times New Roman" w:cs="Times New Roman"/>
          <w:sz w:val="24"/>
          <w:szCs w:val="24"/>
        </w:rPr>
        <w:t>;</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556C13">
        <w:rPr>
          <w:rFonts w:ascii="Times New Roman" w:hAnsi="Times New Roman" w:cs="Times New Roman"/>
          <w:sz w:val="24"/>
          <w:szCs w:val="24"/>
        </w:rPr>
        <w:t xml:space="preserve">) ГОСТ ПМР </w:t>
      </w:r>
      <w:r w:rsidRPr="00556C13">
        <w:rPr>
          <w:rStyle w:val="1"/>
          <w:sz w:val="24"/>
          <w:szCs w:val="24"/>
        </w:rPr>
        <w:t>ГОСТ Р 54547-2020 «Смеси резиновые. Определение вулканизационных характеристик с использованием безроторных реометров»,</w:t>
      </w:r>
      <w:r w:rsidRPr="00556C13">
        <w:rPr>
          <w:rFonts w:ascii="Times New Roman" w:hAnsi="Times New Roman" w:cs="Times New Roman"/>
          <w:sz w:val="24"/>
          <w:szCs w:val="24"/>
        </w:rPr>
        <w:t xml:space="preserve"> гармонизированный с</w:t>
      </w:r>
      <w:r w:rsidRPr="00556C13">
        <w:rPr>
          <w:rStyle w:val="1"/>
          <w:sz w:val="24"/>
          <w:szCs w:val="24"/>
        </w:rPr>
        <w:t xml:space="preserve"> ГОСТ Р 54547-2011;</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556C13">
        <w:rPr>
          <w:rFonts w:ascii="Times New Roman" w:hAnsi="Times New Roman" w:cs="Times New Roman"/>
          <w:sz w:val="24"/>
          <w:szCs w:val="24"/>
        </w:rPr>
        <w:t xml:space="preserve">) </w:t>
      </w:r>
      <w:r w:rsidRPr="00556C13">
        <w:rPr>
          <w:rStyle w:val="1"/>
          <w:sz w:val="24"/>
          <w:szCs w:val="24"/>
        </w:rPr>
        <w:t xml:space="preserve">ГОСТ ПМР ГОСТ Р 54549-2020 «Каучуки синтетические. Отбор проб», гармонизированный с ГОСТ Р 54549-2011;  </w:t>
      </w:r>
    </w:p>
    <w:p w:rsidR="00813E02" w:rsidRPr="00556C13" w:rsidRDefault="00813E02" w:rsidP="00813E02">
      <w:pPr>
        <w:spacing w:after="0" w:line="240" w:lineRule="auto"/>
        <w:ind w:firstLine="567"/>
        <w:jc w:val="both"/>
        <w:rPr>
          <w:rStyle w:val="1"/>
          <w:sz w:val="24"/>
          <w:szCs w:val="24"/>
        </w:rPr>
      </w:pPr>
      <w:r>
        <w:rPr>
          <w:rStyle w:val="1"/>
          <w:sz w:val="24"/>
          <w:szCs w:val="24"/>
        </w:rPr>
        <w:t>6</w:t>
      </w:r>
      <w:r w:rsidRPr="00556C13">
        <w:rPr>
          <w:rStyle w:val="1"/>
          <w:sz w:val="24"/>
          <w:szCs w:val="24"/>
        </w:rPr>
        <w:t xml:space="preserve">) ГОСТ ПМР ГОСТ Р 54552-2020 «Каучуки и резиновые смеси. Определение вязкости, релаксации напряжения и характеристик </w:t>
      </w:r>
      <w:proofErr w:type="spellStart"/>
      <w:r w:rsidRPr="00556C13">
        <w:rPr>
          <w:rStyle w:val="1"/>
          <w:sz w:val="24"/>
          <w:szCs w:val="24"/>
        </w:rPr>
        <w:t>подву</w:t>
      </w:r>
      <w:bookmarkStart w:id="0" w:name="_GoBack"/>
      <w:bookmarkEnd w:id="0"/>
      <w:r w:rsidRPr="00556C13">
        <w:rPr>
          <w:rStyle w:val="1"/>
          <w:sz w:val="24"/>
          <w:szCs w:val="24"/>
        </w:rPr>
        <w:t>лканизации</w:t>
      </w:r>
      <w:proofErr w:type="spellEnd"/>
      <w:r w:rsidRPr="00556C13">
        <w:rPr>
          <w:rStyle w:val="1"/>
          <w:sz w:val="24"/>
          <w:szCs w:val="24"/>
        </w:rPr>
        <w:t xml:space="preserve"> с использованием вискозиметра </w:t>
      </w:r>
      <w:proofErr w:type="spellStart"/>
      <w:r w:rsidRPr="00556C13">
        <w:rPr>
          <w:rStyle w:val="1"/>
          <w:sz w:val="24"/>
          <w:szCs w:val="24"/>
        </w:rPr>
        <w:t>Муни</w:t>
      </w:r>
      <w:proofErr w:type="spellEnd"/>
      <w:r w:rsidRPr="00556C13">
        <w:rPr>
          <w:rStyle w:val="1"/>
          <w:sz w:val="24"/>
          <w:szCs w:val="24"/>
        </w:rPr>
        <w:t>», гармонизированный с ГОСТ Р 54552-2011</w:t>
      </w:r>
      <w:r w:rsidRPr="00556C13">
        <w:rPr>
          <w:rFonts w:ascii="Times New Roman" w:hAnsi="Times New Roman" w:cs="Times New Roman"/>
          <w:sz w:val="24"/>
          <w:szCs w:val="24"/>
        </w:rPr>
        <w:t>;</w:t>
      </w:r>
    </w:p>
    <w:p w:rsidR="00813E02" w:rsidRPr="00556C13" w:rsidRDefault="00813E02" w:rsidP="00813E02">
      <w:pPr>
        <w:spacing w:after="0" w:line="240" w:lineRule="auto"/>
        <w:ind w:firstLine="567"/>
        <w:jc w:val="both"/>
        <w:rPr>
          <w:rStyle w:val="1"/>
          <w:sz w:val="24"/>
          <w:szCs w:val="24"/>
        </w:rPr>
      </w:pPr>
      <w:r>
        <w:rPr>
          <w:rFonts w:ascii="Times New Roman" w:hAnsi="Times New Roman" w:cs="Times New Roman"/>
          <w:sz w:val="24"/>
          <w:szCs w:val="24"/>
        </w:rPr>
        <w:t>7</w:t>
      </w:r>
      <w:r w:rsidRPr="00556C13">
        <w:rPr>
          <w:rFonts w:ascii="Times New Roman" w:hAnsi="Times New Roman" w:cs="Times New Roman"/>
          <w:sz w:val="24"/>
          <w:szCs w:val="24"/>
        </w:rPr>
        <w:t xml:space="preserve">) </w:t>
      </w:r>
      <w:r w:rsidRPr="00556C13">
        <w:rPr>
          <w:rStyle w:val="1"/>
          <w:sz w:val="24"/>
          <w:szCs w:val="24"/>
        </w:rPr>
        <w:t xml:space="preserve">ГОСТ ПМР </w:t>
      </w:r>
      <w:r w:rsidRPr="00556C13">
        <w:rPr>
          <w:rFonts w:ascii="Times New Roman" w:hAnsi="Times New Roman" w:cs="Times New Roman"/>
          <w:sz w:val="24"/>
          <w:szCs w:val="24"/>
        </w:rPr>
        <w:t xml:space="preserve">ГОСТ Р 54553-2020 «Резина и термопластичные эластомеры. Определение </w:t>
      </w:r>
      <w:proofErr w:type="spellStart"/>
      <w:r w:rsidRPr="00556C13">
        <w:rPr>
          <w:rFonts w:ascii="Times New Roman" w:hAnsi="Times New Roman" w:cs="Times New Roman"/>
          <w:sz w:val="24"/>
          <w:szCs w:val="24"/>
        </w:rPr>
        <w:t>упругопрочностных</w:t>
      </w:r>
      <w:proofErr w:type="spellEnd"/>
      <w:r w:rsidRPr="00556C13">
        <w:rPr>
          <w:rFonts w:ascii="Times New Roman" w:hAnsi="Times New Roman" w:cs="Times New Roman"/>
          <w:sz w:val="24"/>
          <w:szCs w:val="24"/>
        </w:rPr>
        <w:t xml:space="preserve"> свойств при растяжении», </w:t>
      </w:r>
      <w:r w:rsidRPr="00556C13">
        <w:rPr>
          <w:rStyle w:val="1"/>
          <w:sz w:val="24"/>
          <w:szCs w:val="24"/>
        </w:rPr>
        <w:t>гармонизированный с</w:t>
      </w:r>
      <w:r w:rsidRPr="00556C13">
        <w:rPr>
          <w:rFonts w:ascii="Times New Roman" w:hAnsi="Times New Roman" w:cs="Times New Roman"/>
          <w:sz w:val="24"/>
          <w:szCs w:val="24"/>
        </w:rPr>
        <w:t xml:space="preserve"> ГОСТ Р 54553-2019;</w:t>
      </w:r>
    </w:p>
    <w:p w:rsidR="00813E02" w:rsidRPr="00556C13" w:rsidRDefault="00813E02" w:rsidP="00813E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556C13">
        <w:rPr>
          <w:rFonts w:ascii="Times New Roman" w:hAnsi="Times New Roman" w:cs="Times New Roman"/>
          <w:sz w:val="24"/>
          <w:szCs w:val="24"/>
        </w:rPr>
        <w:t xml:space="preserve">) </w:t>
      </w:r>
      <w:r w:rsidRPr="00556C13">
        <w:rPr>
          <w:rStyle w:val="1"/>
          <w:sz w:val="24"/>
          <w:szCs w:val="24"/>
        </w:rPr>
        <w:t xml:space="preserve">ГОСТ ПМР </w:t>
      </w:r>
      <w:r w:rsidRPr="00556C13">
        <w:rPr>
          <w:rFonts w:ascii="Times New Roman" w:hAnsi="Times New Roman" w:cs="Times New Roman"/>
          <w:sz w:val="24"/>
          <w:szCs w:val="24"/>
        </w:rPr>
        <w:t>ГОСТ Р 54554-2020 «Смеси резиновые стандартные. Материалы, оборудование, методы смешения и приготовления вулканизованных пластин»,</w:t>
      </w:r>
      <w:r w:rsidRPr="00556C13">
        <w:rPr>
          <w:rStyle w:val="1"/>
          <w:sz w:val="24"/>
          <w:szCs w:val="24"/>
        </w:rPr>
        <w:t xml:space="preserve"> гармонизированный с</w:t>
      </w:r>
      <w:r w:rsidRPr="00556C13">
        <w:rPr>
          <w:rFonts w:ascii="Times New Roman" w:hAnsi="Times New Roman" w:cs="Times New Roman"/>
          <w:sz w:val="24"/>
          <w:szCs w:val="24"/>
        </w:rPr>
        <w:t xml:space="preserve"> ГОСТ Р 54554-2011;</w:t>
      </w:r>
    </w:p>
    <w:p w:rsidR="00813E02" w:rsidRPr="00556C13" w:rsidRDefault="00813E02" w:rsidP="00813E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556C13">
        <w:rPr>
          <w:rFonts w:ascii="Times New Roman" w:hAnsi="Times New Roman" w:cs="Times New Roman"/>
          <w:sz w:val="24"/>
          <w:szCs w:val="24"/>
        </w:rPr>
        <w:t xml:space="preserve">) </w:t>
      </w:r>
      <w:r w:rsidRPr="00556C13">
        <w:rPr>
          <w:rStyle w:val="1"/>
          <w:sz w:val="24"/>
          <w:szCs w:val="24"/>
        </w:rPr>
        <w:t xml:space="preserve">ГОСТ ПМР </w:t>
      </w:r>
      <w:r w:rsidRPr="00556C13">
        <w:rPr>
          <w:rFonts w:ascii="Times New Roman" w:hAnsi="Times New Roman" w:cs="Times New Roman"/>
          <w:sz w:val="24"/>
          <w:szCs w:val="24"/>
        </w:rPr>
        <w:t>ГОСТ Р 54555-2020 «Каучуки бутадиен-стирольные (SBR). Приготовление и испытание резиновых смесей»,</w:t>
      </w:r>
      <w:r w:rsidRPr="00556C13">
        <w:rPr>
          <w:rStyle w:val="1"/>
          <w:sz w:val="24"/>
          <w:szCs w:val="24"/>
        </w:rPr>
        <w:t xml:space="preserve"> гармонизированный с</w:t>
      </w:r>
      <w:r w:rsidRPr="00556C13">
        <w:rPr>
          <w:rFonts w:ascii="Times New Roman" w:hAnsi="Times New Roman" w:cs="Times New Roman"/>
          <w:sz w:val="24"/>
          <w:szCs w:val="24"/>
        </w:rPr>
        <w:t xml:space="preserve"> ГОСТ Р ГОСТ Р 54555-2011; </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C63CC1">
        <w:rPr>
          <w:rFonts w:ascii="Times New Roman" w:hAnsi="Times New Roman" w:cs="Times New Roman"/>
          <w:sz w:val="24"/>
          <w:szCs w:val="24"/>
        </w:rPr>
        <w:t xml:space="preserve">10) </w:t>
      </w:r>
      <w:r w:rsidRPr="00C63CC1">
        <w:rPr>
          <w:rStyle w:val="1"/>
          <w:sz w:val="24"/>
          <w:szCs w:val="24"/>
        </w:rPr>
        <w:t xml:space="preserve">ГОСТ ПМР </w:t>
      </w:r>
      <w:r w:rsidRPr="00C63CC1">
        <w:rPr>
          <w:rFonts w:ascii="Times New Roman" w:hAnsi="Times New Roman" w:cs="Times New Roman"/>
          <w:sz w:val="24"/>
          <w:szCs w:val="24"/>
        </w:rPr>
        <w:t xml:space="preserve">ГОСТ Р 56990-2020 «Химические дезинфицирующие средства и антисептики. Дезинфицирующие средства. Критерии и показатели эффективности», </w:t>
      </w:r>
      <w:proofErr w:type="gramStart"/>
      <w:r w:rsidRPr="00C63CC1">
        <w:rPr>
          <w:rFonts w:ascii="Times New Roman" w:hAnsi="Times New Roman" w:cs="Times New Roman"/>
          <w:sz w:val="24"/>
          <w:szCs w:val="24"/>
        </w:rPr>
        <w:t>гармонизированный  с</w:t>
      </w:r>
      <w:proofErr w:type="gramEnd"/>
      <w:r w:rsidRPr="00C63CC1">
        <w:rPr>
          <w:rFonts w:ascii="Times New Roman" w:hAnsi="Times New Roman" w:cs="Times New Roman"/>
          <w:sz w:val="24"/>
          <w:szCs w:val="24"/>
        </w:rPr>
        <w:t xml:space="preserve"> ГОСТ Р 56990-2016;</w:t>
      </w:r>
    </w:p>
    <w:p w:rsidR="00813E02" w:rsidRPr="00556C13" w:rsidRDefault="00813E02" w:rsidP="00813E02">
      <w:pPr>
        <w:spacing w:after="0" w:line="240" w:lineRule="auto"/>
        <w:ind w:firstLine="567"/>
        <w:jc w:val="both"/>
        <w:rPr>
          <w:rFonts w:ascii="Times New Roman" w:hAnsi="Times New Roman" w:cs="Times New Roman"/>
          <w:sz w:val="24"/>
          <w:szCs w:val="24"/>
          <w:highlight w:val="yellow"/>
        </w:rPr>
      </w:pPr>
      <w:r w:rsidRPr="00556C13">
        <w:rPr>
          <w:rFonts w:ascii="Times New Roman" w:hAnsi="Times New Roman" w:cs="Times New Roman"/>
          <w:sz w:val="24"/>
          <w:szCs w:val="24"/>
        </w:rPr>
        <w:t xml:space="preserve">11) ГОСТ ПМР ГОСТ Р 57397-2020 «Перчатки медицинские диагностические резиновые. Технические требования», </w:t>
      </w:r>
      <w:proofErr w:type="gramStart"/>
      <w:r w:rsidRPr="00556C13">
        <w:rPr>
          <w:rFonts w:ascii="Times New Roman" w:hAnsi="Times New Roman" w:cs="Times New Roman"/>
          <w:sz w:val="24"/>
          <w:szCs w:val="24"/>
        </w:rPr>
        <w:t>гармонизированный  с</w:t>
      </w:r>
      <w:proofErr w:type="gramEnd"/>
      <w:r w:rsidRPr="00556C13">
        <w:rPr>
          <w:rFonts w:ascii="Times New Roman" w:hAnsi="Times New Roman" w:cs="Times New Roman"/>
          <w:sz w:val="24"/>
          <w:szCs w:val="24"/>
        </w:rPr>
        <w:t xml:space="preserve"> ГОСТ Р 57397-2017; </w:t>
      </w:r>
    </w:p>
    <w:p w:rsidR="00813E02" w:rsidRPr="00C63CC1" w:rsidRDefault="00813E02" w:rsidP="00813E02">
      <w:pPr>
        <w:spacing w:after="0" w:line="240" w:lineRule="auto"/>
        <w:ind w:firstLine="567"/>
        <w:jc w:val="both"/>
        <w:rPr>
          <w:rFonts w:ascii="Times New Roman" w:hAnsi="Times New Roman" w:cs="Times New Roman"/>
          <w:sz w:val="24"/>
          <w:szCs w:val="24"/>
        </w:rPr>
      </w:pPr>
      <w:r w:rsidRPr="00C63CC1">
        <w:rPr>
          <w:rFonts w:ascii="Times New Roman" w:hAnsi="Times New Roman" w:cs="Times New Roman"/>
          <w:sz w:val="24"/>
          <w:szCs w:val="24"/>
        </w:rPr>
        <w:t xml:space="preserve">12) </w:t>
      </w:r>
      <w:r w:rsidR="00F344E9" w:rsidRPr="00F344E9">
        <w:rPr>
          <w:rFonts w:ascii="Times New Roman" w:hAnsi="Times New Roman" w:cs="Times New Roman"/>
          <w:sz w:val="24"/>
          <w:szCs w:val="24"/>
        </w:rPr>
        <w:t xml:space="preserve">ГОСТ ПМР </w:t>
      </w:r>
      <w:r w:rsidRPr="00C63CC1">
        <w:rPr>
          <w:rFonts w:ascii="Times New Roman" w:hAnsi="Times New Roman" w:cs="Times New Roman"/>
          <w:sz w:val="24"/>
          <w:szCs w:val="24"/>
        </w:rPr>
        <w:t>ГОСТ Р 58151.1-20</w:t>
      </w:r>
      <w:r w:rsidR="00F344E9" w:rsidRPr="00F344E9">
        <w:rPr>
          <w:rFonts w:ascii="Times New Roman" w:hAnsi="Times New Roman" w:cs="Times New Roman"/>
          <w:sz w:val="24"/>
          <w:szCs w:val="24"/>
        </w:rPr>
        <w:t>20</w:t>
      </w:r>
      <w:r w:rsidRPr="00C63CC1">
        <w:rPr>
          <w:rFonts w:ascii="Times New Roman" w:hAnsi="Times New Roman" w:cs="Times New Roman"/>
          <w:sz w:val="24"/>
          <w:szCs w:val="24"/>
        </w:rPr>
        <w:t xml:space="preserve"> «Средства дезинфицирующие. Общие технические требования», гармонизированный с ГОСТ Р 58151.1-2018;</w:t>
      </w:r>
    </w:p>
    <w:p w:rsidR="00813E02" w:rsidRPr="00281EFC" w:rsidRDefault="00813E02" w:rsidP="00813E02">
      <w:pPr>
        <w:spacing w:after="0" w:line="240" w:lineRule="auto"/>
        <w:ind w:firstLine="567"/>
        <w:jc w:val="both"/>
        <w:rPr>
          <w:rFonts w:ascii="Times New Roman" w:hAnsi="Times New Roman" w:cs="Times New Roman"/>
          <w:sz w:val="24"/>
          <w:szCs w:val="24"/>
        </w:rPr>
      </w:pPr>
      <w:r w:rsidRPr="00281EFC">
        <w:rPr>
          <w:rFonts w:ascii="Times New Roman" w:hAnsi="Times New Roman" w:cs="Times New Roman"/>
          <w:sz w:val="24"/>
          <w:szCs w:val="24"/>
        </w:rPr>
        <w:t xml:space="preserve">13) </w:t>
      </w:r>
      <w:r w:rsidR="00F344E9" w:rsidRPr="00F344E9">
        <w:rPr>
          <w:rFonts w:ascii="Times New Roman" w:hAnsi="Times New Roman" w:cs="Times New Roman"/>
          <w:sz w:val="24"/>
          <w:szCs w:val="24"/>
        </w:rPr>
        <w:t xml:space="preserve">ГОСТ ПМР </w:t>
      </w:r>
      <w:r w:rsidRPr="00281EFC">
        <w:rPr>
          <w:rFonts w:ascii="Times New Roman" w:hAnsi="Times New Roman" w:cs="Times New Roman"/>
          <w:sz w:val="24"/>
          <w:szCs w:val="24"/>
        </w:rPr>
        <w:t>ГОСТ Р 58151.2-20</w:t>
      </w:r>
      <w:r w:rsidR="00F344E9" w:rsidRPr="00F344E9">
        <w:rPr>
          <w:rFonts w:ascii="Times New Roman" w:hAnsi="Times New Roman" w:cs="Times New Roman"/>
          <w:sz w:val="24"/>
          <w:szCs w:val="24"/>
        </w:rPr>
        <w:t>20</w:t>
      </w:r>
      <w:r w:rsidRPr="00281EFC">
        <w:rPr>
          <w:rFonts w:ascii="Times New Roman" w:hAnsi="Times New Roman" w:cs="Times New Roman"/>
          <w:sz w:val="24"/>
          <w:szCs w:val="24"/>
        </w:rPr>
        <w:t xml:space="preserve"> «Средства дезинфицирующие. Номенклатура показателей токсичности и безопасности», гармонизированный с ГОСТ Р 58151.2-2018;</w:t>
      </w:r>
    </w:p>
    <w:p w:rsidR="00813E02" w:rsidRPr="00556C13" w:rsidRDefault="00813E02" w:rsidP="00813E02">
      <w:pPr>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lastRenderedPageBreak/>
        <w:t xml:space="preserve">14) ГОСТ ПМР ГОСТ Р 58151.3-2020 «Средства дезинфицирующие. Методы определения физико-химических показателей», гармонизированный с ГОСТ Р 58151.3-2018; </w:t>
      </w:r>
    </w:p>
    <w:p w:rsidR="00813E02" w:rsidRPr="00826E68" w:rsidRDefault="00813E02" w:rsidP="00813E02">
      <w:pPr>
        <w:spacing w:after="0" w:line="240" w:lineRule="auto"/>
        <w:ind w:firstLine="567"/>
        <w:jc w:val="both"/>
        <w:rPr>
          <w:rFonts w:ascii="Times New Roman" w:hAnsi="Times New Roman" w:cs="Times New Roman"/>
          <w:sz w:val="24"/>
          <w:szCs w:val="24"/>
        </w:rPr>
      </w:pPr>
      <w:r w:rsidRPr="00826E68">
        <w:rPr>
          <w:rFonts w:ascii="Times New Roman" w:hAnsi="Times New Roman" w:cs="Times New Roman"/>
          <w:sz w:val="24"/>
          <w:szCs w:val="24"/>
        </w:rPr>
        <w:t xml:space="preserve">15) </w:t>
      </w:r>
      <w:r w:rsidR="00F344E9" w:rsidRPr="00F344E9">
        <w:rPr>
          <w:rFonts w:ascii="Times New Roman" w:hAnsi="Times New Roman" w:cs="Times New Roman"/>
          <w:sz w:val="24"/>
          <w:szCs w:val="24"/>
        </w:rPr>
        <w:t xml:space="preserve">ГОСТ ПМР </w:t>
      </w:r>
      <w:r w:rsidRPr="00826E68">
        <w:rPr>
          <w:rFonts w:ascii="Times New Roman" w:hAnsi="Times New Roman" w:cs="Times New Roman"/>
          <w:sz w:val="24"/>
          <w:szCs w:val="24"/>
        </w:rPr>
        <w:t>ГОСТ Р 58151.4-20</w:t>
      </w:r>
      <w:r w:rsidR="00F344E9" w:rsidRPr="00F344E9">
        <w:rPr>
          <w:rFonts w:ascii="Times New Roman" w:hAnsi="Times New Roman" w:cs="Times New Roman"/>
          <w:sz w:val="24"/>
          <w:szCs w:val="24"/>
        </w:rPr>
        <w:t>20</w:t>
      </w:r>
      <w:r w:rsidRPr="00826E68">
        <w:rPr>
          <w:rFonts w:ascii="Times New Roman" w:hAnsi="Times New Roman" w:cs="Times New Roman"/>
          <w:sz w:val="24"/>
          <w:szCs w:val="24"/>
        </w:rPr>
        <w:t xml:space="preserve"> «Средства дезинфицирующие. Методы определения показателей эффективности», гармонизированный с ГОСТ Р 58151.4-2018.</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3. На официальном сайте Министерства экономического развития Приднестровской Молдавской Республики (http://minregion.g</w:t>
      </w:r>
      <w:r w:rsidR="00AA5D55">
        <w:rPr>
          <w:rFonts w:ascii="Times New Roman" w:hAnsi="Times New Roman" w:cs="Times New Roman"/>
          <w:sz w:val="24"/>
          <w:szCs w:val="24"/>
        </w:rPr>
        <w:t xml:space="preserve">ospmr.org/index.php/gos-reestry) </w:t>
      </w:r>
      <w:r w:rsidRPr="00556C13">
        <w:rPr>
          <w:rFonts w:ascii="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пунктам 1 и 2 настоящего Приказа.</w:t>
      </w:r>
    </w:p>
    <w:p w:rsidR="00813E02" w:rsidRPr="00556C13" w:rsidRDefault="00813E02" w:rsidP="00813E02">
      <w:pPr>
        <w:autoSpaceDE w:val="0"/>
        <w:autoSpaceDN w:val="0"/>
        <w:adjustRightInd w:val="0"/>
        <w:spacing w:after="0" w:line="240" w:lineRule="auto"/>
        <w:ind w:firstLine="567"/>
        <w:jc w:val="both"/>
        <w:rPr>
          <w:rFonts w:ascii="Times New Roman" w:hAnsi="Times New Roman" w:cs="Times New Roman"/>
          <w:sz w:val="24"/>
          <w:szCs w:val="24"/>
        </w:rPr>
      </w:pPr>
      <w:r w:rsidRPr="00556C13">
        <w:rPr>
          <w:rFonts w:ascii="Times New Roman" w:hAnsi="Times New Roman" w:cs="Times New Roman"/>
          <w:sz w:val="24"/>
          <w:szCs w:val="24"/>
        </w:rPr>
        <w:t>4. Настоящий Приказ вступает в силу со дня, следующего за днем его официального опубликования в газете «Приднестровье».</w:t>
      </w:r>
    </w:p>
    <w:p w:rsidR="00813E02" w:rsidRPr="00D51A57" w:rsidRDefault="00813E02" w:rsidP="00813E0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13E02" w:rsidRPr="00D51A57" w:rsidRDefault="00813E02" w:rsidP="00813E02">
      <w:pPr>
        <w:spacing w:after="0" w:line="240" w:lineRule="auto"/>
        <w:jc w:val="both"/>
        <w:rPr>
          <w:rFonts w:ascii="Times New Roman" w:hAnsi="Times New Roman" w:cs="Times New Roman"/>
          <w:b/>
          <w:sz w:val="24"/>
          <w:szCs w:val="24"/>
        </w:rPr>
      </w:pPr>
    </w:p>
    <w:p w:rsidR="00813E02" w:rsidRPr="00AA5D55" w:rsidRDefault="00361F21" w:rsidP="00361F2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И.о. министра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069A">
        <w:rPr>
          <w:rFonts w:ascii="Times New Roman" w:hAnsi="Times New Roman" w:cs="Times New Roman"/>
          <w:sz w:val="24"/>
          <w:szCs w:val="24"/>
        </w:rPr>
        <w:t xml:space="preserve">                                                                     </w:t>
      </w:r>
      <w:r w:rsidR="00813E02" w:rsidRPr="00AA5D55">
        <w:rPr>
          <w:rFonts w:ascii="Times New Roman" w:hAnsi="Times New Roman" w:cs="Times New Roman"/>
          <w:sz w:val="24"/>
          <w:szCs w:val="24"/>
        </w:rPr>
        <w:t>А</w:t>
      </w:r>
      <w:r>
        <w:rPr>
          <w:rFonts w:ascii="Times New Roman" w:hAnsi="Times New Roman" w:cs="Times New Roman"/>
          <w:sz w:val="24"/>
          <w:szCs w:val="24"/>
        </w:rPr>
        <w:t xml:space="preserve">.А. </w:t>
      </w:r>
      <w:proofErr w:type="spellStart"/>
      <w:r>
        <w:rPr>
          <w:rFonts w:ascii="Times New Roman" w:hAnsi="Times New Roman" w:cs="Times New Roman"/>
          <w:sz w:val="24"/>
          <w:szCs w:val="24"/>
        </w:rPr>
        <w:t>Слинченко</w:t>
      </w:r>
      <w:proofErr w:type="spellEnd"/>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jc w:val="center"/>
        <w:rPr>
          <w:rStyle w:val="a8"/>
          <w:rFonts w:ascii="Times New Roman" w:hAnsi="Times New Roman" w:cs="Times New Roman"/>
          <w:b/>
          <w:i w:val="0"/>
          <w:sz w:val="23"/>
          <w:szCs w:val="23"/>
        </w:rPr>
      </w:pPr>
    </w:p>
    <w:p w:rsidR="00813E02" w:rsidRDefault="00813E02" w:rsidP="00813E02">
      <w:pPr>
        <w:spacing w:line="240" w:lineRule="auto"/>
        <w:rPr>
          <w:rStyle w:val="a8"/>
          <w:rFonts w:ascii="Times New Roman" w:hAnsi="Times New Roman" w:cs="Times New Roman"/>
          <w:b/>
          <w:i w:val="0"/>
          <w:sz w:val="23"/>
          <w:szCs w:val="23"/>
        </w:rPr>
      </w:pPr>
    </w:p>
    <w:tbl>
      <w:tblPr>
        <w:tblW w:w="0" w:type="auto"/>
        <w:jc w:val="center"/>
        <w:tblLook w:val="04A0" w:firstRow="1" w:lastRow="0" w:firstColumn="1" w:lastColumn="0" w:noHBand="0" w:noVBand="1"/>
      </w:tblPr>
      <w:tblGrid>
        <w:gridCol w:w="6366"/>
        <w:gridCol w:w="2989"/>
      </w:tblGrid>
      <w:tr w:rsidR="00813E02" w:rsidRPr="004105C6" w:rsidTr="00A308B1">
        <w:trPr>
          <w:trHeight w:val="1104"/>
          <w:jc w:val="center"/>
        </w:trPr>
        <w:tc>
          <w:tcPr>
            <w:tcW w:w="6416" w:type="dxa"/>
          </w:tcPr>
          <w:p w:rsidR="00813E02" w:rsidRPr="004105C6" w:rsidRDefault="00813E02" w:rsidP="00A308B1">
            <w:pPr>
              <w:spacing w:after="0" w:line="240" w:lineRule="auto"/>
              <w:rPr>
                <w:rFonts w:ascii="Times New Roman" w:hAnsi="Times New Roman" w:cs="Times New Roman"/>
                <w:sz w:val="24"/>
                <w:szCs w:val="24"/>
              </w:rPr>
            </w:pPr>
            <w:r w:rsidRPr="004105C6">
              <w:rPr>
                <w:rFonts w:ascii="Times New Roman" w:hAnsi="Times New Roman" w:cs="Times New Roman"/>
                <w:sz w:val="24"/>
                <w:szCs w:val="24"/>
              </w:rPr>
              <w:lastRenderedPageBreak/>
              <w:t>Согласовано:</w:t>
            </w:r>
          </w:p>
          <w:p w:rsidR="00813E02" w:rsidRDefault="00813E02" w:rsidP="00A308B1">
            <w:pPr>
              <w:autoSpaceDE w:val="0"/>
              <w:autoSpaceDN w:val="0"/>
              <w:adjustRightInd w:val="0"/>
              <w:spacing w:after="0" w:line="240" w:lineRule="auto"/>
              <w:rPr>
                <w:rFonts w:ascii="Times New Roman" w:hAnsi="Times New Roman" w:cs="Times New Roman"/>
                <w:sz w:val="24"/>
                <w:szCs w:val="24"/>
              </w:rPr>
            </w:pPr>
          </w:p>
          <w:p w:rsidR="00813E02" w:rsidRDefault="00813E02" w:rsidP="00A30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w:t>
            </w:r>
          </w:p>
          <w:p w:rsidR="00813E02" w:rsidRDefault="00813E02" w:rsidP="00A30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568BA">
              <w:rPr>
                <w:rFonts w:ascii="Times New Roman" w:hAnsi="Times New Roman" w:cs="Times New Roman"/>
                <w:sz w:val="24"/>
                <w:szCs w:val="24"/>
              </w:rPr>
              <w:t xml:space="preserve">ачальник Департамента энергетики и </w:t>
            </w:r>
          </w:p>
          <w:p w:rsidR="00813E02" w:rsidRDefault="00813E02" w:rsidP="00A308B1">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 xml:space="preserve">жилищно-коммунальногохозяйства </w:t>
            </w:r>
          </w:p>
          <w:p w:rsidR="00813E02" w:rsidRPr="00A568BA" w:rsidRDefault="00813E02" w:rsidP="00A308B1">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Министерства экономического развития</w:t>
            </w:r>
          </w:p>
          <w:p w:rsidR="00813E02" w:rsidRPr="004105C6" w:rsidRDefault="00813E02" w:rsidP="00A308B1">
            <w:pPr>
              <w:pStyle w:val="ab"/>
              <w:shd w:val="clear" w:color="auto" w:fill="auto"/>
              <w:rPr>
                <w:sz w:val="24"/>
                <w:szCs w:val="24"/>
              </w:rPr>
            </w:pPr>
            <w:r w:rsidRPr="00A568BA">
              <w:rPr>
                <w:sz w:val="24"/>
                <w:szCs w:val="24"/>
              </w:rPr>
              <w:t>Приднестровской Молдавской Рес</w:t>
            </w:r>
            <w:r>
              <w:rPr>
                <w:sz w:val="24"/>
                <w:szCs w:val="24"/>
              </w:rPr>
              <w:t>публики</w:t>
            </w:r>
          </w:p>
        </w:tc>
        <w:tc>
          <w:tcPr>
            <w:tcW w:w="3012" w:type="dxa"/>
          </w:tcPr>
          <w:p w:rsidR="00813E02" w:rsidRDefault="00813E02" w:rsidP="00A308B1">
            <w:pPr>
              <w:autoSpaceDE w:val="0"/>
              <w:autoSpaceDN w:val="0"/>
              <w:adjustRightInd w:val="0"/>
              <w:spacing w:after="0" w:line="240" w:lineRule="auto"/>
              <w:ind w:firstLine="709"/>
              <w:rPr>
                <w:rFonts w:ascii="Times New Roman" w:hAnsi="Times New Roman" w:cs="Times New Roman"/>
                <w:sz w:val="24"/>
                <w:szCs w:val="24"/>
              </w:rPr>
            </w:pPr>
          </w:p>
          <w:p w:rsidR="00813E02" w:rsidRDefault="00813E02" w:rsidP="00A308B1">
            <w:pPr>
              <w:autoSpaceDE w:val="0"/>
              <w:autoSpaceDN w:val="0"/>
              <w:adjustRightInd w:val="0"/>
              <w:spacing w:after="0" w:line="240" w:lineRule="auto"/>
              <w:ind w:firstLine="709"/>
              <w:rPr>
                <w:rFonts w:ascii="Times New Roman" w:hAnsi="Times New Roman" w:cs="Times New Roman"/>
                <w:sz w:val="24"/>
                <w:szCs w:val="24"/>
              </w:rPr>
            </w:pPr>
          </w:p>
          <w:p w:rsidR="00813E02" w:rsidRDefault="00813E02" w:rsidP="00A308B1">
            <w:pPr>
              <w:autoSpaceDE w:val="0"/>
              <w:autoSpaceDN w:val="0"/>
              <w:adjustRightInd w:val="0"/>
              <w:spacing w:after="0" w:line="240" w:lineRule="auto"/>
              <w:ind w:firstLine="709"/>
              <w:rPr>
                <w:rFonts w:ascii="Times New Roman" w:hAnsi="Times New Roman" w:cs="Times New Roman"/>
                <w:sz w:val="24"/>
                <w:szCs w:val="24"/>
              </w:rPr>
            </w:pPr>
          </w:p>
          <w:p w:rsidR="00813E02" w:rsidRDefault="00813E02" w:rsidP="00A308B1">
            <w:pPr>
              <w:autoSpaceDE w:val="0"/>
              <w:autoSpaceDN w:val="0"/>
              <w:adjustRightInd w:val="0"/>
              <w:spacing w:after="0" w:line="240" w:lineRule="auto"/>
              <w:ind w:firstLine="709"/>
              <w:rPr>
                <w:rFonts w:ascii="Times New Roman" w:hAnsi="Times New Roman" w:cs="Times New Roman"/>
                <w:sz w:val="24"/>
                <w:szCs w:val="24"/>
              </w:rPr>
            </w:pPr>
          </w:p>
          <w:p w:rsidR="00813E02" w:rsidRDefault="00813E02" w:rsidP="00A308B1">
            <w:pPr>
              <w:autoSpaceDE w:val="0"/>
              <w:autoSpaceDN w:val="0"/>
              <w:adjustRightInd w:val="0"/>
              <w:spacing w:after="0" w:line="240" w:lineRule="auto"/>
              <w:ind w:firstLine="709"/>
              <w:jc w:val="right"/>
              <w:rPr>
                <w:rFonts w:ascii="Times New Roman" w:hAnsi="Times New Roman" w:cs="Times New Roman"/>
                <w:sz w:val="24"/>
                <w:szCs w:val="24"/>
              </w:rPr>
            </w:pPr>
          </w:p>
          <w:p w:rsidR="00813E02" w:rsidRDefault="00813E02" w:rsidP="00A308B1">
            <w:pPr>
              <w:autoSpaceDE w:val="0"/>
              <w:autoSpaceDN w:val="0"/>
              <w:adjustRightInd w:val="0"/>
              <w:spacing w:after="0" w:line="240" w:lineRule="auto"/>
              <w:ind w:firstLine="709"/>
              <w:jc w:val="right"/>
              <w:rPr>
                <w:rFonts w:ascii="Times New Roman" w:hAnsi="Times New Roman" w:cs="Times New Roman"/>
                <w:sz w:val="24"/>
                <w:szCs w:val="24"/>
              </w:rPr>
            </w:pPr>
          </w:p>
          <w:p w:rsidR="00813E02" w:rsidRPr="00A568BA" w:rsidRDefault="00813E02" w:rsidP="00A308B1">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Гроссул</w:t>
            </w:r>
            <w:proofErr w:type="spellEnd"/>
          </w:p>
          <w:p w:rsidR="00813E02" w:rsidRPr="004105C6" w:rsidRDefault="00813E02" w:rsidP="00A308B1">
            <w:pPr>
              <w:pStyle w:val="ab"/>
              <w:shd w:val="clear" w:color="auto" w:fill="auto"/>
              <w:jc w:val="right"/>
              <w:rPr>
                <w:sz w:val="24"/>
                <w:szCs w:val="24"/>
              </w:rPr>
            </w:pPr>
          </w:p>
        </w:tc>
      </w:tr>
    </w:tbl>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tbl>
      <w:tblPr>
        <w:tblW w:w="0" w:type="auto"/>
        <w:jc w:val="center"/>
        <w:tblLook w:val="04A0" w:firstRow="1" w:lastRow="0" w:firstColumn="1" w:lastColumn="0" w:noHBand="0" w:noVBand="1"/>
      </w:tblPr>
      <w:tblGrid>
        <w:gridCol w:w="9355"/>
      </w:tblGrid>
      <w:tr w:rsidR="00813E02" w:rsidRPr="004105C6" w:rsidTr="00A308B1">
        <w:trPr>
          <w:trHeight w:val="1202"/>
          <w:jc w:val="center"/>
        </w:trPr>
        <w:tc>
          <w:tcPr>
            <w:tcW w:w="9428" w:type="dxa"/>
          </w:tcPr>
          <w:p w:rsidR="00813E02" w:rsidRDefault="00813E02" w:rsidP="00A308B1">
            <w:pPr>
              <w:spacing w:after="0" w:line="240" w:lineRule="auto"/>
              <w:ind w:right="-1" w:firstLine="496"/>
              <w:rPr>
                <w:rFonts w:ascii="Times New Roman" w:hAnsi="Times New Roman" w:cs="Times New Roman"/>
                <w:sz w:val="24"/>
                <w:szCs w:val="24"/>
              </w:rPr>
            </w:pPr>
          </w:p>
          <w:p w:rsidR="00813E02" w:rsidRDefault="00813E02" w:rsidP="00A308B1">
            <w:pPr>
              <w:spacing w:after="0" w:line="240" w:lineRule="auto"/>
              <w:ind w:right="-1" w:firstLine="496"/>
              <w:rPr>
                <w:rFonts w:ascii="Times New Roman" w:hAnsi="Times New Roman" w:cs="Times New Roman"/>
                <w:sz w:val="24"/>
                <w:szCs w:val="24"/>
              </w:rPr>
            </w:pPr>
          </w:p>
          <w:p w:rsidR="00813E02" w:rsidRDefault="00813E02" w:rsidP="00A308B1">
            <w:pPr>
              <w:spacing w:after="0" w:line="240" w:lineRule="auto"/>
              <w:ind w:right="-1" w:firstLine="496"/>
              <w:rPr>
                <w:rFonts w:ascii="Times New Roman" w:hAnsi="Times New Roman" w:cs="Times New Roman"/>
                <w:sz w:val="24"/>
                <w:szCs w:val="24"/>
              </w:rPr>
            </w:pPr>
          </w:p>
          <w:p w:rsidR="00813E02" w:rsidRPr="004105C6" w:rsidRDefault="00813E02" w:rsidP="00A308B1">
            <w:pPr>
              <w:spacing w:after="0" w:line="240" w:lineRule="auto"/>
              <w:ind w:right="-1"/>
              <w:rPr>
                <w:rFonts w:ascii="Times New Roman" w:hAnsi="Times New Roman" w:cs="Times New Roman"/>
                <w:color w:val="000000"/>
                <w:sz w:val="24"/>
                <w:szCs w:val="24"/>
              </w:rPr>
            </w:pPr>
            <w:r w:rsidRPr="004105C6">
              <w:rPr>
                <w:rFonts w:ascii="Times New Roman" w:hAnsi="Times New Roman" w:cs="Times New Roman"/>
                <w:sz w:val="24"/>
                <w:szCs w:val="24"/>
              </w:rPr>
              <w:t xml:space="preserve">Исполнитель: </w:t>
            </w:r>
            <w:r w:rsidRPr="004105C6">
              <w:rPr>
                <w:rFonts w:ascii="Times New Roman" w:hAnsi="Times New Roman" w:cs="Times New Roman"/>
                <w:color w:val="000000"/>
                <w:sz w:val="24"/>
                <w:szCs w:val="24"/>
              </w:rPr>
              <w:t>гл</w:t>
            </w:r>
            <w:r>
              <w:rPr>
                <w:rFonts w:ascii="Times New Roman" w:hAnsi="Times New Roman" w:cs="Times New Roman"/>
                <w:color w:val="000000"/>
                <w:sz w:val="24"/>
                <w:szCs w:val="24"/>
              </w:rPr>
              <w:t>.</w:t>
            </w:r>
            <w:r w:rsidRPr="004105C6">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t>Казарюк В.П.</w:t>
            </w:r>
          </w:p>
          <w:p w:rsidR="00813E02" w:rsidRPr="004105C6" w:rsidRDefault="00813E02" w:rsidP="00A308B1">
            <w:pPr>
              <w:pStyle w:val="ab"/>
              <w:rPr>
                <w:sz w:val="24"/>
                <w:szCs w:val="24"/>
              </w:rPr>
            </w:pPr>
          </w:p>
        </w:tc>
      </w:tr>
    </w:tbl>
    <w:p w:rsidR="00813E02" w:rsidRPr="00386FAD" w:rsidRDefault="00813E02" w:rsidP="00813E02">
      <w:pPr>
        <w:autoSpaceDE w:val="0"/>
        <w:autoSpaceDN w:val="0"/>
        <w:adjustRightInd w:val="0"/>
        <w:spacing w:after="0" w:line="240" w:lineRule="auto"/>
        <w:jc w:val="both"/>
        <w:rPr>
          <w:rFonts w:ascii="Times New Roman" w:hAnsi="Times New Roman" w:cs="Times New Roman"/>
          <w:color w:val="000000"/>
          <w:sz w:val="24"/>
          <w:szCs w:val="24"/>
        </w:rPr>
      </w:pPr>
    </w:p>
    <w:p w:rsidR="00813E02" w:rsidRDefault="00813E02" w:rsidP="00813E02">
      <w:pPr>
        <w:tabs>
          <w:tab w:val="left" w:pos="2268"/>
          <w:tab w:val="left" w:pos="2552"/>
        </w:tabs>
        <w:spacing w:after="0" w:line="240" w:lineRule="auto"/>
        <w:ind w:firstLine="709"/>
        <w:jc w:val="both"/>
        <w:rPr>
          <w:rFonts w:ascii="Times New Roman" w:hAnsi="Times New Roman" w:cs="Times New Roman"/>
          <w:sz w:val="24"/>
          <w:szCs w:val="24"/>
        </w:rPr>
      </w:pPr>
    </w:p>
    <w:p w:rsidR="00813E02" w:rsidRDefault="00813E02" w:rsidP="00813E02">
      <w:pPr>
        <w:tabs>
          <w:tab w:val="left" w:pos="2268"/>
          <w:tab w:val="left" w:pos="2552"/>
        </w:tabs>
        <w:spacing w:after="0" w:line="240" w:lineRule="auto"/>
        <w:ind w:firstLine="709"/>
        <w:jc w:val="both"/>
        <w:rPr>
          <w:rFonts w:ascii="Times New Roman" w:hAnsi="Times New Roman" w:cs="Times New Roman"/>
          <w:color w:val="000000"/>
          <w:sz w:val="24"/>
          <w:szCs w:val="24"/>
        </w:rPr>
      </w:pPr>
      <w:r w:rsidRPr="004105C6">
        <w:rPr>
          <w:rFonts w:ascii="Times New Roman" w:hAnsi="Times New Roman" w:cs="Times New Roman"/>
          <w:sz w:val="24"/>
          <w:szCs w:val="24"/>
        </w:rPr>
        <w:t>Расчет рассылки:</w:t>
      </w:r>
      <w:r>
        <w:rPr>
          <w:rFonts w:ascii="Times New Roman" w:hAnsi="Times New Roman" w:cs="Times New Roman"/>
          <w:color w:val="000000"/>
          <w:sz w:val="24"/>
          <w:szCs w:val="24"/>
        </w:rPr>
        <w:t>в дело – 1 экз.</w:t>
      </w:r>
    </w:p>
    <w:p w:rsidR="00813E02" w:rsidRPr="00591AE3" w:rsidRDefault="00813E02" w:rsidP="00813E02">
      <w:pPr>
        <w:spacing w:after="0" w:line="240" w:lineRule="auto"/>
        <w:ind w:firstLine="709"/>
        <w:jc w:val="both"/>
        <w:rPr>
          <w:rFonts w:ascii="Times New Roman" w:hAnsi="Times New Roman" w:cs="Times New Roman"/>
          <w:sz w:val="24"/>
          <w:szCs w:val="24"/>
        </w:rPr>
      </w:pPr>
      <w:r w:rsidRPr="006A1B01">
        <w:rPr>
          <w:rFonts w:ascii="Times New Roman" w:hAnsi="Times New Roman" w:cs="Times New Roman"/>
          <w:sz w:val="24"/>
          <w:szCs w:val="24"/>
        </w:rPr>
        <w:t>У</w:t>
      </w:r>
      <w:r>
        <w:rPr>
          <w:rFonts w:ascii="Times New Roman" w:hAnsi="Times New Roman" w:cs="Times New Roman"/>
          <w:sz w:val="24"/>
          <w:szCs w:val="24"/>
        </w:rPr>
        <w:t>ТРи</w:t>
      </w:r>
      <w:r w:rsidRPr="006A1B01">
        <w:rPr>
          <w:rFonts w:ascii="Times New Roman" w:hAnsi="Times New Roman" w:cs="Times New Roman"/>
          <w:sz w:val="24"/>
          <w:szCs w:val="24"/>
        </w:rPr>
        <w:t>ПБ</w:t>
      </w:r>
      <w:r w:rsidRPr="004105C6">
        <w:rPr>
          <w:rFonts w:ascii="Times New Roman" w:hAnsi="Times New Roman" w:cs="Times New Roman"/>
          <w:sz w:val="24"/>
          <w:szCs w:val="24"/>
        </w:rPr>
        <w:t xml:space="preserve">-1 </w:t>
      </w:r>
      <w:r w:rsidRPr="00591AE3">
        <w:rPr>
          <w:rFonts w:ascii="Times New Roman" w:hAnsi="Times New Roman" w:cs="Times New Roman"/>
          <w:sz w:val="24"/>
          <w:szCs w:val="24"/>
        </w:rPr>
        <w:t>экз.</w:t>
      </w:r>
    </w:p>
    <w:p w:rsidR="00813E02" w:rsidRPr="004105C6" w:rsidRDefault="00813E02" w:rsidP="00813E02">
      <w:pPr>
        <w:tabs>
          <w:tab w:val="left" w:pos="1933"/>
        </w:tabs>
        <w:spacing w:after="0" w:line="240" w:lineRule="auto"/>
        <w:ind w:firstLine="709"/>
        <w:rPr>
          <w:rFonts w:ascii="Times New Roman" w:hAnsi="Times New Roman" w:cs="Times New Roman"/>
          <w:sz w:val="24"/>
          <w:szCs w:val="24"/>
        </w:rPr>
      </w:pPr>
      <w:r w:rsidRPr="004105C6">
        <w:rPr>
          <w:rFonts w:ascii="Times New Roman" w:hAnsi="Times New Roman" w:cs="Times New Roman"/>
          <w:sz w:val="24"/>
          <w:szCs w:val="24"/>
        </w:rPr>
        <w:t>ГУП «ИТРМ» - 1 экз.</w:t>
      </w:r>
    </w:p>
    <w:p w:rsidR="00F85333" w:rsidRDefault="00F85333" w:rsidP="006C4A7C">
      <w:pPr>
        <w:spacing w:line="240" w:lineRule="auto"/>
        <w:jc w:val="center"/>
        <w:rPr>
          <w:rFonts w:ascii="Times New Roman" w:hAnsi="Times New Roman" w:cs="Times New Roman"/>
          <w:sz w:val="24"/>
          <w:szCs w:val="24"/>
        </w:rPr>
      </w:pPr>
    </w:p>
    <w:p w:rsidR="00813E02" w:rsidRDefault="00813E02" w:rsidP="006C4A7C">
      <w:pPr>
        <w:spacing w:line="240" w:lineRule="auto"/>
        <w:jc w:val="center"/>
        <w:rPr>
          <w:rStyle w:val="a8"/>
          <w:rFonts w:ascii="Times New Roman" w:hAnsi="Times New Roman" w:cs="Times New Roman"/>
          <w:b/>
          <w:i w:val="0"/>
          <w:sz w:val="24"/>
          <w:szCs w:val="24"/>
        </w:rPr>
      </w:pPr>
    </w:p>
    <w:sectPr w:rsidR="00813E02"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06F1C"/>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35C2B"/>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61F21"/>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03963"/>
    <w:rsid w:val="0062594E"/>
    <w:rsid w:val="00627E22"/>
    <w:rsid w:val="00634B0E"/>
    <w:rsid w:val="00635057"/>
    <w:rsid w:val="00636434"/>
    <w:rsid w:val="006368B2"/>
    <w:rsid w:val="00645656"/>
    <w:rsid w:val="0065069A"/>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54655"/>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3E02"/>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A5D55"/>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0E3F"/>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005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44E9"/>
    <w:rsid w:val="00F37BCB"/>
    <w:rsid w:val="00F45D4D"/>
    <w:rsid w:val="00F46D75"/>
    <w:rsid w:val="00F52BE2"/>
    <w:rsid w:val="00F67820"/>
    <w:rsid w:val="00F67BF2"/>
    <w:rsid w:val="00F70FB7"/>
    <w:rsid w:val="00F739D4"/>
    <w:rsid w:val="00F74F21"/>
    <w:rsid w:val="00F77F42"/>
    <w:rsid w:val="00F83DFB"/>
    <w:rsid w:val="00F85333"/>
    <w:rsid w:val="00F9604A"/>
    <w:rsid w:val="00FB1B08"/>
    <w:rsid w:val="00FB2463"/>
    <w:rsid w:val="00FC7F2A"/>
    <w:rsid w:val="00FD2F6A"/>
    <w:rsid w:val="00FD40F9"/>
    <w:rsid w:val="00FD55CB"/>
    <w:rsid w:val="00FD5BA1"/>
    <w:rsid w:val="00FD6726"/>
    <w:rsid w:val="00FE17FE"/>
    <w:rsid w:val="00FE230F"/>
    <w:rsid w:val="00FF2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D7CD"/>
  <w15:docId w15:val="{EC781E0C-3393-4314-BE59-BDC29FA5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55"/>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paragraph" w:customStyle="1" w:styleId="ab">
    <w:name w:val="Исполнитель"/>
    <w:basedOn w:val="a"/>
    <w:link w:val="ac"/>
    <w:qFormat/>
    <w:rsid w:val="00813E02"/>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Исполнитель Знак"/>
    <w:link w:val="ab"/>
    <w:rsid w:val="00813E02"/>
    <w:rPr>
      <w:rFonts w:ascii="Times New Roman" w:eastAsia="Times New Roman" w:hAnsi="Times New Roman" w:cs="Times New Roman"/>
      <w:sz w:val="20"/>
      <w:szCs w:val="20"/>
      <w:shd w:val="clear" w:color="auto" w:fill="FFFFFF"/>
    </w:rPr>
  </w:style>
  <w:style w:type="character" w:customStyle="1" w:styleId="1">
    <w:name w:val="Основной текст Знак1"/>
    <w:basedOn w:val="a0"/>
    <w:uiPriority w:val="99"/>
    <w:rsid w:val="00813E02"/>
    <w:rPr>
      <w:rFonts w:ascii="Times New Roman" w:hAnsi="Times New Roman" w:cs="Times New Roman"/>
      <w:spacing w:val="-6"/>
      <w:sz w:val="23"/>
      <w:szCs w:val="23"/>
      <w:u w:val="none"/>
    </w:rPr>
  </w:style>
  <w:style w:type="character" w:styleId="ad">
    <w:name w:val="Hyperlink"/>
    <w:basedOn w:val="a0"/>
    <w:uiPriority w:val="99"/>
    <w:unhideWhenUsed/>
    <w:rsid w:val="00AA5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9866" TargetMode="External"/><Relationship Id="rId3" Type="http://schemas.openxmlformats.org/officeDocument/2006/relationships/styles" Target="styles.xml"/><Relationship Id="rId7" Type="http://schemas.openxmlformats.org/officeDocument/2006/relationships/hyperlink" Target="http://docs.cntd.ru/document/12001098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33BB-9D25-4E2B-8B24-AC6706A9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4</cp:revision>
  <cp:lastPrinted>2020-12-14T11:44:00Z</cp:lastPrinted>
  <dcterms:created xsi:type="dcterms:W3CDTF">2020-12-28T11:39:00Z</dcterms:created>
  <dcterms:modified xsi:type="dcterms:W3CDTF">2020-12-28T12:47:00Z</dcterms:modified>
</cp:coreProperties>
</file>