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544" w:rsidRPr="0049234F" w:rsidRDefault="00321544" w:rsidP="00321544">
      <w:pPr>
        <w:jc w:val="right"/>
      </w:pPr>
    </w:p>
    <w:p w:rsidR="00321544" w:rsidRDefault="00321544" w:rsidP="00321544">
      <w:pPr>
        <w:pStyle w:val="head"/>
        <w:spacing w:before="0" w:beforeAutospacing="0" w:after="0" w:afterAutospacing="0"/>
        <w:rPr>
          <w:b/>
          <w:strike/>
          <w:sz w:val="24"/>
          <w:szCs w:val="24"/>
        </w:rPr>
      </w:pPr>
      <w:r w:rsidRPr="00321544">
        <w:rPr>
          <w:b/>
          <w:strike/>
          <w:sz w:val="24"/>
          <w:szCs w:val="24"/>
        </w:rPr>
        <w:t>МИНИСТЕРСТВО ФИНАНСОВ ПРИДНЕСТРОВСКОЙ МОЛДАВСКОЙ РЕСПУБЛИКИ</w:t>
      </w:r>
    </w:p>
    <w:p w:rsidR="00321544" w:rsidRDefault="00321544" w:rsidP="00321544">
      <w:pPr>
        <w:pStyle w:val="head"/>
        <w:spacing w:before="0" w:beforeAutospacing="0" w:after="0" w:afterAutospacing="0"/>
        <w:rPr>
          <w:b/>
          <w:sz w:val="32"/>
          <w:szCs w:val="32"/>
          <w:shd w:val="clear" w:color="auto" w:fill="FFFFFF"/>
        </w:rPr>
      </w:pPr>
      <w:r w:rsidRPr="00321544">
        <w:rPr>
          <w:b/>
          <w:sz w:val="32"/>
          <w:szCs w:val="32"/>
          <w:shd w:val="clear" w:color="auto" w:fill="FFFFFF"/>
        </w:rPr>
        <w:t xml:space="preserve">Министерство экономического развития </w:t>
      </w:r>
    </w:p>
    <w:p w:rsidR="00321544" w:rsidRPr="00321544" w:rsidRDefault="00321544" w:rsidP="00321544">
      <w:pPr>
        <w:pStyle w:val="head"/>
        <w:spacing w:before="0" w:beforeAutospacing="0" w:after="0" w:afterAutospacing="0"/>
        <w:rPr>
          <w:b/>
          <w:strike/>
          <w:sz w:val="32"/>
          <w:szCs w:val="32"/>
        </w:rPr>
      </w:pPr>
      <w:r w:rsidRPr="00321544">
        <w:rPr>
          <w:b/>
          <w:sz w:val="32"/>
          <w:szCs w:val="32"/>
          <w:shd w:val="clear" w:color="auto" w:fill="FFFFFF"/>
        </w:rPr>
        <w:t>Приднестровской Молдавской Республики.</w:t>
      </w:r>
    </w:p>
    <w:p w:rsidR="00321544" w:rsidRPr="0049234F" w:rsidRDefault="00321544" w:rsidP="00321544">
      <w:pPr>
        <w:pStyle w:val="head"/>
        <w:rPr>
          <w:sz w:val="24"/>
          <w:szCs w:val="24"/>
        </w:rPr>
      </w:pPr>
      <w:r w:rsidRPr="0049234F">
        <w:rPr>
          <w:b/>
          <w:sz w:val="24"/>
          <w:szCs w:val="24"/>
        </w:rPr>
        <w:t>ПРИКАЗ</w:t>
      </w:r>
    </w:p>
    <w:p w:rsidR="00321544" w:rsidRPr="0049234F" w:rsidRDefault="00321544" w:rsidP="00321544">
      <w:pPr>
        <w:pStyle w:val="head"/>
        <w:rPr>
          <w:sz w:val="24"/>
          <w:szCs w:val="24"/>
        </w:rPr>
      </w:pPr>
      <w:r w:rsidRPr="0049234F">
        <w:rPr>
          <w:b/>
          <w:sz w:val="24"/>
          <w:szCs w:val="24"/>
        </w:rPr>
        <w:t>от 10 декабря 2009 г.</w:t>
      </w:r>
      <w:r w:rsidRPr="0049234F">
        <w:rPr>
          <w:sz w:val="24"/>
          <w:szCs w:val="24"/>
        </w:rPr>
        <w:br/>
      </w:r>
      <w:r w:rsidRPr="0049234F">
        <w:rPr>
          <w:b/>
          <w:sz w:val="24"/>
          <w:szCs w:val="24"/>
        </w:rPr>
        <w:t>№ 266</w:t>
      </w:r>
    </w:p>
    <w:p w:rsidR="00321544" w:rsidRPr="0049234F" w:rsidRDefault="00321544" w:rsidP="00321544">
      <w:pPr>
        <w:pStyle w:val="head"/>
        <w:rPr>
          <w:sz w:val="24"/>
          <w:szCs w:val="24"/>
        </w:rPr>
      </w:pPr>
      <w:r w:rsidRPr="0049234F">
        <w:rPr>
          <w:b/>
          <w:sz w:val="24"/>
          <w:szCs w:val="24"/>
        </w:rPr>
        <w:t>Об утверждении стандарта бухгалтерского учета № 5 "Долгосрочные активы, предназначенные для продажи, и прекращенная деятельность"</w:t>
      </w:r>
    </w:p>
    <w:p w:rsidR="00321544" w:rsidRDefault="00321544" w:rsidP="00321544">
      <w:pPr>
        <w:pStyle w:val="a3"/>
        <w:jc w:val="center"/>
      </w:pPr>
      <w:r w:rsidRPr="0049234F">
        <w:t>Зарегистрирован Министерством юстиции</w:t>
      </w:r>
      <w:r w:rsidRPr="0049234F">
        <w:br/>
        <w:t>Приднестровской Молдавской Республики 3 февраля 2010 г.</w:t>
      </w:r>
      <w:r w:rsidRPr="0049234F">
        <w:br/>
        <w:t>Регистрационный № 5140</w:t>
      </w:r>
    </w:p>
    <w:p w:rsidR="00321544" w:rsidRPr="0017204D" w:rsidRDefault="00321544" w:rsidP="00321544">
      <w:pPr>
        <w:pStyle w:val="a3"/>
        <w:jc w:val="center"/>
      </w:pPr>
      <w:r>
        <w:rPr>
          <w:shd w:val="clear" w:color="auto" w:fill="FFFFFF"/>
        </w:rPr>
        <w:t xml:space="preserve">С учетом изменений внесенных </w:t>
      </w:r>
      <w:r w:rsidRPr="0017204D">
        <w:rPr>
          <w:shd w:val="clear" w:color="auto" w:fill="FFFFFF"/>
        </w:rPr>
        <w:t>Приказом Министерства экономического развития Приднестровской Молдавской Республики от 29 декабря 2020 года № 104</w:t>
      </w:r>
      <w:r>
        <w:rPr>
          <w:shd w:val="clear" w:color="auto" w:fill="FFFFFF"/>
        </w:rPr>
        <w:t>9</w:t>
      </w:r>
      <w:r w:rsidR="007C3A22">
        <w:rPr>
          <w:shd w:val="clear" w:color="auto" w:fill="FFFFFF"/>
        </w:rPr>
        <w:t xml:space="preserve"> </w:t>
      </w:r>
      <w:r w:rsidR="007C3A22" w:rsidRPr="00774585">
        <w:rPr>
          <w:shd w:val="clear" w:color="auto" w:fill="FFFFFF"/>
        </w:rPr>
        <w:t>(изменения вступают в силу с 01 января 2022 года)</w:t>
      </w:r>
    </w:p>
    <w:p w:rsidR="00321544" w:rsidRPr="0049234F" w:rsidRDefault="00321544" w:rsidP="00321544">
      <w:pPr>
        <w:ind w:firstLine="480"/>
        <w:jc w:val="both"/>
      </w:pPr>
      <w:r w:rsidRPr="0049234F">
        <w:t xml:space="preserve">В соответствии с </w:t>
      </w:r>
      <w:hyperlink r:id="rId6" w:tooltip="(ВСТУПИЛ В СИЛУ 01.01.2005) О бухгалтерском учете и финансовой отчетности" w:history="1">
        <w:r w:rsidRPr="0049234F">
          <w:rPr>
            <w:rStyle w:val="a4"/>
            <w:color w:val="auto"/>
            <w:u w:val="none"/>
          </w:rPr>
          <w:t>Законом Приднестровской Молдавской Республики от 17 августа 2004 года № 467-З-III "О бухгалтерском учёте и финансовой отчётности"</w:t>
        </w:r>
      </w:hyperlink>
      <w:r w:rsidRPr="0049234F">
        <w:t xml:space="preserve">  (САЗ 04-34) с изменениями и дополнениями, внесёнными </w:t>
      </w:r>
      <w:hyperlink r:id="rId7" w:tooltip="(ВСТУПИЛ В СИЛУ 10.03.2005) О внесении изменения в Закон Приднестровской Молдавской Республики &quot;О бухгалтерском учете и финансовой отчетности&quot;" w:history="1">
        <w:r w:rsidRPr="0049234F">
          <w:rPr>
            <w:rStyle w:val="a4"/>
            <w:color w:val="auto"/>
            <w:u w:val="none"/>
          </w:rPr>
          <w:t>законами Приднестровской Молдавской Республики от 10 марта 2005 года № 544-ЗИ-III</w:t>
        </w:r>
      </w:hyperlink>
      <w:r w:rsidRPr="0049234F">
        <w:t xml:space="preserve"> (САЗ 05-11), </w:t>
      </w:r>
      <w:hyperlink r:id="rId8" w:tooltip="(ВСТУПИЛ В СИЛУ 04.08.2005) О внесении изменений и дополнений в Закон Приднестровской Молдавской Республики &quot;О бухгалтерском учете и финансовой отчетности&quot;" w:history="1">
        <w:r w:rsidRPr="0049234F">
          <w:rPr>
            <w:rStyle w:val="a4"/>
            <w:color w:val="auto"/>
            <w:u w:val="none"/>
          </w:rPr>
          <w:t>от 4 августа 2005 года № 610-ЗИД-III</w:t>
        </w:r>
      </w:hyperlink>
      <w:r w:rsidRPr="0049234F">
        <w:t xml:space="preserve"> (САЗ 05-32), </w:t>
      </w:r>
      <w:hyperlink r:id="rId9" w:tooltip="(ВСТУПИЛ В СИЛУ 23.03.2009) О внесении изменений в Закон Приднестровской Молдавской Республики &quot;О бухгалтерском учете и финансовой отчетности&quot;" w:history="1">
        <w:r w:rsidRPr="0049234F">
          <w:rPr>
            <w:rStyle w:val="a4"/>
            <w:color w:val="auto"/>
            <w:u w:val="none"/>
          </w:rPr>
          <w:t>от 23 марта 2009 года № 683-ЗИ-IV</w:t>
        </w:r>
      </w:hyperlink>
      <w:r w:rsidRPr="0049234F">
        <w:t xml:space="preserve"> (САЗ 09-13), </w:t>
      </w:r>
      <w:hyperlink r:id="rId10" w:tooltip="(ВСТУПИЛ В СИЛУ 28.04.2009) О внесении изменений и дополнений в некоторые Законы Приднестровской Молдавской Республики в целях реализации Государственных мер по минимизации влияния мирового экономического кризиса 2008-2009 годов на экономику Приднестровской Мо" w:history="1">
        <w:r w:rsidRPr="0049234F">
          <w:rPr>
            <w:rStyle w:val="a4"/>
            <w:color w:val="auto"/>
            <w:u w:val="none"/>
          </w:rPr>
          <w:t>от 23 апреля 2009 года № 735-ЗИД-IV</w:t>
        </w:r>
      </w:hyperlink>
      <w:r w:rsidRPr="0049234F">
        <w:t xml:space="preserve"> (САЗ 09-17), </w:t>
      </w:r>
      <w:hyperlink r:id="rId11" w:tooltip="(УТРАТИЛ СИЛУ 27.02.2012) Об утверждении Положения о Министерстве финансов Приднестровской Молдавской Республики" w:history="1">
        <w:r w:rsidRPr="0049234F">
          <w:rPr>
            <w:rStyle w:val="a4"/>
            <w:color w:val="auto"/>
            <w:u w:val="none"/>
          </w:rPr>
          <w:t>Указом Президента Приднестровской Молдавской Республики от 13 февраля 2007 года № 147 "Об утверждении Положения о Министерстве финансов Приднестровской Молдавской Республики"</w:t>
        </w:r>
      </w:hyperlink>
      <w:r w:rsidRPr="0049234F">
        <w:t xml:space="preserve">  (САЗ 07-8) с изменениями и дополнениями, внесенными </w:t>
      </w:r>
      <w:hyperlink r:id="rId12" w:tooltip="(УТРАТИЛ СИЛУ 27.02.2012) Об уполномоченном органе управления фондом Государственного резерва Приднестровской Молдавской Республики" w:history="1">
        <w:r w:rsidRPr="0049234F">
          <w:rPr>
            <w:rStyle w:val="a4"/>
            <w:color w:val="auto"/>
            <w:u w:val="none"/>
          </w:rPr>
          <w:t>указами Президента Приднестровской Молдавской Республики от 6 апреля 2007 года № 273</w:t>
        </w:r>
      </w:hyperlink>
      <w:r w:rsidRPr="0049234F">
        <w:t xml:space="preserve"> (САЗ 07-15), </w:t>
      </w:r>
      <w:hyperlink r:id="rId13" w:tooltip="(ВСТУПИЛ В СИЛУ 24.05.2007) О внесении изменений в некоторые нормативные правовые акты Президента Приднестровской Молдавской Республики" w:history="1">
        <w:r w:rsidRPr="0049234F">
          <w:rPr>
            <w:rStyle w:val="a4"/>
            <w:color w:val="auto"/>
            <w:u w:val="none"/>
          </w:rPr>
          <w:t>от 24 мая 2007 года № 370</w:t>
        </w:r>
      </w:hyperlink>
      <w:r w:rsidRPr="0049234F">
        <w:t xml:space="preserve"> (САЗ 07-22), </w:t>
      </w:r>
      <w:hyperlink r:id="rId14" w:tooltip="(УТРАТИЛ СИЛУ 01.04.2012) О персональном составе комиссии по аудиторской деятельности при Президенте Приднестровской Молдавской Республики и об Уполномоченном органе, в ведении которого находятся вопросы организационного и методического обеспечения комиссии" w:history="1">
        <w:r w:rsidRPr="0049234F">
          <w:rPr>
            <w:rStyle w:val="a4"/>
            <w:color w:val="auto"/>
            <w:u w:val="none"/>
          </w:rPr>
          <w:t>от 31 июля 2007 года № 504</w:t>
        </w:r>
      </w:hyperlink>
      <w:r w:rsidRPr="0049234F">
        <w:t xml:space="preserve"> (САЗ 07-32), </w:t>
      </w:r>
      <w:hyperlink r:id="rId15" w:tooltip="(УТРАТИЛ СИЛУ 27.02.2012) О внесении изменений в Указ Президента Приднестровской Молдавской Республики от 13 февраля 2007 года № 147 &quot;Об утверждении Положения о Министерстве финансов Приднестровской Молдавской Республики&quot;" w:history="1">
        <w:r w:rsidRPr="0049234F">
          <w:rPr>
            <w:rStyle w:val="a4"/>
            <w:color w:val="auto"/>
            <w:u w:val="none"/>
          </w:rPr>
          <w:t>от 5 октября 2007 года № 660</w:t>
        </w:r>
      </w:hyperlink>
      <w:r w:rsidRPr="0049234F">
        <w:t xml:space="preserve"> (САЗ 07-41), </w:t>
      </w:r>
      <w:hyperlink r:id="rId16" w:tooltip="(УТРАТИЛ СИЛУ 27.02.2012) О внесении изменений в Указ Президента Приднестровской Молдавской Республики от 13 февраля 2007 года № 147 &quot;Об утверждении Положения о Министерстве финансов Приднестровской Молдавской Республики&quot;" w:history="1">
        <w:r w:rsidRPr="0049234F">
          <w:rPr>
            <w:rStyle w:val="a4"/>
            <w:color w:val="auto"/>
            <w:u w:val="none"/>
          </w:rPr>
          <w:t>от 1 апреля 2008 года № 208</w:t>
        </w:r>
      </w:hyperlink>
      <w:r w:rsidRPr="0049234F">
        <w:t xml:space="preserve"> (САЗ 08-13), </w:t>
      </w:r>
      <w:hyperlink r:id="rId17" w:tooltip="(УТРАТИЛ СИЛУ 27.02.2012) О внесении изменений в Указ Президента Приднестровской Молдавской Республики от 13 февраля 2007 года № 147 &quot;Об утверждении Положения о Министерстве финансов Приднестровской Молдавской Республики&quot;" w:history="1">
        <w:r w:rsidRPr="0049234F">
          <w:rPr>
            <w:rStyle w:val="a4"/>
            <w:color w:val="auto"/>
            <w:u w:val="none"/>
          </w:rPr>
          <w:t>от 14 августа 2008 года № 518</w:t>
        </w:r>
      </w:hyperlink>
      <w:r w:rsidRPr="0049234F">
        <w:t xml:space="preserve"> (САЗ 08-32), </w:t>
      </w:r>
      <w:hyperlink r:id="rId18" w:tooltip="(УТРАТИЛ СИЛУ 25.04.2012) Об утверждении Положения о фонде Государственного резерва Приднестровской Молдавской Республики" w:history="1">
        <w:r w:rsidRPr="0049234F">
          <w:rPr>
            <w:rStyle w:val="a4"/>
            <w:color w:val="auto"/>
            <w:u w:val="none"/>
          </w:rPr>
          <w:t>от 15 декабря 2008 года № 802</w:t>
        </w:r>
      </w:hyperlink>
      <w:r w:rsidRPr="0049234F">
        <w:t xml:space="preserve"> (САЗ 08-50), </w:t>
      </w:r>
      <w:hyperlink r:id="rId19" w:tooltip="(УТРАТИЛ СИЛУ 27.02.2012) О внесении изменений в Указ Президента Приднестровской Молдавской Республики от 13 февраля 2007 года № 147 &quot;Об утверждении Положения о Министерстве финансов Приднестровской Молдавской Республики&quot;" w:history="1">
        <w:r w:rsidRPr="0049234F">
          <w:rPr>
            <w:rStyle w:val="a4"/>
            <w:color w:val="auto"/>
            <w:u w:val="none"/>
          </w:rPr>
          <w:t>от 30 декабря 2008 года № 842</w:t>
        </w:r>
      </w:hyperlink>
      <w:r w:rsidRPr="0049234F">
        <w:t xml:space="preserve"> (САЗ 09-1), </w:t>
      </w:r>
      <w:hyperlink r:id="rId20" w:tooltip="(УТРАТИЛ СИЛУ 27.02.2012) О внесении изменений в Указ Президента Приднестровской Молдавской Республики от 13 февраля 2007 года № 147 &quot;Об утверждении Положения о Министерстве финансов Приднестровской Молдавской Республики&quot;" w:history="1">
        <w:r w:rsidRPr="0049234F">
          <w:rPr>
            <w:rStyle w:val="a4"/>
            <w:color w:val="auto"/>
            <w:u w:val="none"/>
          </w:rPr>
          <w:t>от 13 апреля 2009 года № 243</w:t>
        </w:r>
      </w:hyperlink>
      <w:r w:rsidRPr="0049234F">
        <w:t xml:space="preserve"> (САЗ 09-16), </w:t>
      </w:r>
      <w:hyperlink r:id="rId21" w:tooltip="(ВСТУПИЛ В СИЛУ 17.09.2009) О внесении изменений в некоторые нормативные правовые акты Президента Приднестровской Молдавской Республики" w:history="1">
        <w:r w:rsidRPr="0049234F">
          <w:rPr>
            <w:rStyle w:val="a4"/>
            <w:color w:val="auto"/>
            <w:u w:val="none"/>
          </w:rPr>
          <w:t>от 17 сентября 2009 года № 666</w:t>
        </w:r>
      </w:hyperlink>
      <w:r w:rsidRPr="0049234F">
        <w:t> (САЗ 09-38), приказываю:</w:t>
      </w:r>
    </w:p>
    <w:p w:rsidR="00321544" w:rsidRPr="0049234F" w:rsidRDefault="00321544" w:rsidP="00321544">
      <w:pPr>
        <w:ind w:firstLine="480"/>
        <w:jc w:val="both"/>
      </w:pPr>
      <w:r w:rsidRPr="0049234F">
        <w:t>1. Утвердить Стандарт бухгалтерского учета № 5 "Долгосрочные активы, предназначенные для продажи, и прекращенная деятельность" согласно Приложению к настоящему Приказу.</w:t>
      </w:r>
    </w:p>
    <w:p w:rsidR="00321544" w:rsidRPr="0049234F" w:rsidRDefault="00321544" w:rsidP="00321544">
      <w:pPr>
        <w:ind w:firstLine="480"/>
        <w:jc w:val="both"/>
      </w:pPr>
      <w:r w:rsidRPr="0049234F">
        <w:t>2. Направить настоящий Приказ на государственную регистрацию в Министерство юстиции Приднестровской Молдавской Республики.</w:t>
      </w:r>
    </w:p>
    <w:p w:rsidR="00321544" w:rsidRPr="0049234F" w:rsidRDefault="00321544" w:rsidP="00321544">
      <w:pPr>
        <w:ind w:firstLine="480"/>
        <w:jc w:val="both"/>
      </w:pPr>
      <w:r w:rsidRPr="0049234F">
        <w:t>3. Настоящий Приказ вступает в силу с 1 января 2011 года.</w:t>
      </w:r>
    </w:p>
    <w:p w:rsidR="00321544" w:rsidRPr="0049234F" w:rsidRDefault="00321544" w:rsidP="00321544">
      <w:pPr>
        <w:pStyle w:val="a3"/>
      </w:pPr>
      <w:r w:rsidRPr="0049234F">
        <w:rPr>
          <w:b/>
        </w:rPr>
        <w:t>МИНИСТР И. МОЛОКАНОВА</w:t>
      </w:r>
    </w:p>
    <w:p w:rsidR="00321544" w:rsidRPr="0049234F" w:rsidRDefault="00321544" w:rsidP="00321544">
      <w:pPr>
        <w:pStyle w:val="a3"/>
      </w:pPr>
      <w:r w:rsidRPr="0049234F">
        <w:t>г. Тирасполь</w:t>
      </w:r>
      <w:r w:rsidRPr="0049234F">
        <w:br/>
        <w:t>10 декабря 2009 г.</w:t>
      </w:r>
      <w:r w:rsidRPr="0049234F">
        <w:br/>
        <w:t>№ 266</w:t>
      </w:r>
    </w:p>
    <w:p w:rsidR="00321544" w:rsidRDefault="00321544" w:rsidP="00321544">
      <w:pPr>
        <w:pStyle w:val="a3"/>
        <w:jc w:val="right"/>
      </w:pPr>
    </w:p>
    <w:p w:rsidR="00321544" w:rsidRDefault="00321544" w:rsidP="00321544">
      <w:pPr>
        <w:pStyle w:val="a3"/>
        <w:jc w:val="right"/>
      </w:pPr>
    </w:p>
    <w:p w:rsidR="00321544" w:rsidRDefault="00321544" w:rsidP="00321544">
      <w:pPr>
        <w:pStyle w:val="a3"/>
        <w:jc w:val="right"/>
      </w:pPr>
    </w:p>
    <w:p w:rsidR="00321544" w:rsidRPr="0049234F" w:rsidRDefault="00321544" w:rsidP="00321544">
      <w:pPr>
        <w:pStyle w:val="a3"/>
        <w:jc w:val="right"/>
      </w:pPr>
      <w:r w:rsidRPr="0049234F">
        <w:t>Приложение</w:t>
      </w:r>
      <w:r w:rsidRPr="0049234F">
        <w:br/>
        <w:t>к Приказу Министерства финансов</w:t>
      </w:r>
      <w:r w:rsidRPr="0049234F">
        <w:br/>
        <w:t>Приднестровской Молдавской Республики</w:t>
      </w:r>
      <w:r w:rsidRPr="0049234F">
        <w:br/>
        <w:t>от 10 декабря 2009 года № 266</w:t>
      </w:r>
    </w:p>
    <w:p w:rsidR="00321544" w:rsidRPr="0049234F" w:rsidRDefault="00321544" w:rsidP="00321544">
      <w:pPr>
        <w:pStyle w:val="Heading1"/>
        <w:ind w:firstLine="480"/>
        <w:jc w:val="center"/>
        <w:rPr>
          <w:rFonts w:ascii="Times New Roman" w:hAnsi="Times New Roman" w:cs="Times New Roman"/>
          <w:color w:val="auto"/>
          <w:sz w:val="24"/>
          <w:szCs w:val="24"/>
        </w:rPr>
      </w:pPr>
      <w:r w:rsidRPr="0049234F">
        <w:rPr>
          <w:rFonts w:ascii="Times New Roman" w:hAnsi="Times New Roman" w:cs="Times New Roman"/>
          <w:color w:val="auto"/>
          <w:sz w:val="24"/>
          <w:szCs w:val="24"/>
        </w:rPr>
        <w:t>СТАНДАРТ БУХГАЛТЕРСКОГО УЧЕТА № 5 (СБУ № 5)</w:t>
      </w:r>
      <w:r w:rsidRPr="0049234F">
        <w:rPr>
          <w:rFonts w:ascii="Times New Roman" w:hAnsi="Times New Roman" w:cs="Times New Roman"/>
          <w:color w:val="auto"/>
          <w:sz w:val="24"/>
          <w:szCs w:val="24"/>
        </w:rPr>
        <w:br/>
        <w:t>"ДОЛГОСРОЧНЫЕ АКТИВЫ, ПРЕДНАЗНАЧЕННЫЕ ДЛЯ ПРОДАЖИ, И</w:t>
      </w:r>
      <w:r w:rsidRPr="0049234F">
        <w:rPr>
          <w:rFonts w:ascii="Times New Roman" w:hAnsi="Times New Roman" w:cs="Times New Roman"/>
          <w:color w:val="auto"/>
          <w:sz w:val="24"/>
          <w:szCs w:val="24"/>
        </w:rPr>
        <w:br/>
        <w:t>ПРЕКРАЩЕННАЯ ДЕЯТЕЛЬНОСТЬ"</w:t>
      </w:r>
    </w:p>
    <w:p w:rsidR="00321544" w:rsidRPr="0049234F" w:rsidRDefault="00321544" w:rsidP="00321544">
      <w:pPr>
        <w:pStyle w:val="Heading2"/>
        <w:ind w:firstLine="480"/>
        <w:jc w:val="center"/>
        <w:rPr>
          <w:rFonts w:ascii="Times New Roman" w:hAnsi="Times New Roman" w:cs="Times New Roman"/>
          <w:color w:val="auto"/>
          <w:sz w:val="24"/>
          <w:szCs w:val="24"/>
        </w:rPr>
      </w:pPr>
      <w:r w:rsidRPr="0049234F">
        <w:rPr>
          <w:rFonts w:ascii="Times New Roman" w:hAnsi="Times New Roman" w:cs="Times New Roman"/>
          <w:color w:val="auto"/>
          <w:sz w:val="24"/>
          <w:szCs w:val="24"/>
        </w:rPr>
        <w:t>1. ОБЩИЕ ПОЛОЖЕНИЯ</w:t>
      </w:r>
    </w:p>
    <w:p w:rsidR="00321544" w:rsidRPr="0049234F" w:rsidRDefault="00321544" w:rsidP="00321544">
      <w:pPr>
        <w:ind w:firstLine="480"/>
        <w:jc w:val="both"/>
      </w:pPr>
      <w:r w:rsidRPr="0049234F">
        <w:t xml:space="preserve">1. Стандарт бухгалтерского учета № 5 (СБУ № 5) "Долгосрочные активы, предназначенные для продажи, и прекращенная деятельность" (далее по тексту - Стандарт) разработан во исполнение </w:t>
      </w:r>
      <w:hyperlink r:id="rId22" w:tooltip="(ВСТУПИЛ В СИЛУ 01.01.2005) О бухгалтерском учете и финансовой отчетности" w:history="1">
        <w:r w:rsidRPr="0049234F">
          <w:rPr>
            <w:rStyle w:val="a4"/>
            <w:color w:val="auto"/>
            <w:u w:val="none"/>
          </w:rPr>
          <w:t>Закона Приднестровской Молдавской Республики от 17 августа 2004 года № 467-З-III "О бухгалтерском учете и финансовой отчетности"</w:t>
        </w:r>
      </w:hyperlink>
      <w:r w:rsidRPr="0049234F">
        <w:t> (САЗ 04-34) с учетом необходимости обеспечения единообразного формирования полной и достоверной информации о финансовом положении, финансовых результатах деятельности и изменениях в финансовом положении организаций в соответствии с требованиями рыночной экономики и процесса гармонизации международных норм и стандартов бухгалтерского учета для удовлетворения общих информационных потребностей широкого круга заинтересованных пользователей и принятия ими экономических решений.</w:t>
      </w:r>
    </w:p>
    <w:p w:rsidR="00321544" w:rsidRPr="0049234F" w:rsidRDefault="00321544" w:rsidP="00321544">
      <w:pPr>
        <w:ind w:firstLine="480"/>
        <w:jc w:val="both"/>
      </w:pPr>
      <w:r w:rsidRPr="0049234F">
        <w:t>2. Настоящий Стандарт устанавливает методологические основы формирования в бухгалтерском учете информации о долгосрочных активах, предназначенных для продажи, находящихся у организаций (юридических лиц) на праве собственности, хозяйственного ведения, оперативного и доверительного управления и прочих условиях, а также представления и раскрытия информации о прекращенной деятельности организаций (юридических лиц).</w:t>
      </w:r>
    </w:p>
    <w:p w:rsidR="00321544" w:rsidRPr="0049234F" w:rsidRDefault="00321544" w:rsidP="00321544">
      <w:pPr>
        <w:ind w:firstLine="480"/>
        <w:jc w:val="both"/>
      </w:pPr>
      <w:r w:rsidRPr="0049234F">
        <w:t>3. Настоящий Стандарт является элементом системы нормативного регулирования бухгалтерского учета в Приднестровской Молдавской Республике и должен применяться с учетом других Стандартов бухгалтерского учета.</w:t>
      </w:r>
    </w:p>
    <w:p w:rsidR="00321544" w:rsidRPr="0049234F" w:rsidRDefault="00321544" w:rsidP="00321544">
      <w:pPr>
        <w:pStyle w:val="Heading2"/>
        <w:ind w:firstLine="480"/>
        <w:jc w:val="center"/>
        <w:rPr>
          <w:rFonts w:ascii="Times New Roman" w:hAnsi="Times New Roman" w:cs="Times New Roman"/>
          <w:color w:val="auto"/>
          <w:sz w:val="24"/>
          <w:szCs w:val="24"/>
        </w:rPr>
      </w:pPr>
      <w:r w:rsidRPr="0049234F">
        <w:rPr>
          <w:rFonts w:ascii="Times New Roman" w:hAnsi="Times New Roman" w:cs="Times New Roman"/>
          <w:color w:val="auto"/>
          <w:sz w:val="24"/>
          <w:szCs w:val="24"/>
        </w:rPr>
        <w:t>2. ЦЕЛЬ</w:t>
      </w:r>
    </w:p>
    <w:p w:rsidR="00321544" w:rsidRPr="0049234F" w:rsidRDefault="00321544" w:rsidP="00321544">
      <w:pPr>
        <w:ind w:firstLine="480"/>
        <w:jc w:val="both"/>
      </w:pPr>
      <w:r w:rsidRPr="0049234F">
        <w:t>4. Цель настоящего Стандарта состоит в определении порядка учета активов, предназначенных для продажи, а также в определении порядка представления и раскрытия информации о прекращенной деятельности. В частности, настоящий Стандарт устанавливает следующее:</w:t>
      </w:r>
    </w:p>
    <w:p w:rsidR="00321544" w:rsidRPr="0049234F" w:rsidRDefault="00321544" w:rsidP="00321544">
      <w:pPr>
        <w:ind w:firstLine="480"/>
        <w:jc w:val="both"/>
      </w:pPr>
      <w:r w:rsidRPr="0049234F">
        <w:t>а) активы, удовлетворяющие критериям классификации в качестве предназначенных для продажи подлежат оценке по меньшей из двух величин: балансовой стоимости и справедливой стоимости за вычетом затрат на продажу. При этом амортизация данных активов должна быть прекращена;</w:t>
      </w:r>
    </w:p>
    <w:p w:rsidR="00321544" w:rsidRPr="0049234F" w:rsidRDefault="00321544" w:rsidP="00321544">
      <w:pPr>
        <w:ind w:firstLine="480"/>
        <w:jc w:val="both"/>
      </w:pPr>
      <w:r w:rsidRPr="0049234F">
        <w:t xml:space="preserve">б) информация об активах, удовлетворяющих критериям классификации в качестве предназначенных для продажи, предоставляется отдельно в балансовом отчете о финансовом </w:t>
      </w:r>
      <w:r w:rsidRPr="0049234F">
        <w:lastRenderedPageBreak/>
        <w:t>положении, а информация о результате прекращенной деятельности - отдельно в отчете о совокупном доходе.</w:t>
      </w:r>
    </w:p>
    <w:p w:rsidR="00321544" w:rsidRPr="0049234F" w:rsidRDefault="00321544" w:rsidP="00321544">
      <w:pPr>
        <w:pStyle w:val="Heading2"/>
        <w:ind w:firstLine="480"/>
        <w:jc w:val="center"/>
        <w:rPr>
          <w:rFonts w:ascii="Times New Roman" w:hAnsi="Times New Roman" w:cs="Times New Roman"/>
          <w:color w:val="auto"/>
          <w:sz w:val="24"/>
          <w:szCs w:val="24"/>
        </w:rPr>
      </w:pPr>
      <w:r w:rsidRPr="0049234F">
        <w:rPr>
          <w:rFonts w:ascii="Times New Roman" w:hAnsi="Times New Roman" w:cs="Times New Roman"/>
          <w:color w:val="auto"/>
          <w:sz w:val="24"/>
          <w:szCs w:val="24"/>
        </w:rPr>
        <w:t>3. СФЕРА ПРИМЕНЕНИЯ</w:t>
      </w:r>
    </w:p>
    <w:p w:rsidR="00321544" w:rsidRPr="0049234F" w:rsidRDefault="00321544" w:rsidP="00321544">
      <w:pPr>
        <w:ind w:firstLine="480"/>
        <w:jc w:val="both"/>
      </w:pPr>
      <w:r w:rsidRPr="0049234F">
        <w:t>5. Требования, содержащиеся в настоящем стандарте, касающиеся классификации и представления информации, применяются ко всем признанным долгосрочным активам и группам выбытия, которыми располагает организация.</w:t>
      </w:r>
    </w:p>
    <w:p w:rsidR="00321544" w:rsidRPr="0049234F" w:rsidRDefault="00321544" w:rsidP="00321544">
      <w:pPr>
        <w:ind w:firstLine="480"/>
        <w:jc w:val="both"/>
      </w:pPr>
      <w:r w:rsidRPr="0049234F">
        <w:t>С точки зрения классификации по признаку ликвидности, долгосрочные активы представляют собой суммы, которые предполагается получить по ним через двенадцать месяцев после отчетной даты. Пункт 6 настоящего Стандарта применяется к классификации данных активов.</w:t>
      </w:r>
    </w:p>
    <w:p w:rsidR="00321544" w:rsidRPr="0049234F" w:rsidRDefault="00321544" w:rsidP="00321544">
      <w:pPr>
        <w:ind w:firstLine="480"/>
        <w:jc w:val="both"/>
      </w:pPr>
      <w:r w:rsidRPr="0049234F">
        <w:t>Требования к оценке, изложенные в настоящем Стандарте, подлежат применению ко всем признанным долгосрочным активам и группам выбытия (согласно пункту 7 настоящего Стандарта). Исключение составляют активы, перечисленные в пункте 8 настоящего Стандарта.</w:t>
      </w:r>
    </w:p>
    <w:p w:rsidR="00321544" w:rsidRPr="0049234F" w:rsidRDefault="00321544" w:rsidP="00321544">
      <w:pPr>
        <w:ind w:firstLine="480"/>
        <w:jc w:val="both"/>
      </w:pPr>
      <w:r w:rsidRPr="0049234F">
        <w:t>6. Активы, классифицированные как долгосрочные, не подлежат переклассификации в категорию краткосрочных до тех пор, пока они не удовлетворяют критериям классификации в качестве предназначенные для продажи в соответствии с настоящим Стандартом. Активы, которые в обычных условиях относятся к категории долгосрочных и которые приобретены исключительно с целью перепродажи, не подлежат классификации в качестве краткосрочных до тех пор, пока они не удовлетворяют критериям классификации в качестве предназначенных для продажи в соответствии с настоящим Стандартом.</w:t>
      </w:r>
    </w:p>
    <w:p w:rsidR="00321544" w:rsidRPr="0049234F" w:rsidRDefault="00321544" w:rsidP="00321544">
      <w:pPr>
        <w:ind w:firstLine="480"/>
        <w:jc w:val="both"/>
      </w:pPr>
      <w:r w:rsidRPr="0049234F">
        <w:t>7. В рамках одной сделки группа активов может подлежать продаже в совокупности с рядом непосредственных связанных с ней обязательств.</w:t>
      </w:r>
    </w:p>
    <w:p w:rsidR="00321544" w:rsidRPr="0049234F" w:rsidRDefault="00321544" w:rsidP="00321544">
      <w:pPr>
        <w:ind w:firstLine="480"/>
        <w:jc w:val="both"/>
      </w:pPr>
      <w:r w:rsidRPr="0049234F">
        <w:t>Такой группой выбытия может являться:</w:t>
      </w:r>
    </w:p>
    <w:p w:rsidR="00321544" w:rsidRPr="0049234F" w:rsidRDefault="00321544" w:rsidP="00321544">
      <w:pPr>
        <w:ind w:firstLine="480"/>
        <w:jc w:val="both"/>
      </w:pPr>
      <w:r w:rsidRPr="0049234F">
        <w:t>а) группа генерирующих единиц;</w:t>
      </w:r>
    </w:p>
    <w:p w:rsidR="00321544" w:rsidRPr="0049234F" w:rsidRDefault="00321544" w:rsidP="00321544">
      <w:pPr>
        <w:ind w:firstLine="480"/>
        <w:jc w:val="both"/>
      </w:pPr>
      <w:r w:rsidRPr="0049234F">
        <w:t>б) одна генерирующая единица;</w:t>
      </w:r>
    </w:p>
    <w:p w:rsidR="00321544" w:rsidRPr="0049234F" w:rsidRDefault="00321544" w:rsidP="00321544">
      <w:pPr>
        <w:ind w:firstLine="480"/>
        <w:jc w:val="both"/>
      </w:pPr>
      <w:r w:rsidRPr="0049234F">
        <w:t>в) часть генерирующей единицы.</w:t>
      </w:r>
    </w:p>
    <w:p w:rsidR="00321544" w:rsidRPr="0049234F" w:rsidRDefault="00321544" w:rsidP="00321544">
      <w:pPr>
        <w:ind w:firstLine="480"/>
        <w:jc w:val="both"/>
      </w:pPr>
      <w:r w:rsidRPr="0049234F">
        <w:t>В данную группу могут включаться любые активы и любые обязательства организации, в том числе краткосрочные активы и краткосрочные обязательства, а также активы, которые согласно пункту 8 настоящего Стандарта, не относятся к активам, подлежащим оценке в соответствии с настоящим Стандартом.</w:t>
      </w:r>
    </w:p>
    <w:p w:rsidR="00321544" w:rsidRPr="0049234F" w:rsidRDefault="00321544" w:rsidP="00321544">
      <w:pPr>
        <w:ind w:firstLine="480"/>
        <w:jc w:val="both"/>
      </w:pPr>
      <w:r w:rsidRPr="0049234F">
        <w:t>Если предполагается, что денежные потоки от актива или группы активов будут возникать преимущественно вследствие продажи, а не дальнейшего использования, то уменьшается их зависимость от денежных потоков, возникающих в связи с другими активами. При этом группа выбытия, которая является частью генерирующей единицы, подлежит классификации как самостоятельная генерирующая единица.</w:t>
      </w:r>
    </w:p>
    <w:p w:rsidR="00321544" w:rsidRPr="0049234F" w:rsidRDefault="00321544" w:rsidP="00321544">
      <w:pPr>
        <w:ind w:firstLine="480"/>
        <w:jc w:val="both"/>
      </w:pPr>
      <w:r w:rsidRPr="0049234F">
        <w:t>Если долгосрочный актив удовлетворяет требованиям к оценке согласно настоящему Стандарту и является частью группы выбытия, то установленные настоящим Стандартом требования к оценке применяются ко всей данной группе в целом. При этом данная группа подлежит оценке по наименьшей из двух величин: балансовой стоимости и справедливой стоимости за вычетом затрат на продажу. Требования к оценке индивидуальных активов и обязательств в составе группы выбытия изложены в пунктах 22, 23, 27 настоящего Стандарта.</w:t>
      </w:r>
    </w:p>
    <w:p w:rsidR="00321544" w:rsidRPr="0049234F" w:rsidRDefault="00321544" w:rsidP="00321544">
      <w:pPr>
        <w:ind w:firstLine="480"/>
        <w:jc w:val="both"/>
      </w:pPr>
      <w:r w:rsidRPr="0049234F">
        <w:t>8. Положения настоящего стандарта в части оценки не применяются к перечисленным ниже активам, оценка которых производится в соответствии с требованиями других стандартов бухгалтерского учета либо на индивидуальной основе, либо в составе группы выбытия:</w:t>
      </w:r>
    </w:p>
    <w:p w:rsidR="00321544" w:rsidRPr="0049234F" w:rsidRDefault="00321544" w:rsidP="00321544">
      <w:pPr>
        <w:ind w:firstLine="480"/>
        <w:jc w:val="both"/>
      </w:pPr>
      <w:r w:rsidRPr="0049234F">
        <w:t>а) отложенным налоговым активам;</w:t>
      </w:r>
    </w:p>
    <w:p w:rsidR="00321544" w:rsidRPr="0049234F" w:rsidRDefault="00321544" w:rsidP="00321544">
      <w:pPr>
        <w:ind w:firstLine="480"/>
        <w:jc w:val="both"/>
      </w:pPr>
      <w:r w:rsidRPr="0049234F">
        <w:lastRenderedPageBreak/>
        <w:t>б) активов, возникающих из вознаграждений работникам;</w:t>
      </w:r>
    </w:p>
    <w:p w:rsidR="00321544" w:rsidRPr="0049234F" w:rsidRDefault="00321544" w:rsidP="00321544">
      <w:pPr>
        <w:ind w:firstLine="480"/>
        <w:jc w:val="both"/>
      </w:pPr>
      <w:r w:rsidRPr="0049234F">
        <w:t>в) финансовым активам;</w:t>
      </w:r>
    </w:p>
    <w:p w:rsidR="00321544" w:rsidRPr="0049234F" w:rsidRDefault="00321544" w:rsidP="00321544">
      <w:pPr>
        <w:ind w:firstLine="480"/>
        <w:jc w:val="both"/>
      </w:pPr>
      <w:r w:rsidRPr="0049234F">
        <w:t>г) долгосрочным активам, учитываемым в соответствии с моделью учета по справедливой стоимости согласно Стандарту бухгалтерского учета № 40 "Инвестиционная недвижимость";</w:t>
      </w:r>
    </w:p>
    <w:p w:rsidR="00321544" w:rsidRPr="0049234F" w:rsidRDefault="00321544" w:rsidP="00321544">
      <w:pPr>
        <w:ind w:firstLine="480"/>
        <w:jc w:val="both"/>
      </w:pPr>
      <w:r w:rsidRPr="0049234F">
        <w:t>д) долгосрочным активам, оцениваемым по справедливой стоимости за вычетом предполагаемых сбытовых расходов, в соответствии со Стандартом бухгалтерского учета № 41 "Сельское хозяйство";</w:t>
      </w:r>
    </w:p>
    <w:p w:rsidR="00321544" w:rsidRPr="0049234F" w:rsidRDefault="00321544" w:rsidP="00321544">
      <w:pPr>
        <w:ind w:firstLine="480"/>
        <w:jc w:val="both"/>
      </w:pPr>
      <w:r w:rsidRPr="0049234F">
        <w:t>е) правам по договорам страхования.</w:t>
      </w:r>
    </w:p>
    <w:p w:rsidR="00321544" w:rsidRPr="00321544" w:rsidRDefault="00321544" w:rsidP="00321544">
      <w:pPr>
        <w:ind w:firstLine="709"/>
        <w:jc w:val="both"/>
      </w:pPr>
      <w:r w:rsidRPr="0049234F">
        <w:t xml:space="preserve">9. Настоящий Стандарт распространяется на все юридические лица, которые занимаются финансово-хозяйственной деятельностью и зарегистрированы в Приднестровской Молдавской Республике, а также на их филиалы, представительства и другие структурные подразделения, расположенные как на территории Приднестровской Молдавской Республики, так и за ее пределами </w:t>
      </w:r>
      <w:r w:rsidRPr="00321544">
        <w:t>независимо от формы собственности, отраслевой принадлежности и организационно-правовой формы.</w:t>
      </w:r>
    </w:p>
    <w:p w:rsidR="00321544" w:rsidRPr="00321544" w:rsidRDefault="00321544" w:rsidP="00321544">
      <w:pPr>
        <w:pStyle w:val="a3"/>
        <w:shd w:val="clear" w:color="auto" w:fill="FFFFFF"/>
        <w:spacing w:before="0" w:beforeAutospacing="0" w:after="0" w:afterAutospacing="0"/>
        <w:ind w:firstLine="709"/>
        <w:jc w:val="both"/>
      </w:pPr>
      <w:r w:rsidRPr="00321544">
        <w:t>10. Требования настоящего Стандарта не распространяются на:</w:t>
      </w:r>
    </w:p>
    <w:p w:rsidR="00321544" w:rsidRPr="00321544" w:rsidRDefault="00321544" w:rsidP="00321544">
      <w:pPr>
        <w:pStyle w:val="a3"/>
        <w:shd w:val="clear" w:color="auto" w:fill="FFFFFF"/>
        <w:spacing w:before="0" w:beforeAutospacing="0" w:after="0" w:afterAutospacing="0"/>
        <w:ind w:firstLine="709"/>
        <w:jc w:val="both"/>
      </w:pPr>
      <w:r w:rsidRPr="00321544">
        <w:t>а) бюджетные и некоммерческие организации, за исключением бюджетных и некоммерческих организаций по доходам, получаемым от предпринимательской и иной коммерческой деятельности;</w:t>
      </w:r>
    </w:p>
    <w:p w:rsidR="00321544" w:rsidRPr="00321544" w:rsidRDefault="00321544" w:rsidP="00321544">
      <w:pPr>
        <w:pStyle w:val="a3"/>
        <w:shd w:val="clear" w:color="auto" w:fill="FFFFFF"/>
        <w:spacing w:before="0" w:beforeAutospacing="0" w:after="0" w:afterAutospacing="0"/>
        <w:ind w:firstLine="709"/>
        <w:jc w:val="both"/>
      </w:pPr>
      <w:r w:rsidRPr="00321544">
        <w:t>б) кредитные, страховые и иные организации, подконтрольные в своей деятельности центральному банку Приднестровской Молдавской Республики, при условии наличия нормативных правовых актов центрального банка Приднестровской Молдавской Республики, устанавливающих нормативные требования для таких организаций.</w:t>
      </w:r>
    </w:p>
    <w:p w:rsidR="00321544" w:rsidRPr="00321544" w:rsidRDefault="00321544" w:rsidP="00321544">
      <w:pPr>
        <w:pStyle w:val="a3"/>
        <w:shd w:val="clear" w:color="auto" w:fill="FFFFFF"/>
        <w:spacing w:before="0" w:beforeAutospacing="0" w:after="0" w:afterAutospacing="0"/>
        <w:ind w:firstLine="709"/>
        <w:jc w:val="both"/>
      </w:pPr>
    </w:p>
    <w:p w:rsidR="00321544" w:rsidRDefault="00321544" w:rsidP="00321544">
      <w:pPr>
        <w:ind w:firstLine="480"/>
        <w:jc w:val="center"/>
      </w:pPr>
      <w:r w:rsidRPr="0049234F">
        <w:t>4. ОПРЕДЕЛЕНИЯ</w:t>
      </w:r>
    </w:p>
    <w:p w:rsidR="00321544" w:rsidRPr="0049234F" w:rsidRDefault="00321544" w:rsidP="00321544">
      <w:pPr>
        <w:ind w:firstLine="480"/>
        <w:jc w:val="center"/>
      </w:pPr>
    </w:p>
    <w:p w:rsidR="00321544" w:rsidRPr="0049234F" w:rsidRDefault="00321544" w:rsidP="00321544">
      <w:pPr>
        <w:ind w:firstLine="480"/>
        <w:jc w:val="both"/>
      </w:pPr>
      <w:r w:rsidRPr="0049234F">
        <w:t>11. Термины, используемые в настоящем Стандарте, означают следующее:</w:t>
      </w:r>
    </w:p>
    <w:p w:rsidR="00321544" w:rsidRPr="0049234F" w:rsidRDefault="00321544" w:rsidP="00321544">
      <w:pPr>
        <w:ind w:firstLine="480"/>
        <w:jc w:val="both"/>
      </w:pPr>
      <w:r w:rsidRPr="0049234F">
        <w:t>Генерирующая единица - наименьшая идентифицируемая группа активов, обеспечивающая поступления денежных средств, которые в значительной степени независимы от притоков денежных средств от других активов или групп активов.</w:t>
      </w:r>
    </w:p>
    <w:p w:rsidR="00321544" w:rsidRPr="0049234F" w:rsidRDefault="00321544" w:rsidP="00321544">
      <w:pPr>
        <w:ind w:firstLine="480"/>
        <w:jc w:val="both"/>
      </w:pPr>
      <w:r w:rsidRPr="0049234F">
        <w:t>Компонент организации - деятельность в совокупности с относимыми к ней денежными потоками, которая с операционной точки зрения и в целях финансовой отчетности может быть отделима от остальной части организации.</w:t>
      </w:r>
    </w:p>
    <w:p w:rsidR="00321544" w:rsidRPr="0049234F" w:rsidRDefault="00321544" w:rsidP="00321544">
      <w:pPr>
        <w:ind w:firstLine="480"/>
        <w:jc w:val="both"/>
      </w:pPr>
      <w:r w:rsidRPr="0049234F">
        <w:t>Затраты на продажу - дополнительные затраты, которые прямо связаны с выбытием актива (или группы выбытия), за исключением финансовых затрат и расходов по налогу на доходы.</w:t>
      </w:r>
    </w:p>
    <w:p w:rsidR="00321544" w:rsidRPr="0049234F" w:rsidRDefault="00321544" w:rsidP="00321544">
      <w:pPr>
        <w:ind w:firstLine="480"/>
        <w:jc w:val="both"/>
      </w:pPr>
      <w:r w:rsidRPr="0049234F">
        <w:t>Актив подлежит классификации как краткосрочный когда:</w:t>
      </w:r>
    </w:p>
    <w:p w:rsidR="00321544" w:rsidRPr="0049234F" w:rsidRDefault="00321544" w:rsidP="00321544">
      <w:pPr>
        <w:ind w:firstLine="480"/>
        <w:jc w:val="both"/>
      </w:pPr>
      <w:r w:rsidRPr="0049234F">
        <w:t>а) организация предполагает реализовать актив или осуществить его потребление при обычных условиях операционного цикла;</w:t>
      </w:r>
    </w:p>
    <w:p w:rsidR="00321544" w:rsidRPr="0049234F" w:rsidRDefault="00321544" w:rsidP="00321544">
      <w:pPr>
        <w:ind w:firstLine="480"/>
        <w:jc w:val="both"/>
      </w:pPr>
      <w:r w:rsidRPr="0049234F">
        <w:t>б) организация удерживает актив преимущественно для целей продажи;</w:t>
      </w:r>
    </w:p>
    <w:p w:rsidR="00321544" w:rsidRPr="0049234F" w:rsidRDefault="00321544" w:rsidP="00321544">
      <w:pPr>
        <w:ind w:firstLine="480"/>
        <w:jc w:val="both"/>
      </w:pPr>
      <w:r w:rsidRPr="0049234F">
        <w:t>в) организация предполагает реализовать актив в течение двенадцати месяцев после отчетного периода;</w:t>
      </w:r>
    </w:p>
    <w:p w:rsidR="00321544" w:rsidRPr="0049234F" w:rsidRDefault="00321544" w:rsidP="00321544">
      <w:pPr>
        <w:ind w:firstLine="480"/>
        <w:jc w:val="both"/>
      </w:pPr>
      <w:r w:rsidRPr="0049234F">
        <w:t>г) актив представляет собой денежные средства или эквивалент денежных средств, кроме случаев, когда его запрещено обменивать или использовать для погашения какого-либо обязательства в течение, по меньшей мере, двенадцати месяцев после отчетного периода.</w:t>
      </w:r>
    </w:p>
    <w:p w:rsidR="00321544" w:rsidRPr="0049234F" w:rsidRDefault="00321544" w:rsidP="00321544">
      <w:pPr>
        <w:ind w:firstLine="480"/>
        <w:jc w:val="both"/>
      </w:pPr>
      <w:r w:rsidRPr="0049234F">
        <w:t>Прекращенная деятельность - компонент организации, который:</w:t>
      </w:r>
    </w:p>
    <w:p w:rsidR="00321544" w:rsidRPr="0049234F" w:rsidRDefault="00321544" w:rsidP="00321544">
      <w:pPr>
        <w:ind w:firstLine="480"/>
        <w:jc w:val="both"/>
      </w:pPr>
      <w:r w:rsidRPr="0049234F">
        <w:t>а) уже выбыл, либо классифицирован как предназначенный для продажи;</w:t>
      </w:r>
    </w:p>
    <w:p w:rsidR="00321544" w:rsidRPr="0049234F" w:rsidRDefault="00321544" w:rsidP="00321544">
      <w:pPr>
        <w:ind w:firstLine="480"/>
        <w:jc w:val="both"/>
      </w:pPr>
      <w:r w:rsidRPr="0049234F">
        <w:lastRenderedPageBreak/>
        <w:t>б) является отдельным крупным направлением деятельности или географическим районом, в котором осуществляется деятельность;</w:t>
      </w:r>
    </w:p>
    <w:p w:rsidR="00321544" w:rsidRPr="0049234F" w:rsidRDefault="00321544" w:rsidP="00321544">
      <w:pPr>
        <w:ind w:firstLine="480"/>
        <w:jc w:val="both"/>
      </w:pPr>
      <w:r w:rsidRPr="0049234F">
        <w:t>в) включен в единый план выбытия отдельного направления деятельности организации;</w:t>
      </w:r>
    </w:p>
    <w:p w:rsidR="00321544" w:rsidRPr="0049234F" w:rsidRDefault="00321544" w:rsidP="00321544">
      <w:pPr>
        <w:ind w:firstLine="480"/>
        <w:jc w:val="both"/>
      </w:pPr>
      <w:r w:rsidRPr="0049234F">
        <w:t>г) является дочерней организацией, приобретенной с целью перепродажи.</w:t>
      </w:r>
    </w:p>
    <w:p w:rsidR="00321544" w:rsidRPr="0049234F" w:rsidRDefault="00321544" w:rsidP="00321544">
      <w:pPr>
        <w:ind w:firstLine="480"/>
        <w:jc w:val="both"/>
      </w:pPr>
      <w:r w:rsidRPr="0049234F">
        <w:t>Группа выбытия - группа активов, предназначенная для выбытия путем продажи или либо другим способом в результате единой операции, а также обязательств, непосредственно связанных с данными активами, которые передаются в результате данной операции. Данная группа включает в себя деловую репутацию, приобретенную при объединении организаций при условии, что эта группа является генерирующей единицей, на которую распределена деловая репутация в соответствии с требованиями отдельных Стандартов бухгалтерского учета, или если она представляет собой деятельность, осуществляемую внутри данной генерирующей единицы.</w:t>
      </w:r>
    </w:p>
    <w:p w:rsidR="00321544" w:rsidRPr="0049234F" w:rsidRDefault="00321544" w:rsidP="00321544">
      <w:pPr>
        <w:ind w:firstLine="480"/>
        <w:jc w:val="both"/>
      </w:pPr>
      <w:r w:rsidRPr="0049234F">
        <w:t>Справедливая стоимость - сумма, на которую можно обменять актив или урегулировать обязательства при совершении сделки между хорошо осведомленными, желающими совершить такую сделку и независимыми друг от друга сторонами.</w:t>
      </w:r>
    </w:p>
    <w:p w:rsidR="00321544" w:rsidRPr="0049234F" w:rsidRDefault="00321544" w:rsidP="00321544">
      <w:pPr>
        <w:ind w:firstLine="480"/>
        <w:jc w:val="both"/>
      </w:pPr>
      <w:r w:rsidRPr="0049234F">
        <w:t>Твердое согласие на покупку - соглашение с несвязанной стороной, обязательное для исполнения обеими сторонами. В таком соглашении должны быть указаны все существенные условия и предусмотрены серьезные юридические санкции в случае его неисполнения, придающие исполнению соглашения высокую степень вероятности.</w:t>
      </w:r>
    </w:p>
    <w:p w:rsidR="00321544" w:rsidRPr="0049234F" w:rsidRDefault="00321544" w:rsidP="00321544">
      <w:pPr>
        <w:ind w:firstLine="480"/>
        <w:jc w:val="both"/>
      </w:pPr>
      <w:r w:rsidRPr="0049234F">
        <w:t>Долгосрочный актив - актив, не отвечающий определению краткосрочного актива.</w:t>
      </w:r>
    </w:p>
    <w:p w:rsidR="00321544" w:rsidRPr="0049234F" w:rsidRDefault="00321544" w:rsidP="00321544">
      <w:pPr>
        <w:ind w:firstLine="480"/>
        <w:jc w:val="both"/>
      </w:pPr>
      <w:r w:rsidRPr="0049234F">
        <w:t>Вероятно - более вероятно, чем нет.</w:t>
      </w:r>
    </w:p>
    <w:p w:rsidR="00321544" w:rsidRPr="0049234F" w:rsidRDefault="00321544" w:rsidP="00321544">
      <w:pPr>
        <w:ind w:firstLine="480"/>
        <w:jc w:val="both"/>
      </w:pPr>
      <w:r w:rsidRPr="0049234F">
        <w:t>Возмещаемая сумма - наибольшая из двух величин: справедливой стоимости актива за вычетом затрат на продажу и ценности использования актива.</w:t>
      </w:r>
    </w:p>
    <w:p w:rsidR="00321544" w:rsidRPr="0049234F" w:rsidRDefault="00321544" w:rsidP="00321544">
      <w:pPr>
        <w:ind w:firstLine="480"/>
        <w:jc w:val="both"/>
      </w:pPr>
      <w:r w:rsidRPr="0049234F">
        <w:t>Ценность использования - дисконтированная стоимость прогнозируемых потоков денежных средств, появление которых ожидается от продолжающегося использования актива или от его выбытия в конце срока его полезной службы.</w:t>
      </w:r>
    </w:p>
    <w:p w:rsidR="00321544" w:rsidRPr="0049234F" w:rsidRDefault="00321544" w:rsidP="00321544">
      <w:pPr>
        <w:pStyle w:val="Heading2"/>
        <w:ind w:firstLine="480"/>
        <w:jc w:val="center"/>
        <w:rPr>
          <w:rFonts w:ascii="Times New Roman" w:hAnsi="Times New Roman" w:cs="Times New Roman"/>
          <w:color w:val="auto"/>
          <w:sz w:val="24"/>
          <w:szCs w:val="24"/>
        </w:rPr>
      </w:pPr>
      <w:r w:rsidRPr="0049234F">
        <w:rPr>
          <w:rFonts w:ascii="Times New Roman" w:hAnsi="Times New Roman" w:cs="Times New Roman"/>
          <w:color w:val="auto"/>
          <w:sz w:val="24"/>
          <w:szCs w:val="24"/>
        </w:rPr>
        <w:t>5. КЛАССИФИКАЦИЯ ДОЛГОСРОЧНЫХ АКТИВОВ (ИЛИ ГРУПП ВЫБЫТИЯ) КАК ПРЕДНАЗНАЧЕННЫХ ДЛЯ ПРОДАЖИ</w:t>
      </w:r>
    </w:p>
    <w:p w:rsidR="00321544" w:rsidRPr="0049234F" w:rsidRDefault="00321544" w:rsidP="00321544">
      <w:pPr>
        <w:ind w:firstLine="480"/>
        <w:jc w:val="both"/>
      </w:pPr>
      <w:r w:rsidRPr="0049234F">
        <w:t>12. Долгосрочный актив (или группа выбытия) подлежит классификации как предназначенный для продажи, если его балансовая стоимость будет возмещена преимущественно посредством продажи, а не дальнейшего использования.</w:t>
      </w:r>
    </w:p>
    <w:p w:rsidR="00321544" w:rsidRPr="0049234F" w:rsidRDefault="00321544" w:rsidP="00321544">
      <w:pPr>
        <w:ind w:firstLine="480"/>
        <w:jc w:val="both"/>
      </w:pPr>
      <w:r w:rsidRPr="0049234F">
        <w:t>При этом должны быть соблюдены следующие условия:</w:t>
      </w:r>
    </w:p>
    <w:p w:rsidR="00321544" w:rsidRPr="0049234F" w:rsidRDefault="00321544" w:rsidP="00321544">
      <w:pPr>
        <w:ind w:firstLine="480"/>
        <w:jc w:val="both"/>
      </w:pPr>
      <w:r w:rsidRPr="0049234F">
        <w:t>а) актив (или группа выбытия) должен быть доступен для немедленной продажи в его существующем состоянии;</w:t>
      </w:r>
    </w:p>
    <w:p w:rsidR="00321544" w:rsidRPr="0049234F" w:rsidRDefault="00321544" w:rsidP="00321544">
      <w:pPr>
        <w:ind w:firstLine="480"/>
        <w:jc w:val="both"/>
      </w:pPr>
      <w:r w:rsidRPr="0049234F">
        <w:t>б) продажа актива предполагается на типовых (обычных) условиях;</w:t>
      </w:r>
    </w:p>
    <w:p w:rsidR="00321544" w:rsidRPr="0049234F" w:rsidRDefault="00321544" w:rsidP="00321544">
      <w:pPr>
        <w:ind w:firstLine="480"/>
        <w:jc w:val="both"/>
      </w:pPr>
      <w:r w:rsidRPr="0049234F">
        <w:t>в) продажа актива характеризуется высокой степенью вероятности.</w:t>
      </w:r>
    </w:p>
    <w:p w:rsidR="00321544" w:rsidRPr="0049234F" w:rsidRDefault="00321544" w:rsidP="00321544">
      <w:pPr>
        <w:ind w:firstLine="480"/>
        <w:jc w:val="both"/>
      </w:pPr>
      <w:r w:rsidRPr="0049234F">
        <w:t>Продажа актива характеризуется высокой степенью вероятности при наличии следующих признаков:</w:t>
      </w:r>
    </w:p>
    <w:p w:rsidR="00321544" w:rsidRPr="0049234F" w:rsidRDefault="00321544" w:rsidP="00321544">
      <w:pPr>
        <w:ind w:firstLine="480"/>
        <w:jc w:val="both"/>
      </w:pPr>
      <w:r w:rsidRPr="0049234F">
        <w:t>а) руководители организации обладают твердым намерением осуществить план продажи актива (или группы выбытия), в том числе активизировать программу поиска покупателей;</w:t>
      </w:r>
    </w:p>
    <w:p w:rsidR="00321544" w:rsidRPr="0049234F" w:rsidRDefault="00321544" w:rsidP="00321544">
      <w:pPr>
        <w:ind w:firstLine="480"/>
        <w:jc w:val="both"/>
      </w:pPr>
      <w:r w:rsidRPr="0049234F">
        <w:t>б) актив (или группа выбытия) является предметом активного предложения по цене, эквивалентной его текущей справедливой стоимости;</w:t>
      </w:r>
    </w:p>
    <w:p w:rsidR="00321544" w:rsidRPr="0049234F" w:rsidRDefault="00321544" w:rsidP="00321544">
      <w:pPr>
        <w:ind w:firstLine="480"/>
        <w:jc w:val="both"/>
      </w:pPr>
      <w:r w:rsidRPr="0049234F">
        <w:t>в) предполагаемая продажа актива (или группы выбытия) может быть полностью завершена в пределах одного года с момента классификации, если иное не предусмотрено настоящим стандартом;</w:t>
      </w:r>
    </w:p>
    <w:p w:rsidR="00321544" w:rsidRPr="0049234F" w:rsidRDefault="00321544" w:rsidP="00321544">
      <w:pPr>
        <w:ind w:firstLine="480"/>
        <w:jc w:val="both"/>
      </w:pPr>
      <w:r w:rsidRPr="0049234F">
        <w:t>г) руководством организации не предпринимаются действия, направленные на существенные изменения плана продажи или на отмену данного плана.</w:t>
      </w:r>
    </w:p>
    <w:p w:rsidR="00321544" w:rsidRPr="0049234F" w:rsidRDefault="00321544" w:rsidP="00321544">
      <w:pPr>
        <w:ind w:firstLine="480"/>
        <w:jc w:val="both"/>
      </w:pPr>
      <w:r w:rsidRPr="0049234F">
        <w:lastRenderedPageBreak/>
        <w:t>В случае если организация предполагает осуществить продажу дочерней организации, то все активы и обязательства этой дочерней организации при составлении консолидированной финансовой отчетности классифицируются как предназначенные для продажи при условии соблюдения критериев, установленных настоящим Стандартом. Такая классификация осуществляется независимо от того, сохранит организация неконтрольную долю участия в своей бывшей дочерней организации после продажи или нет.</w:t>
      </w:r>
    </w:p>
    <w:p w:rsidR="00321544" w:rsidRPr="0049234F" w:rsidRDefault="00321544" w:rsidP="00321544">
      <w:pPr>
        <w:ind w:firstLine="480"/>
        <w:jc w:val="both"/>
      </w:pPr>
      <w:r w:rsidRPr="0049234F">
        <w:t>13. Период завершения плана продажи может превышать один год в связи с возникшими событиями или обстоятельствами, неподконтрольными организации. В этом случае продление периода, необходимого для завершения плана продажи, не является ограничениям для классификации актива (или группы выбытия) как предназначенного для продажи. При этом организация должна сохранить подтвержденные намерения осуществить имеющийся у нее план продажи такого актива (или группы выбытия).</w:t>
      </w:r>
    </w:p>
    <w:p w:rsidR="00321544" w:rsidRPr="0049234F" w:rsidRDefault="00321544" w:rsidP="00321544">
      <w:pPr>
        <w:ind w:firstLine="480"/>
        <w:jc w:val="both"/>
      </w:pPr>
      <w:r w:rsidRPr="0049234F">
        <w:t>Исключение из правила о годичном сроке подлежит применению при возникновении ситуаций, связанных со следующими событиями или обстоятельствами:</w:t>
      </w:r>
    </w:p>
    <w:p w:rsidR="00321544" w:rsidRPr="0049234F" w:rsidRDefault="00321544" w:rsidP="00321544">
      <w:pPr>
        <w:ind w:firstLine="480"/>
        <w:jc w:val="both"/>
      </w:pPr>
      <w:r w:rsidRPr="0049234F">
        <w:t>а) имеются обоснованные ожидания того, что на предполагаемую дату продажи долгосрочного актива (или группы выбытия) иные стороны (не покупатель), от которых зависит осуществление сделки, выставят такие условия передачи данного актива (или группы выбытия), которые повлекут продление периода, необходимого для завершения продажи. При этом:</w:t>
      </w:r>
    </w:p>
    <w:p w:rsidR="00321544" w:rsidRPr="0049234F" w:rsidRDefault="00321544" w:rsidP="00321544">
      <w:pPr>
        <w:ind w:firstLine="480"/>
        <w:jc w:val="both"/>
      </w:pPr>
      <w:r w:rsidRPr="0049234F">
        <w:t>1) действия, необходимые для реагирования на эти условия, не могут быть предприняты, до появления твердого согласия на покупку;</w:t>
      </w:r>
    </w:p>
    <w:p w:rsidR="00321544" w:rsidRPr="0049234F" w:rsidRDefault="00321544" w:rsidP="00321544">
      <w:pPr>
        <w:ind w:firstLine="480"/>
        <w:jc w:val="both"/>
      </w:pPr>
      <w:r w:rsidRPr="0049234F">
        <w:t>2) степень вероятности появления твердого согласия на покупку в течение одного года высока.</w:t>
      </w:r>
    </w:p>
    <w:p w:rsidR="00321544" w:rsidRPr="0049234F" w:rsidRDefault="00321544" w:rsidP="00321544">
      <w:pPr>
        <w:ind w:firstLine="480"/>
        <w:jc w:val="both"/>
      </w:pPr>
      <w:r w:rsidRPr="0049234F">
        <w:t>б) организация получает твердое согласие на покупку, но покупатель или другие стороны неожиданно выставляют условия относительно продажи ранее квалифицированного в качестве предназначенного для продажи долгосрочного актива (или группы выбытия), которые влекут продление периода, необходимого для завершения продажи. При этом:</w:t>
      </w:r>
    </w:p>
    <w:p w:rsidR="00321544" w:rsidRPr="0049234F" w:rsidRDefault="00321544" w:rsidP="00321544">
      <w:pPr>
        <w:ind w:firstLine="480"/>
        <w:jc w:val="both"/>
      </w:pPr>
      <w:r w:rsidRPr="0049234F">
        <w:t>1) организацией предприняты своевременные необходимые действия для реагирования на выставленные условия;</w:t>
      </w:r>
    </w:p>
    <w:p w:rsidR="00321544" w:rsidRPr="0049234F" w:rsidRDefault="00321544" w:rsidP="00321544">
      <w:pPr>
        <w:ind w:firstLine="480"/>
        <w:jc w:val="both"/>
      </w:pPr>
      <w:r w:rsidRPr="0049234F">
        <w:t>2) имеется уверенность, что причины, вызвавшие продление срока, будут успешно устранены.</w:t>
      </w:r>
    </w:p>
    <w:p w:rsidR="00321544" w:rsidRPr="0049234F" w:rsidRDefault="00321544" w:rsidP="00321544">
      <w:pPr>
        <w:ind w:firstLine="480"/>
        <w:jc w:val="both"/>
      </w:pPr>
      <w:r w:rsidRPr="0049234F">
        <w:t>в) в течение первоначального годового периода возникают такие обстоятельства, которые ранее рассматривались как маловероятные, в результате которых, операция по продаже долгосрочного актива (или группы выбытия), ранее квалифицированного как предназначенного для продажи, к концу этого годового периода не осуществляется. При этом:</w:t>
      </w:r>
    </w:p>
    <w:p w:rsidR="00321544" w:rsidRPr="0049234F" w:rsidRDefault="00321544" w:rsidP="00321544">
      <w:pPr>
        <w:ind w:firstLine="480"/>
        <w:jc w:val="both"/>
      </w:pPr>
      <w:r w:rsidRPr="0049234F">
        <w:t>1) в течение первоначального годичного периода организацией были предприняты необходимые действия по реагированию на изменение обстоятельств;</w:t>
      </w:r>
    </w:p>
    <w:p w:rsidR="00321544" w:rsidRPr="0049234F" w:rsidRDefault="00321544" w:rsidP="00321544">
      <w:pPr>
        <w:ind w:firstLine="480"/>
        <w:jc w:val="both"/>
      </w:pPr>
      <w:r w:rsidRPr="0049234F">
        <w:t>2) данный долгосрочный актив (или группа выбытия) является предметом активного предложения по цене, которая, с учетом изменившихся обстоятельств, является обоснованной;</w:t>
      </w:r>
    </w:p>
    <w:p w:rsidR="00321544" w:rsidRPr="0049234F" w:rsidRDefault="00321544" w:rsidP="00321544">
      <w:pPr>
        <w:ind w:firstLine="480"/>
        <w:jc w:val="both"/>
      </w:pPr>
      <w:r w:rsidRPr="0049234F">
        <w:t>3) выполняются критерии, предусмотренные пунктом 12 настоящего Стандарта.</w:t>
      </w:r>
    </w:p>
    <w:p w:rsidR="00321544" w:rsidRPr="0049234F" w:rsidRDefault="00321544" w:rsidP="00321544">
      <w:pPr>
        <w:ind w:firstLine="480"/>
        <w:jc w:val="both"/>
      </w:pPr>
      <w:r w:rsidRPr="0049234F">
        <w:t>14. К операциям по продаже относится также обмен одних долгосрочных активов на другие долгосрочные активы, в случае если такой обмен является коммерческой сделкой, в соответствии со Стандартом бухгалтерского учета № 16 "Основные средства".</w:t>
      </w:r>
    </w:p>
    <w:p w:rsidR="00321544" w:rsidRPr="0049234F" w:rsidRDefault="00321544" w:rsidP="00321544">
      <w:pPr>
        <w:ind w:firstLine="480"/>
        <w:jc w:val="both"/>
      </w:pPr>
      <w:r w:rsidRPr="0049234F">
        <w:t xml:space="preserve">15. Если долгосрочный актив (или группа выбытия) приобретается исключительно с целью его последующей перепродажи, то на дату приобретения данный долгосрочный актив (или группа выбытия) классифицируется как предназначенный для продажи при выполнении условия о годичном сроке (если иное не разрешено пунктом 13 настоящего Стандарта), </w:t>
      </w:r>
      <w:r w:rsidRPr="0049234F">
        <w:lastRenderedPageBreak/>
        <w:t>установленного в пункте 12 настоящего Стандарта. При этом должна существовать высокая степень вероятности того, что в течение непродолжительного периода после приобретения (как привило, в течение трех месяцев) будут выполнены невыполняемые на эту дату критерии, изложенные в пунктах 12 и 13 настоящего Стандарта.</w:t>
      </w:r>
    </w:p>
    <w:p w:rsidR="00321544" w:rsidRPr="0049234F" w:rsidRDefault="00321544" w:rsidP="00321544">
      <w:pPr>
        <w:ind w:firstLine="480"/>
        <w:jc w:val="both"/>
      </w:pPr>
      <w:r w:rsidRPr="0049234F">
        <w:t>16. В случае если критерии, изложенные в пунктах 12 и 13 настоящего Стандарта, выполняются после окончания отчетного периода (года), то организации запрещается классифицировать долгосрочный актив (или группу выбытия) как предназначенный для продажи в своей годовой финансовой отчетности за истекший период (год).</w:t>
      </w:r>
    </w:p>
    <w:p w:rsidR="00321544" w:rsidRPr="0049234F" w:rsidRDefault="00321544" w:rsidP="00321544">
      <w:pPr>
        <w:ind w:firstLine="480"/>
        <w:jc w:val="both"/>
      </w:pPr>
      <w:r w:rsidRPr="0049234F">
        <w:t>Если данные критерии выполняются после отчетной даты, но до утверждения годовой финансовой отчетности, то организация обязана раскрывать в пояснительной записке к годовой финансовой отчетности информацию, указанную в пункте 40 настоящего Стандарта.</w:t>
      </w:r>
    </w:p>
    <w:p w:rsidR="00321544" w:rsidRPr="0049234F" w:rsidRDefault="00321544" w:rsidP="00321544">
      <w:pPr>
        <w:ind w:firstLine="480"/>
        <w:jc w:val="both"/>
      </w:pPr>
      <w:r w:rsidRPr="0049234F">
        <w:t>17. Долгосрочный актив (или группа выбытия) не подлежит классификации как предназначенный для продажи, если его балансовая стоимость будет возмещаться преимущественно за счет дальнейшего использования.</w:t>
      </w:r>
    </w:p>
    <w:p w:rsidR="00321544" w:rsidRPr="0049234F" w:rsidRDefault="00321544" w:rsidP="00321544">
      <w:pPr>
        <w:ind w:firstLine="480"/>
        <w:jc w:val="both"/>
      </w:pPr>
      <w:r w:rsidRPr="0049234F">
        <w:t>Долгосрочные активы (или группы выбытия), балансовая стоимость которых будет возмещаться преимущественно за счет дальнейшего использования, включают долгосрочные активы (или группы выбытия), которые предполагается использовать до конца срока их полезной службы. Также к таким долгосрочным активам или группам выбытия относятся такие долгосрочные активы (или группы выбытия), которые предполагается списать без продажи.</w:t>
      </w:r>
    </w:p>
    <w:p w:rsidR="00321544" w:rsidRPr="0049234F" w:rsidRDefault="00321544" w:rsidP="00321544">
      <w:pPr>
        <w:ind w:firstLine="480"/>
        <w:jc w:val="both"/>
      </w:pPr>
      <w:r w:rsidRPr="0049234F">
        <w:t>18. Долгосрочный актив, использование которого временно прекращено, не подлежит классификации как актив, от которого организация намерена отказаться.</w:t>
      </w:r>
    </w:p>
    <w:p w:rsidR="00321544" w:rsidRPr="0049234F" w:rsidRDefault="00321544" w:rsidP="00321544">
      <w:pPr>
        <w:pStyle w:val="Heading2"/>
        <w:ind w:firstLine="480"/>
        <w:jc w:val="center"/>
        <w:rPr>
          <w:rFonts w:ascii="Times New Roman" w:hAnsi="Times New Roman" w:cs="Times New Roman"/>
          <w:color w:val="auto"/>
          <w:sz w:val="24"/>
          <w:szCs w:val="24"/>
        </w:rPr>
      </w:pPr>
      <w:r w:rsidRPr="0049234F">
        <w:rPr>
          <w:rFonts w:ascii="Times New Roman" w:hAnsi="Times New Roman" w:cs="Times New Roman"/>
          <w:color w:val="auto"/>
          <w:sz w:val="24"/>
          <w:szCs w:val="24"/>
        </w:rPr>
        <w:t>6. ОЦЕНКА ДОЛГОСРОЧНЫХ АКТИВОВ (ИЛИ ГРУПП ВЫБЫТИЯ), КЛАССИФИЦИРОВАННЫХ КАК ПРЕДНАЗНАЧЕННЫЕ ДЛЯ ПРОДАЖИ</w:t>
      </w:r>
    </w:p>
    <w:p w:rsidR="00321544" w:rsidRPr="0049234F" w:rsidRDefault="00321544" w:rsidP="00321544">
      <w:pPr>
        <w:ind w:firstLine="480"/>
        <w:jc w:val="both"/>
      </w:pPr>
      <w:r w:rsidRPr="0049234F">
        <w:t>19. Классифицированный как предназначенный для продажи долгосрочный актив (или группа выбытия) подлежит оценке по наименьшей из двух величин: его (ее) балансовой стоимости и справедливой стоимости за вычетом затрат на продажу.</w:t>
      </w:r>
    </w:p>
    <w:p w:rsidR="00321544" w:rsidRPr="0049234F" w:rsidRDefault="00321544" w:rsidP="00321544">
      <w:pPr>
        <w:ind w:firstLine="480"/>
        <w:jc w:val="both"/>
      </w:pPr>
      <w:r w:rsidRPr="0049234F">
        <w:t>20. В случае если вновь приобретенный актив (или группа выбытия) удовлетворяют критериям классификации в качестве предназначенного для продажи, то при первоначальном признании данный актив (или группа выбытия) подлежит оценке по наименьшей из двух величин:</w:t>
      </w:r>
    </w:p>
    <w:p w:rsidR="00321544" w:rsidRPr="0049234F" w:rsidRDefault="00321544" w:rsidP="00321544">
      <w:pPr>
        <w:ind w:firstLine="480"/>
        <w:jc w:val="both"/>
      </w:pPr>
      <w:r w:rsidRPr="0049234F">
        <w:t>а) балансовой стоимости, в случае, если он не был классифицирован таким образом (например, по себестоимости);</w:t>
      </w:r>
    </w:p>
    <w:p w:rsidR="00321544" w:rsidRPr="0049234F" w:rsidRDefault="00321544" w:rsidP="00321544">
      <w:pPr>
        <w:ind w:firstLine="480"/>
        <w:jc w:val="both"/>
      </w:pPr>
      <w:r w:rsidRPr="0049234F">
        <w:t>б) справедливой стоимости за вычетом затрат на продажу.</w:t>
      </w:r>
    </w:p>
    <w:p w:rsidR="00321544" w:rsidRPr="0049234F" w:rsidRDefault="00321544" w:rsidP="00321544">
      <w:pPr>
        <w:ind w:firstLine="480"/>
        <w:jc w:val="both"/>
      </w:pPr>
      <w:r w:rsidRPr="0049234F">
        <w:t>Если актив (или группа выбытия) приобретен в результате объединения организаций, то он должен оцениваться по справедливой стоимости за вычетом затрат на продажу.</w:t>
      </w:r>
    </w:p>
    <w:p w:rsidR="00321544" w:rsidRPr="0049234F" w:rsidRDefault="00321544" w:rsidP="00321544">
      <w:pPr>
        <w:ind w:firstLine="480"/>
        <w:jc w:val="both"/>
      </w:pPr>
      <w:r w:rsidRPr="0049234F">
        <w:t>21. В случае если организация планирует продажу актива более чем через год, то затраты на продажу оцениваются по их дисконтированной стоимости. При этом возникающее со временем возрастание дисконтированной стоимости затрат на продажу признается расходом на финансирование и представляется в отчете о совокупном доходе.</w:t>
      </w:r>
    </w:p>
    <w:p w:rsidR="00321544" w:rsidRPr="0049234F" w:rsidRDefault="00321544" w:rsidP="00321544">
      <w:pPr>
        <w:ind w:firstLine="480"/>
        <w:jc w:val="both"/>
      </w:pPr>
      <w:r w:rsidRPr="0049234F">
        <w:t>22. Перед первоначальной классификацией актива (или группы выбытия) в качестве предназначенного для продажи, значения балансовой стоимости данного актива (или всех активов и обязательств в составе такой группы) должны оцениваться в соответствии с применимыми Стандартами бухгалтерского учета.</w:t>
      </w:r>
    </w:p>
    <w:p w:rsidR="00321544" w:rsidRPr="0049234F" w:rsidRDefault="00321544" w:rsidP="00321544">
      <w:pPr>
        <w:ind w:firstLine="480"/>
        <w:jc w:val="both"/>
      </w:pPr>
      <w:r w:rsidRPr="0049234F">
        <w:t xml:space="preserve">23. При повторной оценке группы выбытия классифицированной в качестве предназначенной для продажи, значения балансовой стоимости любых входящих в нее активов и обязательств, не подпадающих под требования к оценке, содержащиеся в </w:t>
      </w:r>
      <w:r w:rsidRPr="0049234F">
        <w:lastRenderedPageBreak/>
        <w:t>настоящем Стандарте, подлежат переоценке в соответствии с применимыми Стандартами бухгалтерского учета. Такая переоценка производится до повторной оценки справедливой стоимости группы выбытия за вычетом затрат на продажу.</w:t>
      </w:r>
    </w:p>
    <w:p w:rsidR="00321544" w:rsidRPr="0049234F" w:rsidRDefault="00321544" w:rsidP="00321544">
      <w:pPr>
        <w:ind w:firstLine="480"/>
        <w:jc w:val="both"/>
      </w:pPr>
      <w:r w:rsidRPr="0049234F">
        <w:t>24. Организация обязана признавать убыток от обесценивания применительно к любой первоначальной или последующей переоценке актива (или группы выбытия) до справедливой стоимости за вычетом затрат на продажу, при условии, что он не был признан в соответствии с пунктом 23 настоящего Стандарта.</w:t>
      </w:r>
    </w:p>
    <w:p w:rsidR="00321544" w:rsidRPr="0049234F" w:rsidRDefault="00321544" w:rsidP="00321544">
      <w:pPr>
        <w:ind w:firstLine="480"/>
        <w:jc w:val="both"/>
      </w:pPr>
      <w:r w:rsidRPr="0049234F">
        <w:t>25. Организация обязана признавать доход от последующего увеличения справедливой стоимости актива за вычетом затрат на продажу в сумме, не превышающей накопленный убыток от обесценения, который признан в соответствии с настоящим Стандартом или был признан ранее в соответствии с другими Стандартами бухгалтерского учета.</w:t>
      </w:r>
    </w:p>
    <w:p w:rsidR="00321544" w:rsidRPr="0049234F" w:rsidRDefault="00321544" w:rsidP="00321544">
      <w:pPr>
        <w:ind w:firstLine="480"/>
        <w:jc w:val="both"/>
      </w:pPr>
      <w:r w:rsidRPr="0049234F">
        <w:t>26. Убыток от обесценения (или любой последующий доход), признанный применительно к группе выбытия, должен уменьшать (или увеличивать) балансовую стоимость долгосрочных активов в группе, подпадающих под требования к оценке, которые определены настоящим Стандартом. При этом должна быть соблюдена очередность распределения, установленная другими соответствующими Стандартами бухгалтерского учета.</w:t>
      </w:r>
    </w:p>
    <w:p w:rsidR="00321544" w:rsidRPr="0049234F" w:rsidRDefault="00321544" w:rsidP="00321544">
      <w:pPr>
        <w:ind w:firstLine="480"/>
        <w:jc w:val="both"/>
      </w:pPr>
      <w:r w:rsidRPr="0049234F">
        <w:t>27. Прибыль или убыток, не признанные к дате продажи долгосрочного актива (или группы выбытия), подлежат признанию на дату прекращения признания долгосрочного актива (или группы выбытия). Требования, касающиеся прекращения признания, изложены в Стандарте бухгалтерского учета 16 "Основные средства" применительно к основным средствам и Стандарте бухгалтерского учета № 38 "Нематериальные активы" применительно к нематериальным активам.</w:t>
      </w:r>
    </w:p>
    <w:p w:rsidR="00321544" w:rsidRPr="0049234F" w:rsidRDefault="00321544" w:rsidP="00321544">
      <w:pPr>
        <w:ind w:firstLine="480"/>
        <w:jc w:val="both"/>
      </w:pPr>
      <w:r w:rsidRPr="0049234F">
        <w:t>28. Долгосрочные активы, классифицированные как предназначенные для продажи, или являющиеся частью группы выбытия, классифицированной как предназначенной для продажи, амортизации не подлежат. Проценты и другие расходы, относящиеся к обязательствам группы выбытия, классифицированной в качестве предназначенной для продажи, подлежат дальнейшему признанию.</w:t>
      </w:r>
    </w:p>
    <w:p w:rsidR="00321544" w:rsidRPr="0049234F" w:rsidRDefault="00321544" w:rsidP="00321544">
      <w:pPr>
        <w:ind w:firstLine="480"/>
        <w:jc w:val="both"/>
      </w:pPr>
      <w:r w:rsidRPr="0049234F">
        <w:t>29. Если организация классифицировала актив (или группу выбытия) как предназначенный для продажи, но изложенные в пунктах 12-13 настоящего Стандарта критерии более не выполняются, то организация обязана прекратить классификацию данного актива (или группы выбытия) как предназначенного для продажи.</w:t>
      </w:r>
    </w:p>
    <w:p w:rsidR="00321544" w:rsidRPr="0049234F" w:rsidRDefault="00321544" w:rsidP="00321544">
      <w:pPr>
        <w:ind w:firstLine="480"/>
        <w:jc w:val="both"/>
      </w:pPr>
      <w:r w:rsidRPr="0049234F">
        <w:t>30. Долгосрочный актив, выведенный из категории предназначенных для продажи (или из состава группы выбытия, классифицированной в качестве предназначенной для продажи) подлежит оценке по наименьшей из двух величин:</w:t>
      </w:r>
    </w:p>
    <w:p w:rsidR="00321544" w:rsidRPr="0049234F" w:rsidRDefault="00321544" w:rsidP="00321544">
      <w:pPr>
        <w:ind w:firstLine="480"/>
        <w:jc w:val="both"/>
      </w:pPr>
      <w:r w:rsidRPr="0049234F">
        <w:t>а) его балансовой стоимости, по которой актив был учтен до того, как данный актив (или группы выбытия) был классифицирован как предназначенный для продажи, с корректировкой на любую амортизацию или переоценку, которая была бы признана, если бы данный актив (или группа выбытия) не был классифицирован как предназначенный для продажи,</w:t>
      </w:r>
    </w:p>
    <w:p w:rsidR="00321544" w:rsidRPr="0049234F" w:rsidRDefault="00321544" w:rsidP="00321544">
      <w:pPr>
        <w:ind w:firstLine="480"/>
        <w:jc w:val="both"/>
      </w:pPr>
      <w:r w:rsidRPr="0049234F">
        <w:t>б) его возмещаемой суммы на дату последующего решения об отказе от продажи.</w:t>
      </w:r>
    </w:p>
    <w:p w:rsidR="00321544" w:rsidRPr="0049234F" w:rsidRDefault="00321544" w:rsidP="00321544">
      <w:pPr>
        <w:ind w:firstLine="480"/>
        <w:jc w:val="both"/>
      </w:pPr>
      <w:r w:rsidRPr="0049234F">
        <w:t>31. Необходимые корректировки балансовой стоимости долгосрочного актива, классификация которого в качестве предназначенного для продажи отменена, учитывается при формировании прибыли от продолжающейся деятельности в период, в котором больше не удовлетворяются критерии, изложенные в пунктах 12-13 настоящего Стандарта.</w:t>
      </w:r>
    </w:p>
    <w:p w:rsidR="00321544" w:rsidRPr="0049234F" w:rsidRDefault="00321544" w:rsidP="00321544">
      <w:pPr>
        <w:ind w:firstLine="480"/>
        <w:jc w:val="both"/>
      </w:pPr>
      <w:r w:rsidRPr="0049234F">
        <w:t xml:space="preserve">Исключение составляют случаи, когда таким активом являются основное средство или нематериальный актив, который еще до классификации был повторно оценен в соответствии со Стандартом бухгалтерского учета № 16 "Основные средства" или Стандартом бухгалтерского учета № 38 "Нематериальные активы" как предназначенный для продажи, и </w:t>
      </w:r>
      <w:r w:rsidRPr="0049234F">
        <w:lastRenderedPageBreak/>
        <w:t>когда такая корректировка подлежит учету как увеличение или уменьшение стоимости при переоценке.</w:t>
      </w:r>
    </w:p>
    <w:p w:rsidR="00321544" w:rsidRPr="0049234F" w:rsidRDefault="00321544" w:rsidP="00321544">
      <w:pPr>
        <w:ind w:firstLine="480"/>
        <w:jc w:val="both"/>
      </w:pPr>
      <w:r w:rsidRPr="0049234F">
        <w:t>32. Если организация выводит отдельный актив или отдельное обязательство из состава группы выбытия, классифицированной в качестве предназначенной для продажи, то оставшиеся активы и обязательства в подлежащей группе выбытия должны продолжать оцениваться в совокупности как группа, но только при условии, что эта группа удовлетворяет критериям, установленным в пунктах 12-13 настоящего Стандарта.</w:t>
      </w:r>
    </w:p>
    <w:p w:rsidR="00321544" w:rsidRPr="0049234F" w:rsidRDefault="00321544" w:rsidP="00321544">
      <w:pPr>
        <w:ind w:firstLine="480"/>
        <w:jc w:val="both"/>
      </w:pPr>
      <w:r w:rsidRPr="0049234F">
        <w:t>В иных случаях, оставшиеся в составе такой группы долгосрочные активы, которые по отдельности удовлетворяют критериям классификации в качестве предназначенных для продажи, должны оцениваться по наименьшей из двух величин: балансовой стоимости и справедливой стоимости за вычетом затрат на продажу на эту дату. Любые долгосрочные активы, не удовлетворяющие данным критериям, подлежат выводу из категории долгосрочных активов классифицированных в качестве предназначенных для продажи, в соответствии с пунктом 30 настоящего Стандарта.</w:t>
      </w:r>
    </w:p>
    <w:p w:rsidR="00321544" w:rsidRPr="0049234F" w:rsidRDefault="00321544" w:rsidP="00321544">
      <w:pPr>
        <w:pStyle w:val="Heading2"/>
        <w:ind w:firstLine="480"/>
        <w:jc w:val="center"/>
        <w:rPr>
          <w:rFonts w:ascii="Times New Roman" w:hAnsi="Times New Roman" w:cs="Times New Roman"/>
          <w:color w:val="auto"/>
          <w:sz w:val="24"/>
          <w:szCs w:val="24"/>
        </w:rPr>
      </w:pPr>
      <w:r w:rsidRPr="0049234F">
        <w:rPr>
          <w:rFonts w:ascii="Times New Roman" w:hAnsi="Times New Roman" w:cs="Times New Roman"/>
          <w:color w:val="auto"/>
          <w:sz w:val="24"/>
          <w:szCs w:val="24"/>
        </w:rPr>
        <w:t>7. ПРЕДСТАВЛЕНИЕ И РАСКРЫТИЕ ИНФОРМАЦИИ</w:t>
      </w:r>
    </w:p>
    <w:p w:rsidR="00321544" w:rsidRPr="0049234F" w:rsidRDefault="00321544" w:rsidP="00321544">
      <w:pPr>
        <w:ind w:firstLine="480"/>
        <w:jc w:val="both"/>
      </w:pPr>
      <w:r w:rsidRPr="0049234F">
        <w:t>33. Организация обязана представлять и раскрывать информацию, позволяющую пользователям ее финансовой отчетности оценивать финансовые последствия прекращенной деятельности и продажи долгосрочных активов (или групп выбытия).</w:t>
      </w:r>
    </w:p>
    <w:p w:rsidR="00321544" w:rsidRPr="0049234F" w:rsidRDefault="00321544" w:rsidP="00321544">
      <w:pPr>
        <w:ind w:firstLine="480"/>
        <w:jc w:val="both"/>
      </w:pPr>
      <w:r w:rsidRPr="0049234F">
        <w:t>34. Компонент организации представляет собой деятельность вместе с относимыми к ней денежными потоками, которая, с операционной точки зрения и в целях финансовой отчетности, может быть четко отделена от остальной части организации. Компонентом организации является четко генерирующая единица или группа генерирующих единиц, находящихся в использовании.</w:t>
      </w:r>
    </w:p>
    <w:p w:rsidR="00321544" w:rsidRPr="0049234F" w:rsidRDefault="00321544" w:rsidP="00321544">
      <w:pPr>
        <w:ind w:firstLine="480"/>
        <w:jc w:val="both"/>
      </w:pPr>
      <w:r w:rsidRPr="0049234F">
        <w:t>35. Организация обязана раскрывать одной суммой в отчете о совокупном доходе суммарную величину прибыли или убытка после налогообложения от прекращенной деятельности.</w:t>
      </w:r>
    </w:p>
    <w:p w:rsidR="00321544" w:rsidRPr="0049234F" w:rsidRDefault="00321544" w:rsidP="00321544">
      <w:pPr>
        <w:ind w:firstLine="480"/>
        <w:jc w:val="both"/>
      </w:pPr>
      <w:r w:rsidRPr="0049234F">
        <w:t>В пояснительной записке к годовой финансовой отчетности может быть представлен анализ данной единой суммы, разложенной на следующие компоненты:</w:t>
      </w:r>
    </w:p>
    <w:p w:rsidR="00321544" w:rsidRPr="0049234F" w:rsidRDefault="00321544" w:rsidP="00321544">
      <w:pPr>
        <w:ind w:firstLine="480"/>
        <w:jc w:val="both"/>
      </w:pPr>
      <w:r w:rsidRPr="0049234F">
        <w:t>а) выручку, расходы и прибыль или убыток до налогообложения от прекращенной деятельности;</w:t>
      </w:r>
    </w:p>
    <w:p w:rsidR="00321544" w:rsidRPr="0049234F" w:rsidRDefault="00321544" w:rsidP="00321544">
      <w:pPr>
        <w:ind w:firstLine="480"/>
        <w:jc w:val="both"/>
      </w:pPr>
      <w:r w:rsidRPr="0049234F">
        <w:t>б) соответствующие отчисления налога на доходы;</w:t>
      </w:r>
    </w:p>
    <w:p w:rsidR="00321544" w:rsidRPr="0049234F" w:rsidRDefault="00321544" w:rsidP="00321544">
      <w:pPr>
        <w:ind w:firstLine="480"/>
        <w:jc w:val="both"/>
      </w:pPr>
      <w:r w:rsidRPr="0049234F">
        <w:t>в) прибыль или убыток, признанные по результатам оценки по справедливой (рыночной) стоимости за вычетом затрат на продажу, или реализации активов или группы (групп) выбытия, относимых к прекращенной деятельности;</w:t>
      </w:r>
    </w:p>
    <w:p w:rsidR="00321544" w:rsidRPr="0049234F" w:rsidRDefault="00321544" w:rsidP="00321544">
      <w:pPr>
        <w:ind w:firstLine="480"/>
        <w:jc w:val="both"/>
      </w:pPr>
      <w:r w:rsidRPr="0049234F">
        <w:t>г) соответствующие отчисления налога на доходы.</w:t>
      </w:r>
    </w:p>
    <w:p w:rsidR="00321544" w:rsidRPr="0049234F" w:rsidRDefault="00321544" w:rsidP="00321544">
      <w:pPr>
        <w:ind w:firstLine="480"/>
        <w:jc w:val="both"/>
      </w:pPr>
      <w:r w:rsidRPr="0049234F">
        <w:t>Также в пояснительной записке к годовой финансовой отчетности могут быть представлены чистые денежные потоки, относящиеся к операционной, инвестиционной и финансовой сферам прекращенной деятельности.</w:t>
      </w:r>
    </w:p>
    <w:p w:rsidR="00321544" w:rsidRPr="0049234F" w:rsidRDefault="00321544" w:rsidP="00321544">
      <w:pPr>
        <w:ind w:firstLine="480"/>
        <w:jc w:val="both"/>
      </w:pPr>
      <w:r w:rsidRPr="0049234F">
        <w:t>36. Если организация прекращает классификацию своего компонента в качестве предназначенного для продажи, то результаты деятельности этого компонента, ранее представленные в прекращенной деятельности, подлежат переклассификации и включению в результаты от продолжающейся деятельности за все представленные периоды. Приводимые за предыдущие периоды суммы должны быть описаны как представленные заново.</w:t>
      </w:r>
    </w:p>
    <w:p w:rsidR="00321544" w:rsidRPr="0049234F" w:rsidRDefault="00321544" w:rsidP="00321544">
      <w:pPr>
        <w:ind w:firstLine="480"/>
        <w:jc w:val="both"/>
      </w:pPr>
      <w:r w:rsidRPr="0049234F">
        <w:t>37. Прибыль или убыток от переоценки классифицированного в качестве предназначенного для продажи долгосрочного актива (или группы выбытия), который не отвечает определению прекращенной деятельности, подлежат включению в прибыль или убыток от продолжающейся деятельности.</w:t>
      </w:r>
    </w:p>
    <w:p w:rsidR="00321544" w:rsidRPr="0049234F" w:rsidRDefault="00321544" w:rsidP="00321544">
      <w:pPr>
        <w:ind w:firstLine="480"/>
        <w:jc w:val="both"/>
      </w:pPr>
      <w:r w:rsidRPr="0049234F">
        <w:lastRenderedPageBreak/>
        <w:t>38. Информация о классифицированном в качестве предназначенного для продажи долгосрочном активе и (или) группе выбытия подлежит отдельному раскрытию в балансовом отчете о финансовом положении организации.</w:t>
      </w:r>
    </w:p>
    <w:p w:rsidR="00321544" w:rsidRPr="0049234F" w:rsidRDefault="00321544" w:rsidP="00321544">
      <w:pPr>
        <w:ind w:firstLine="480"/>
        <w:jc w:val="both"/>
      </w:pPr>
      <w:r w:rsidRPr="0049234F">
        <w:t>Классифицированные в качестве предназначенных для продажи обязательства в составе группы выбытия должны представляться отдельно от других обязательств, представляемых в балансовом отчете о финансовом положении организации.</w:t>
      </w:r>
    </w:p>
    <w:p w:rsidR="00321544" w:rsidRPr="0049234F" w:rsidRDefault="00321544" w:rsidP="00321544">
      <w:pPr>
        <w:ind w:firstLine="480"/>
        <w:jc w:val="both"/>
      </w:pPr>
      <w:r w:rsidRPr="0049234F">
        <w:t>Такие активы и обязательства запрещено зачитывать друг против друга и представлять одной суммой.</w:t>
      </w:r>
    </w:p>
    <w:p w:rsidR="00321544" w:rsidRPr="0049234F" w:rsidRDefault="00321544" w:rsidP="00321544">
      <w:pPr>
        <w:ind w:firstLine="480"/>
        <w:jc w:val="both"/>
      </w:pPr>
      <w:r w:rsidRPr="0049234F">
        <w:t>39. Не допускается переклассифицировать или заново представлять суммы, представленные в части долгосрочных активов или активов и обязательств в составе групп выбытия, классифицированных в качестве предназначенных для продажи, в балансовых отчетах о финансовом положении предыдущих периодов, для отражения этой классификации в балансовом отчете о финансовом положении за последний из представленных периодов.</w:t>
      </w:r>
    </w:p>
    <w:p w:rsidR="00321544" w:rsidRPr="0049234F" w:rsidRDefault="00321544" w:rsidP="00321544">
      <w:pPr>
        <w:ind w:firstLine="480"/>
        <w:jc w:val="both"/>
      </w:pPr>
      <w:r w:rsidRPr="0049234F">
        <w:t>40. В период, когда долгосрочный актив (или группа выбытия) был классифицирован как предназначенный для продажи, либо продан, в пояснительной записке к финансовой отчетности организация обязана раскрывать следующую информацию:</w:t>
      </w:r>
    </w:p>
    <w:p w:rsidR="00321544" w:rsidRPr="0049234F" w:rsidRDefault="00321544" w:rsidP="00321544">
      <w:pPr>
        <w:ind w:firstLine="480"/>
        <w:jc w:val="both"/>
      </w:pPr>
      <w:r w:rsidRPr="0049234F">
        <w:t>а) описание данного долгосрочного актива (или группы выбытия);</w:t>
      </w:r>
    </w:p>
    <w:p w:rsidR="00321544" w:rsidRPr="0049234F" w:rsidRDefault="00321544" w:rsidP="00321544">
      <w:pPr>
        <w:ind w:firstLine="480"/>
        <w:jc w:val="both"/>
      </w:pPr>
      <w:r w:rsidRPr="0049234F">
        <w:t>б) описание фактов и обстоятельств, сопутствующих продаже или обусловивших ожидаемое выбытие, а также предполагаемый способ и время такого выбытия;</w:t>
      </w:r>
    </w:p>
    <w:p w:rsidR="00321544" w:rsidRPr="0049234F" w:rsidRDefault="00321544" w:rsidP="00321544">
      <w:pPr>
        <w:ind w:firstLine="480"/>
        <w:jc w:val="both"/>
      </w:pPr>
      <w:r w:rsidRPr="0049234F">
        <w:t>в) прибыль или убыток, признанный в соответствии с настоящим стандартом.</w:t>
      </w:r>
    </w:p>
    <w:p w:rsidR="00321544" w:rsidRPr="0049234F" w:rsidRDefault="00321544" w:rsidP="00321544">
      <w:pPr>
        <w:ind w:firstLine="480"/>
        <w:jc w:val="both"/>
      </w:pPr>
      <w:r w:rsidRPr="0049234F">
        <w:t>41. В период принятия решения об изменении плана продажи долгосрочного актива (или группы выбытия), организация обязана раскрывать факты и обстоятельства, обусловившие такое решение, а также последствия данного решения для результатов деятельности за отчетный период и любой из ранее представленных периодов.</w:t>
      </w:r>
    </w:p>
    <w:p w:rsidR="00321544" w:rsidRPr="0049234F" w:rsidRDefault="00321544" w:rsidP="00321544">
      <w:pPr>
        <w:pStyle w:val="Heading2"/>
        <w:ind w:firstLine="480"/>
        <w:jc w:val="center"/>
        <w:rPr>
          <w:rFonts w:ascii="Times New Roman" w:hAnsi="Times New Roman" w:cs="Times New Roman"/>
          <w:color w:val="auto"/>
          <w:sz w:val="24"/>
          <w:szCs w:val="24"/>
        </w:rPr>
      </w:pPr>
      <w:r w:rsidRPr="0049234F">
        <w:rPr>
          <w:rFonts w:ascii="Times New Roman" w:hAnsi="Times New Roman" w:cs="Times New Roman"/>
          <w:color w:val="auto"/>
          <w:sz w:val="24"/>
          <w:szCs w:val="24"/>
        </w:rPr>
        <w:t>8. ПЕРЕХОДНЫЕ ПОЛОЖЕНИЯ</w:t>
      </w:r>
    </w:p>
    <w:p w:rsidR="00321544" w:rsidRPr="0049234F" w:rsidRDefault="00321544" w:rsidP="00321544">
      <w:pPr>
        <w:ind w:firstLine="480"/>
        <w:jc w:val="both"/>
      </w:pPr>
      <w:r w:rsidRPr="0049234F">
        <w:t>42. Настоящий Стандарт должен применяться на перспективной основе к долгосрочным активам (или группы выбытия), которые удовлетворяют критериям классификации в качестве предназначенных для продажи, а также к деятельности, удовлетворяющей критериями классификации в качестве прекращенной, после даты вступления в силу настоящего Стандарта.</w:t>
      </w:r>
    </w:p>
    <w:p w:rsidR="00712083" w:rsidRPr="00321544" w:rsidRDefault="00712083" w:rsidP="00321544"/>
    <w:sectPr w:rsidR="00712083" w:rsidRPr="00321544" w:rsidSect="00105A13">
      <w:headerReference w:type="default" r:id="rId23"/>
      <w:footerReference w:type="default" r:id="rId24"/>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D0C" w:rsidRDefault="00446D0C" w:rsidP="007812D5">
      <w:r>
        <w:separator/>
      </w:r>
    </w:p>
  </w:endnote>
  <w:endnote w:type="continuationSeparator" w:id="1">
    <w:p w:rsidR="00446D0C" w:rsidRDefault="00446D0C" w:rsidP="007812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A13" w:rsidRDefault="00446D0C">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D0C" w:rsidRDefault="00446D0C" w:rsidP="007812D5">
      <w:r>
        <w:separator/>
      </w:r>
    </w:p>
  </w:footnote>
  <w:footnote w:type="continuationSeparator" w:id="1">
    <w:p w:rsidR="00446D0C" w:rsidRDefault="00446D0C" w:rsidP="007812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A13" w:rsidRDefault="00446D0C"/>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0"/>
    <w:footnote w:id="1"/>
  </w:footnotePr>
  <w:endnotePr>
    <w:endnote w:id="0"/>
    <w:endnote w:id="1"/>
  </w:endnotePr>
  <w:compat/>
  <w:rsids>
    <w:rsidRoot w:val="00A4737F"/>
    <w:rsid w:val="00016E68"/>
    <w:rsid w:val="00070914"/>
    <w:rsid w:val="0007585F"/>
    <w:rsid w:val="00111866"/>
    <w:rsid w:val="001528F5"/>
    <w:rsid w:val="001663E4"/>
    <w:rsid w:val="001D2526"/>
    <w:rsid w:val="001F784B"/>
    <w:rsid w:val="00253A00"/>
    <w:rsid w:val="002608FE"/>
    <w:rsid w:val="00280291"/>
    <w:rsid w:val="002D4334"/>
    <w:rsid w:val="002E1D76"/>
    <w:rsid w:val="002F3E4E"/>
    <w:rsid w:val="00321544"/>
    <w:rsid w:val="004002EC"/>
    <w:rsid w:val="004367EA"/>
    <w:rsid w:val="00446D0C"/>
    <w:rsid w:val="004C06C1"/>
    <w:rsid w:val="004E0F78"/>
    <w:rsid w:val="004E303F"/>
    <w:rsid w:val="004E7D32"/>
    <w:rsid w:val="004F66ED"/>
    <w:rsid w:val="00530455"/>
    <w:rsid w:val="005500A6"/>
    <w:rsid w:val="005E65C5"/>
    <w:rsid w:val="005F6F7B"/>
    <w:rsid w:val="007104EE"/>
    <w:rsid w:val="00712083"/>
    <w:rsid w:val="00726F52"/>
    <w:rsid w:val="00737D9C"/>
    <w:rsid w:val="00775D14"/>
    <w:rsid w:val="007812D5"/>
    <w:rsid w:val="00785D2A"/>
    <w:rsid w:val="007968D4"/>
    <w:rsid w:val="007B744A"/>
    <w:rsid w:val="007C1EEC"/>
    <w:rsid w:val="007C3A22"/>
    <w:rsid w:val="007E3876"/>
    <w:rsid w:val="00830E8B"/>
    <w:rsid w:val="00873E7E"/>
    <w:rsid w:val="00874177"/>
    <w:rsid w:val="008C5342"/>
    <w:rsid w:val="0092553A"/>
    <w:rsid w:val="009630A8"/>
    <w:rsid w:val="00971FF5"/>
    <w:rsid w:val="009A345F"/>
    <w:rsid w:val="009D5B44"/>
    <w:rsid w:val="009F18DF"/>
    <w:rsid w:val="009F1E4D"/>
    <w:rsid w:val="00A244B3"/>
    <w:rsid w:val="00A30F1F"/>
    <w:rsid w:val="00A4737F"/>
    <w:rsid w:val="00A57C80"/>
    <w:rsid w:val="00A920DF"/>
    <w:rsid w:val="00AA721B"/>
    <w:rsid w:val="00AC217D"/>
    <w:rsid w:val="00AC69C3"/>
    <w:rsid w:val="00AE40AD"/>
    <w:rsid w:val="00AF39AE"/>
    <w:rsid w:val="00B021A6"/>
    <w:rsid w:val="00B0348E"/>
    <w:rsid w:val="00B139F0"/>
    <w:rsid w:val="00B23A76"/>
    <w:rsid w:val="00B255B9"/>
    <w:rsid w:val="00B43CEA"/>
    <w:rsid w:val="00B47DF7"/>
    <w:rsid w:val="00B52E3C"/>
    <w:rsid w:val="00B64D08"/>
    <w:rsid w:val="00B86D1E"/>
    <w:rsid w:val="00BA5F3B"/>
    <w:rsid w:val="00C36682"/>
    <w:rsid w:val="00C63245"/>
    <w:rsid w:val="00D07FA9"/>
    <w:rsid w:val="00D21E9B"/>
    <w:rsid w:val="00D30FDF"/>
    <w:rsid w:val="00D41C5A"/>
    <w:rsid w:val="00D563AB"/>
    <w:rsid w:val="00D629C0"/>
    <w:rsid w:val="00D83740"/>
    <w:rsid w:val="00DC3986"/>
    <w:rsid w:val="00E041C1"/>
    <w:rsid w:val="00E227E4"/>
    <w:rsid w:val="00E41321"/>
    <w:rsid w:val="00E4385F"/>
    <w:rsid w:val="00E63779"/>
    <w:rsid w:val="00E84204"/>
    <w:rsid w:val="00E91DCB"/>
    <w:rsid w:val="00EB0F8E"/>
    <w:rsid w:val="00EC0BA0"/>
    <w:rsid w:val="00ED49C1"/>
    <w:rsid w:val="00F240A9"/>
    <w:rsid w:val="00F435FA"/>
    <w:rsid w:val="00F456AF"/>
    <w:rsid w:val="00FA5219"/>
    <w:rsid w:val="00FC2272"/>
    <w:rsid w:val="00FD7A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0A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963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sz w:val="20"/>
      <w:szCs w:val="20"/>
      <w:lang w:eastAsia="zh-TW"/>
    </w:rPr>
  </w:style>
  <w:style w:type="paragraph" w:styleId="a3">
    <w:name w:val="Normal (Web)"/>
    <w:basedOn w:val="a"/>
    <w:uiPriority w:val="99"/>
    <w:rsid w:val="00D21E9B"/>
    <w:pPr>
      <w:spacing w:before="100" w:beforeAutospacing="1" w:after="100" w:afterAutospacing="1"/>
    </w:pPr>
  </w:style>
  <w:style w:type="paragraph" w:customStyle="1" w:styleId="head">
    <w:name w:val="head"/>
    <w:basedOn w:val="a"/>
    <w:rsid w:val="00321544"/>
    <w:pPr>
      <w:spacing w:before="100" w:beforeAutospacing="1" w:after="100" w:afterAutospacing="1"/>
      <w:jc w:val="center"/>
    </w:pPr>
    <w:rPr>
      <w:sz w:val="28"/>
      <w:szCs w:val="20"/>
    </w:rPr>
  </w:style>
  <w:style w:type="paragraph" w:customStyle="1" w:styleId="Heading1">
    <w:name w:val="Heading 1"/>
    <w:basedOn w:val="a"/>
    <w:next w:val="a"/>
    <w:uiPriority w:val="9"/>
    <w:qFormat/>
    <w:rsid w:val="00321544"/>
    <w:pPr>
      <w:keepLines/>
      <w:spacing w:before="280" w:after="280"/>
      <w:outlineLvl w:val="0"/>
    </w:pPr>
    <w:rPr>
      <w:rFonts w:asciiTheme="majorHAnsi" w:hAnsiTheme="majorHAnsi" w:cs="Cambria"/>
      <w:b/>
      <w:color w:val="4F81BD" w:themeColor="accent1"/>
      <w:sz w:val="48"/>
      <w:szCs w:val="20"/>
    </w:rPr>
  </w:style>
  <w:style w:type="paragraph" w:customStyle="1" w:styleId="Heading2">
    <w:name w:val="Heading 2"/>
    <w:basedOn w:val="a"/>
    <w:next w:val="a"/>
    <w:uiPriority w:val="9"/>
    <w:qFormat/>
    <w:rsid w:val="00321544"/>
    <w:pPr>
      <w:keepLines/>
      <w:spacing w:before="280" w:after="280"/>
      <w:outlineLvl w:val="1"/>
    </w:pPr>
    <w:rPr>
      <w:rFonts w:asciiTheme="majorHAnsi" w:hAnsiTheme="majorHAnsi" w:cs="Cambria"/>
      <w:b/>
      <w:color w:val="4F81BD" w:themeColor="accent1"/>
      <w:sz w:val="36"/>
      <w:szCs w:val="20"/>
    </w:rPr>
  </w:style>
  <w:style w:type="character" w:styleId="a4">
    <w:name w:val="Hyperlink"/>
    <w:uiPriority w:val="99"/>
    <w:qFormat/>
    <w:rsid w:val="00321544"/>
    <w:rPr>
      <w:color w:val="0066CC"/>
      <w:u w:val="single" w:color="0000FF"/>
    </w:rPr>
  </w:style>
</w:styles>
</file>

<file path=word/webSettings.xml><?xml version="1.0" encoding="utf-8"?>
<w:webSettings xmlns:r="http://schemas.openxmlformats.org/officeDocument/2006/relationships" xmlns:w="http://schemas.openxmlformats.org/wordprocessingml/2006/main">
  <w:divs>
    <w:div w:id="16497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pmr.ru/View.aspx?id=di0gwD5rfjsq57rUq24G7Q%3d%3d" TargetMode="External"/><Relationship Id="rId13" Type="http://schemas.openxmlformats.org/officeDocument/2006/relationships/hyperlink" Target="https://pravopmr.ru/View.aspx?id=wRbh07%2bOWOJZ5MTwuvp0yg%3d%3d" TargetMode="External"/><Relationship Id="rId18" Type="http://schemas.openxmlformats.org/officeDocument/2006/relationships/hyperlink" Target="https://pravopmr.ru/View.aspx?id=X7R10%2bw%2bEj%2bLyNClgloFOg%3d%3d"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pravopmr.ru/View.aspx?id=KjTD%2bdGyi6edGtcnMC3ytQ%3d%3d" TargetMode="External"/><Relationship Id="rId7" Type="http://schemas.openxmlformats.org/officeDocument/2006/relationships/hyperlink" Target="https://pravopmr.ru/View.aspx?id=luFKp%2bcGncBr2r0zUDBA0Q%3d%3d" TargetMode="External"/><Relationship Id="rId12" Type="http://schemas.openxmlformats.org/officeDocument/2006/relationships/hyperlink" Target="https://pravopmr.ru/View.aspx?id=d396tIilfKoFf635hMiTqA%3d%3d" TargetMode="External"/><Relationship Id="rId17" Type="http://schemas.openxmlformats.org/officeDocument/2006/relationships/hyperlink" Target="https://pravopmr.ru/View.aspx?id=hC3UhFhE4T%2bw1sipp0Bozg%3d%3d"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pravopmr.ru/View.aspx?id=CxVUrVu%2fZpgRllp7%2bKf50Q%3d%3d" TargetMode="External"/><Relationship Id="rId20" Type="http://schemas.openxmlformats.org/officeDocument/2006/relationships/hyperlink" Target="https://pravopmr.ru/View.aspx?id=PNsUx7qSNooROFWyB%2fjoZA%3d%3d" TargetMode="External"/><Relationship Id="rId1" Type="http://schemas.openxmlformats.org/officeDocument/2006/relationships/styles" Target="styles.xml"/><Relationship Id="rId6" Type="http://schemas.openxmlformats.org/officeDocument/2006/relationships/hyperlink" Target="https://pravopmr.ru/View.aspx?id=VCTJaBilPm2SAxPVwnLS0w%3d%3d" TargetMode="External"/><Relationship Id="rId11" Type="http://schemas.openxmlformats.org/officeDocument/2006/relationships/hyperlink" Target="https://pravopmr.ru/View.aspx?id=C28fGIaRV0YOUpre8hhZxg%3d%3d"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pravopmr.ru/View.aspx?id=zc81B%2fx54dq%2b1k2SN%2bkCRg%3d%3d" TargetMode="External"/><Relationship Id="rId23" Type="http://schemas.openxmlformats.org/officeDocument/2006/relationships/header" Target="header1.xml"/><Relationship Id="rId10" Type="http://schemas.openxmlformats.org/officeDocument/2006/relationships/hyperlink" Target="https://pravopmr.ru/View.aspx?id=YMs8xle2LfuAh4MJD4kWCw%3d%3d" TargetMode="External"/><Relationship Id="rId19" Type="http://schemas.openxmlformats.org/officeDocument/2006/relationships/hyperlink" Target="https://pravopmr.ru/View.aspx?id=hpMII%2bAODEu6x9SYNxjfcw%3d%3d" TargetMode="External"/><Relationship Id="rId4" Type="http://schemas.openxmlformats.org/officeDocument/2006/relationships/footnotes" Target="footnotes.xml"/><Relationship Id="rId9" Type="http://schemas.openxmlformats.org/officeDocument/2006/relationships/hyperlink" Target="https://pravopmr.ru/View.aspx?id=LdbW%2fdogDTzsoyAcP%2fQOfQ%3d%3d" TargetMode="External"/><Relationship Id="rId14" Type="http://schemas.openxmlformats.org/officeDocument/2006/relationships/hyperlink" Target="https://pravopmr.ru/View.aspx?id=%2fLuSDHG%2fKW%2fHlXNC6u4sew%3d%3d" TargetMode="External"/><Relationship Id="rId22" Type="http://schemas.openxmlformats.org/officeDocument/2006/relationships/hyperlink" Target="https://pravopmr.ru/View.aspx?id=VCTJaBilPm2SAxPVwnLS0w%3d%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4187</Words>
  <Characters>29608</Characters>
  <Application>Microsoft Office Word</Application>
  <DocSecurity>0</DocSecurity>
  <Lines>519</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nalog10</dc:creator>
  <cp:lastModifiedBy>mokryak-d</cp:lastModifiedBy>
  <cp:revision>4</cp:revision>
  <cp:lastPrinted>2009-09-21T08:50:00Z</cp:lastPrinted>
  <dcterms:created xsi:type="dcterms:W3CDTF">2021-04-05T12:24:00Z</dcterms:created>
  <dcterms:modified xsi:type="dcterms:W3CDTF">2021-04-07T11:00:00Z</dcterms:modified>
</cp:coreProperties>
</file>