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0"/>
        <w:jc w:val="right"/>
        <w:rPr/>
      </w:pPr>
      <w:r>
        <w:drawing>
          <wp:inline xmlns:wp="http://schemas.openxmlformats.org/drawingml/2006/wordprocessingDrawing">
            <wp:extent cy="952500" cx="952500"/>
            <wp:effectExtent l="0" r="0" t="0" b="0"/>
            <wp:docPr id="0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y="952500" cx="952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NormalWeb"/>
        <w:jc w:val="right"/>
        <w:rPr/>
      </w:pPr>
      <w:r>
        <w:fldChar w:fldCharType="begin" w:fldLock="false" w:dirty="false"/>
      </w:r>
      <w:r>
        <w:rPr/>
        <w:instrText xml:space="preserve"> HYPERLINK "https://pravopmr.ru/View.aspx?id=MolCHaMxMcnMTdjsuEQcXw%3d%3d" </w:instrText>
      </w:r>
      <w:r>
        <w:fldChar w:fldCharType="separate"/>
      </w:r>
      <w:r>
        <w:rPr>
          <w:rStyle w:val="Hyperlink"/>
        </w:rPr>
        <w:t>ссылка на документ</w:t>
      </w:r>
      <w:r>
        <w:fldChar w:fldCharType="end"/>
      </w:r>
    </w:p>
    <w:p>
      <w:pPr>
        <w:pStyle w:val="head"/>
        <w:rPr/>
      </w:pPr>
      <w:r>
        <w:rPr>
          <w:b w:val="true"/>
        </w:rPr>
        <w:t>МИНИСТЕРСТВО ЭКОНОМИЧЕСКОГО РАЗВИТИЯ ПРИДНЕСТРОВСКОЙ МОЛДАВСКОЙ РЕСПУБЛИКИ</w:t>
      </w:r>
    </w:p>
    <w:p>
      <w:pPr>
        <w:pStyle w:val="head"/>
        <w:rPr/>
      </w:pPr>
      <w:r>
        <w:rPr>
          <w:b w:val="true"/>
        </w:rPr>
        <w:t>ПРИКАЗ</w:t>
      </w:r>
    </w:p>
    <w:p>
      <w:pPr>
        <w:pStyle w:val="head"/>
        <w:rPr/>
      </w:pPr>
      <w:r>
        <w:rPr>
          <w:b w:val="true"/>
        </w:rPr>
        <w:t>от 26 июля 2022 г.</w:t>
      </w:r>
      <w:r>
        <w:br/>
      </w:r>
      <w:r>
        <w:rPr>
          <w:b w:val="true"/>
        </w:rPr>
        <w:t>№ 798</w:t>
      </w:r>
    </w:p>
    <w:p>
      <w:pPr>
        <w:pStyle w:val="head"/>
        <w:rPr/>
      </w:pPr>
      <w:r>
        <w:rPr>
          <w:b w:val="true"/>
        </w:rPr>
        <w:t>Об утверждении Положения о порядке перевода нежилых помещений и (или) нежилых домов в жилые</w:t>
      </w:r>
    </w:p>
    <w:p>
      <w:pPr>
        <w:pStyle w:val="head"/>
        <w:rPr/>
      </w:pPr>
      <w:r>
        <w:rPr/>
        <w:t>САЗ (19.09.2022) № 22-36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 xml:space="preserve">В соответствии со статьей </w:t>
      </w:r>
      <w:r>
        <w:fldChar w:fldCharType="begin" w:fldLock="false" w:dirty="false"/>
      </w:r>
      <w:r>
        <w:rPr/>
        <w:instrText xml:space="preserve"> HYPERLINK "https://pravopmr.ru/View.aspx?id=gfF5rCyMiUl20SJ%2blpFTPA%3d%3d#p181" \o "(ВСТУПИЛ В СИЛУ 22.07.2002) О введении в действие Жилищного кодекса Приднестровской Молдавской Республики" </w:instrText>
      </w:r>
      <w:r>
        <w:fldChar w:fldCharType="separate"/>
      </w:r>
      <w:r>
        <w:rPr>
          <w:rStyle w:val="Hyperlink"/>
          <w:color w:val="0066CC"/>
          <w:sz w:val="24"/>
        </w:rPr>
        <w:t>25 Жилищного кодекса Приднестровской Молдавской Республики</w:t>
      </w:r>
      <w:r>
        <w:fldChar w:fldCharType="end"/>
      </w:r>
      <w:r>
        <w:rPr>
          <w:sz w:val="24"/>
        </w:rPr>
        <w:t xml:space="preserve">, с </w:t>
      </w:r>
      <w:r>
        <w:fldChar w:fldCharType="begin" w:fldLock="false" w:dirty="false"/>
      </w:r>
      <w:r>
        <w:rPr/>
        <w:instrText xml:space="preserve"> HYPERLINK "https://pravopmr.ru/View.aspx?id=VQI7yMP4W6P93m%2foB6wvmA%3d%3d" \o "(ВСТУПИЛ В СИЛУ 01.01.2018) Об утверждении Положения, структуры и предельной штатной численности Министерства экономического развития Приднестровской Молдавской Республики" </w:instrText>
      </w:r>
      <w:r>
        <w:fldChar w:fldCharType="separate"/>
      </w:r>
      <w:r>
        <w:rPr>
          <w:rStyle w:val="Hyperlink"/>
          <w:color w:val="0066CC"/>
          <w:sz w:val="24"/>
        </w:rPr>
        <w:t>Постановлением Правительства Приднестровской Молдавской Республики от 28 декабря 2017 года № 376 "Об утверждении Положения, структуры и предельной штатной численности Министерства экономического развития Приднестровской Молдавской Республики"</w:t>
      </w:r>
      <w:r>
        <w:fldChar w:fldCharType="end"/>
      </w:r>
      <w:r>
        <w:rPr>
          <w:sz w:val="24"/>
        </w:rPr>
        <w:t xml:space="preserve"> (САЗ 18-1) с изменениями и дополнениями, внесенными </w:t>
      </w:r>
      <w:r>
        <w:fldChar w:fldCharType="begin" w:fldLock="false" w:dirty="false"/>
      </w:r>
      <w:r>
        <w:rPr/>
        <w:instrText xml:space="preserve"> HYPERLINK "https://pravopmr.ru/View.aspx?id=lcP%2fESKOGJSeVJV0acY9wg%3d%3d" \o "(ВСТУПИЛ В СИЛУ 10.03.2018) О внесении изменений в Постановление Правительства Приднестровской Молдавской Республики от 28 декабря 2017 года № 376 «Об утверждении Положения, структуры 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постановлениями Правительства Приднестровской Молдавской Республики от 28 декабря 2017 года № 377</w:t>
      </w:r>
      <w:r>
        <w:fldChar w:fldCharType="end"/>
      </w:r>
      <w:r>
        <w:rPr>
          <w:sz w:val="24"/>
        </w:rPr>
        <w:t xml:space="preserve"> (САЗ 18-1), </w:t>
      </w:r>
      <w:r>
        <w:fldChar w:fldCharType="begin" w:fldLock="false" w:dirty="false"/>
      </w:r>
      <w:r>
        <w:rPr/>
        <w:instrText xml:space="preserve"> HYPERLINK "https://pravopmr.ru/View.aspx?id=30R6LzGDi8I9j2XFCpK6bQ%3d%3d" \o "(ВСТУПИЛ В СИЛУ 12.06.2018) О внесении изменений и дополнений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7 июня 2018 года № 187</w:t>
      </w:r>
      <w:r>
        <w:fldChar w:fldCharType="end"/>
      </w:r>
      <w:r>
        <w:rPr>
          <w:sz w:val="24"/>
        </w:rPr>
        <w:t xml:space="preserve"> (САЗ 18-23), </w:t>
      </w:r>
      <w:r>
        <w:fldChar w:fldCharType="begin" w:fldLock="false" w:dirty="false"/>
      </w:r>
      <w:r>
        <w:rPr/>
        <w:instrText xml:space="preserve"> HYPERLINK "https://pravopmr.ru/View.aspx?id=YLkRS4n7EJoXVIHGNg5pgg%3d%3d" \o "(ВСТУПИЛ В СИЛУ 21.06.2018) О внесении изменения и дополнений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14 июня 2018 года № 201</w:t>
      </w:r>
      <w:r>
        <w:fldChar w:fldCharType="end"/>
      </w:r>
      <w:r>
        <w:rPr>
          <w:sz w:val="24"/>
        </w:rPr>
        <w:t xml:space="preserve"> (САЗ 18-25), </w:t>
      </w:r>
      <w:r>
        <w:fldChar w:fldCharType="begin" w:fldLock="false" w:dirty="false"/>
      </w:r>
      <w:r>
        <w:rPr/>
        <w:instrText xml:space="preserve"> HYPERLINK "https://pravopmr.ru/View.aspx?id=kJS25nz7fR8gj%2f07XYtawQ%3d%3d" \o "(ВСТУПИЛ В СИЛУ 13.08.2018) О внесении изменений и отмене некоторых правовых актов Приднестровской Молдавской Республики" </w:instrText>
      </w:r>
      <w:r>
        <w:fldChar w:fldCharType="separate"/>
      </w:r>
      <w:r>
        <w:rPr>
          <w:rStyle w:val="Hyperlink"/>
          <w:color w:val="0066CC"/>
          <w:sz w:val="24"/>
        </w:rPr>
        <w:t>от 6 августа 2018 года № 269</w:t>
      </w:r>
      <w:r>
        <w:fldChar w:fldCharType="end"/>
      </w:r>
      <w:r>
        <w:rPr>
          <w:sz w:val="24"/>
        </w:rPr>
        <w:t xml:space="preserve"> (САЗ 18-32), </w:t>
      </w:r>
      <w:r>
        <w:fldChar w:fldCharType="begin" w:fldLock="false" w:dirty="false"/>
      </w:r>
      <w:r>
        <w:rPr/>
        <w:instrText xml:space="preserve"> HYPERLINK "https://pravopmr.ru/View.aspx?id=5BYsPCHm6Y2uw4GBNVyTbA%3d%3d" \o "(ВСТУПИЛ В СИЛУ 11.02.2019)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10 декабря 2018 года № 434</w:t>
      </w:r>
      <w:r>
        <w:fldChar w:fldCharType="end"/>
      </w:r>
      <w:r>
        <w:rPr>
          <w:sz w:val="24"/>
        </w:rPr>
        <w:t xml:space="preserve"> (САЗ 18-50), </w:t>
      </w:r>
      <w:r>
        <w:fldChar w:fldCharType="begin" w:fldLock="false" w:dirty="false"/>
      </w:r>
      <w:r>
        <w:rPr/>
        <w:instrText xml:space="preserve"> HYPERLINK "https://pravopmr.ru/View.aspx?id=fJbeuCeXqPQfZIv9b9YsAw%3d%3d" \o "(ВСТУПИЛ В СИЛУ 27.04.2019) О внесении изменений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26 апреля 2019 года № 145</w:t>
      </w:r>
      <w:r>
        <w:fldChar w:fldCharType="end"/>
      </w:r>
      <w:r>
        <w:rPr>
          <w:sz w:val="24"/>
        </w:rPr>
        <w:t xml:space="preserve">(САЗ 19-16), </w:t>
      </w:r>
      <w:r>
        <w:fldChar w:fldCharType="begin" w:fldLock="false" w:dirty="false"/>
      </w:r>
      <w:r>
        <w:rPr/>
        <w:instrText xml:space="preserve"> HYPERLINK "https://pravopmr.ru/View.aspx?id=%2fvMo%2bWmeXSG6Jfc9ZA9OaQ%3d%3d" \o "(ВСТУПИЛ В СИЛУ 07.06.2019)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31 мая 2019 года № 186</w:t>
      </w:r>
      <w:r>
        <w:fldChar w:fldCharType="end"/>
      </w:r>
      <w:r>
        <w:rPr>
          <w:sz w:val="24"/>
        </w:rPr>
        <w:t xml:space="preserve"> (САЗ 19-21), </w:t>
      </w:r>
      <w:r>
        <w:fldChar w:fldCharType="begin" w:fldLock="false" w:dirty="false"/>
      </w:r>
      <w:r>
        <w:rPr/>
        <w:instrText xml:space="preserve"> HYPERLINK "https://pravopmr.ru/View.aspx?id=0RdorV7BNe5JYeuQOXMhKg%3d%3d" \o "(ВСТУПИЛ В СИЛУ 01.01.2020) О внесении изменений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22 ноября 2019 года № 405</w:t>
      </w:r>
      <w:r>
        <w:fldChar w:fldCharType="end"/>
      </w:r>
      <w:r>
        <w:rPr>
          <w:sz w:val="24"/>
        </w:rPr>
        <w:t xml:space="preserve"> (САЗ 19-46), </w:t>
      </w:r>
      <w:r>
        <w:fldChar w:fldCharType="begin" w:fldLock="false" w:dirty="false"/>
      </w:r>
      <w:r>
        <w:rPr/>
        <w:instrText xml:space="preserve"> HYPERLINK "https://pravopmr.ru/View.aspx?id=Sl2QlHzeFlIM3aW2FsbuIQ%3d%3d" \o "(ВСТУПИЛ В СИЛУ 28.12.2019) О внесении изменения и дополнений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26 декабря 2019 года № 457</w:t>
      </w:r>
      <w:r>
        <w:fldChar w:fldCharType="end"/>
      </w:r>
      <w:r>
        <w:rPr>
          <w:sz w:val="24"/>
        </w:rPr>
        <w:t xml:space="preserve"> (САЗ 19-50), </w:t>
      </w:r>
      <w:r>
        <w:fldChar w:fldCharType="begin" w:fldLock="false" w:dirty="false"/>
      </w:r>
      <w:r>
        <w:rPr/>
        <w:instrText xml:space="preserve"> HYPERLINK "https://pravopmr.ru/View.aspx?id=TBr18%2bWvaXYXdcj1%2bFWt2w%3d%3d" \o "(ВСТУПИЛ В СИЛУ 01.01.2020) О внесении дополнений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26 декабря 2019 года № 459</w:t>
      </w:r>
      <w:r>
        <w:fldChar w:fldCharType="end"/>
      </w:r>
      <w:r>
        <w:rPr>
          <w:sz w:val="24"/>
        </w:rPr>
        <w:t xml:space="preserve"> (САЗ 20-1), </w:t>
      </w:r>
      <w:r>
        <w:fldChar w:fldCharType="begin" w:fldLock="false" w:dirty="false"/>
      </w:r>
      <w:r>
        <w:rPr/>
        <w:instrText xml:space="preserve"> HYPERLINK "https://pravopmr.ru/View.aspx?id=SI2aZJpzRO8Wq9hxPfAclg%3d%3d" \o "(ВСТУПИЛ В СИЛУ 26.02.2020) О внесении изменений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25 февраля 2020 года № 40</w:t>
      </w:r>
      <w:r>
        <w:fldChar w:fldCharType="end"/>
      </w:r>
      <w:r>
        <w:rPr>
          <w:sz w:val="24"/>
        </w:rPr>
        <w:t xml:space="preserve"> (САЗ 20-9), </w:t>
      </w:r>
      <w:r>
        <w:fldChar w:fldCharType="begin" w:fldLock="false" w:dirty="false"/>
      </w:r>
      <w:r>
        <w:rPr/>
        <w:instrText xml:space="preserve"> HYPERLINK "https://pravopmr.ru/View.aspx?id=43cil10Zloz2jrn33Tq01g%3d%3d" \o "(ВСТУПИЛ В СИЛУ 07.07.2020)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6 июля 2020 года № 231</w:t>
      </w:r>
      <w:r>
        <w:fldChar w:fldCharType="end"/>
      </w:r>
      <w:r>
        <w:rPr>
          <w:sz w:val="24"/>
        </w:rPr>
        <w:t xml:space="preserve"> (САЗ 20-28), </w:t>
      </w:r>
      <w:r>
        <w:fldChar w:fldCharType="begin" w:fldLock="false" w:dirty="false"/>
      </w:r>
      <w:r>
        <w:rPr/>
        <w:instrText xml:space="preserve"> HYPERLINK "https://pravopmr.ru/View.aspx?id=BNDUwVIOfQ9siV1DME%2fkzw%3d%3d" \o "(ВСТУПИЛ В СИЛУ 10.11.2020)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10 ноября 2020 года № 395</w:t>
      </w:r>
      <w:r>
        <w:fldChar w:fldCharType="end"/>
      </w:r>
      <w:r>
        <w:rPr>
          <w:sz w:val="24"/>
        </w:rPr>
        <w:t xml:space="preserve"> (САЗ 20-46), </w:t>
      </w:r>
      <w:r>
        <w:fldChar w:fldCharType="begin" w:fldLock="false" w:dirty="false"/>
      </w:r>
      <w:r>
        <w:rPr/>
        <w:instrText xml:space="preserve"> HYPERLINK "https://pravopmr.ru/View.aspx?id=vIRhqjp3oth7VU8FqIpxvQ%3d%3d" \o "(ВСТУПИЛ В СИЛУ 21.01.2021)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20 января 2021 года № 9</w:t>
      </w:r>
      <w:r>
        <w:fldChar w:fldCharType="end"/>
      </w:r>
      <w:r>
        <w:rPr>
          <w:sz w:val="24"/>
        </w:rPr>
        <w:t xml:space="preserve"> (САЗ 21-3), </w:t>
      </w:r>
      <w:r>
        <w:fldChar w:fldCharType="begin" w:fldLock="false" w:dirty="false"/>
      </w:r>
      <w:r>
        <w:rPr/>
        <w:instrText xml:space="preserve"> HYPERLINK "https://pravopmr.ru/View.aspx?id=RfP8Qb49xhV3nUWCEsyRuQ%3d%3d" \o "(ВСТУПИЛ В СИЛУ 01.08.2021) О внесении изменений и дополнений в Постановление Правительства Приднестровской Молдавской Республики от 28 декабря 2017 года № 376 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30 июля 2021 года № 255</w:t>
      </w:r>
      <w:r>
        <w:fldChar w:fldCharType="end"/>
      </w:r>
      <w:r>
        <w:rPr>
          <w:sz w:val="24"/>
        </w:rPr>
        <w:t xml:space="preserve"> (САЗ 21-30), </w:t>
      </w:r>
      <w:r>
        <w:fldChar w:fldCharType="begin" w:fldLock="false" w:dirty="false"/>
      </w:r>
      <w:r>
        <w:rPr/>
        <w:instrText xml:space="preserve"> HYPERLINK "https://pravopmr.ru/View.aspx?id=ar6N0%2feyKMB1FOSvDFBnag%3d%3d" \o "(ВСТУПИЛ В СИЛУ 01.01.2022)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30 декабря 2021 года № 424</w:t>
      </w:r>
      <w:r>
        <w:fldChar w:fldCharType="end"/>
      </w:r>
      <w:r>
        <w:rPr>
          <w:sz w:val="24"/>
        </w:rPr>
        <w:t xml:space="preserve"> (САЗ 21-52), </w:t>
      </w:r>
      <w:r>
        <w:fldChar w:fldCharType="begin" w:fldLock="false" w:dirty="false"/>
      </w:r>
      <w:r>
        <w:rPr/>
        <w:instrText xml:space="preserve"> HYPERLINK "https://pravopmr.ru/View.aspx?id=UWCnc3fzINBIRigWWYA2YQ%3d%3d" \o "(ВСТУПИЛ В СИЛУ 24.01.2022) О внесении изменения в Постановление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Республики»" </w:instrText>
      </w:r>
      <w:r>
        <w:fldChar w:fldCharType="separate"/>
      </w:r>
      <w:r>
        <w:rPr>
          <w:rStyle w:val="Hyperlink"/>
          <w:color w:val="0066CC"/>
          <w:sz w:val="24"/>
        </w:rPr>
        <w:t>от 24 января 2022 года № 19</w:t>
      </w:r>
      <w:r>
        <w:fldChar w:fldCharType="end"/>
      </w:r>
      <w:r>
        <w:rPr>
          <w:sz w:val="24"/>
        </w:rPr>
        <w:t xml:space="preserve"> (САЗ 22-3), 14 апреля 2022 года № 133 (САЗ 22-14), </w:t>
      </w:r>
      <w:r>
        <w:fldChar w:fldCharType="begin" w:fldLock="false" w:dirty="false"/>
      </w:r>
      <w:r>
        <w:rPr/>
        <w:instrText xml:space="preserve"> HYPERLINK "https://pravopmr.ru/View.aspx?id=yDGV1sAdCsmjYckpPxk17g%3d%3d" \o "(ВСТУПИЛ В СИЛУ 11.06.2022) О внесении изменений в некоторые постановления Правительства Приднестровской Молдавской Республики" </w:instrText>
      </w:r>
      <w:r>
        <w:fldChar w:fldCharType="separate"/>
      </w:r>
      <w:r>
        <w:rPr>
          <w:rStyle w:val="Hyperlink"/>
          <w:color w:val="0066CC"/>
          <w:sz w:val="24"/>
        </w:rPr>
        <w:t>от 9 июня 2022 года № 210</w:t>
      </w:r>
      <w:r>
        <w:fldChar w:fldCharType="end"/>
      </w:r>
      <w:r>
        <w:rPr>
          <w:sz w:val="24"/>
        </w:rPr>
        <w:t xml:space="preserve"> (САЗ 22-22), приказываю: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1. Утвердить Положение о порядке перевода нежилых помещений и (или) нежилых домов в жилые согласно Приложению к настоящему Приказу.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3. Настоящий Приказ вступает в силу со дня, следующего за днем его официального опубликования.</w:t>
      </w:r>
    </w:p>
    <w:p>
      <w:pPr>
        <w:pStyle w:val="NormalWeb"/>
        <w:spacing w:lineRule="auto"/>
        <w:jc w:val="left"/>
        <w:rPr>
          <w:sz w:val="24"/>
        </w:rPr>
      </w:pPr>
      <w:r>
        <w:rPr>
          <w:b w:val="true"/>
          <w:sz w:val="24"/>
        </w:rPr>
        <w:t>Заместитель Председателя Правительства</w:t>
      </w:r>
      <w:r>
        <w:br/>
      </w:r>
      <w:r>
        <w:rPr>
          <w:b w:val="true"/>
          <w:sz w:val="24"/>
        </w:rPr>
        <w:t>Приднестровской Молдавской Республики -</w:t>
      </w:r>
      <w:r>
        <w:br/>
      </w:r>
      <w:r>
        <w:rPr>
          <w:b w:val="true"/>
          <w:sz w:val="24"/>
        </w:rPr>
        <w:t>министр С.А. Оболоник</w:t>
      </w:r>
    </w:p>
    <w:p>
      <w:pPr>
        <w:pStyle w:val="NormalWeb"/>
        <w:spacing w:lineRule="auto"/>
        <w:jc w:val="left"/>
        <w:rPr>
          <w:sz w:val="24"/>
        </w:rPr>
      </w:pPr>
      <w:r>
        <w:rPr>
          <w:sz w:val="24"/>
        </w:rPr>
        <w:t>г. Тирасполь</w:t>
      </w:r>
      <w:r>
        <w:br/>
      </w:r>
      <w:r>
        <w:rPr>
          <w:sz w:val="24"/>
        </w:rPr>
        <w:t>26 июля 2022 г.</w:t>
      </w:r>
      <w:r>
        <w:br/>
      </w:r>
      <w:r>
        <w:rPr>
          <w:sz w:val="24"/>
        </w:rPr>
        <w:t>№ 798</w:t>
      </w:r>
    </w:p>
    <w:p>
      <w:pPr>
        <w:pStyle w:val="NormalWeb"/>
        <w:spacing w:lineRule="auto"/>
        <w:jc w:val="right"/>
        <w:rPr>
          <w:sz w:val="24"/>
        </w:rPr>
      </w:pPr>
      <w:r>
        <w:rPr>
          <w:sz w:val="24"/>
        </w:rPr>
        <w:t>Приложение к</w:t>
      </w:r>
      <w:r>
        <w:br/>
      </w:r>
      <w:r>
        <w:rPr>
          <w:sz w:val="24"/>
        </w:rPr>
        <w:t>Приказу Министерства экономического</w:t>
      </w:r>
      <w:r>
        <w:br/>
      </w:r>
      <w:r>
        <w:rPr>
          <w:sz w:val="24"/>
        </w:rPr>
        <w:t>развития Приднестровской Молдавской</w:t>
      </w:r>
      <w:r>
        <w:br/>
      </w:r>
      <w:r>
        <w:rPr>
          <w:sz w:val="24"/>
        </w:rPr>
        <w:t>Республики</w:t>
      </w:r>
      <w:r>
        <w:br/>
      </w:r>
      <w:r>
        <w:rPr>
          <w:sz w:val="24"/>
        </w:rPr>
        <w:t>от 26 июля 2022 года № 798</w:t>
      </w:r>
    </w:p>
    <w:p>
      <w:pPr>
        <w:pStyle w:val="Heading1"/>
        <w:spacing w:lineRule="auto"/>
        <w:ind w:firstLine="480"/>
        <w:jc w:val="center"/>
        <w:rPr/>
      </w:pPr>
      <w:r>
        <w:rPr>
          <w:b w:val="true"/>
        </w:rPr>
        <w:t>Положение</w:t>
      </w:r>
      <w:r>
        <w:br/>
      </w:r>
      <w:r>
        <w:rPr>
          <w:b w:val="true"/>
        </w:rPr>
        <w:t>о порядке перевода нежилых помещений и (или) нежилых домов в жилые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1. Общие положения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1. Настоящее Положение разработано в соответствии с Жилищным кодексом Приднестровской Молдавской Республики, СНиП ПМР 31-05-2010 "Здания жилые многоквартирные", СНиП ПМР 31-05-2010 Часть II "Дома жилые одноквартирные" и устанавливает общие требования к принятию решений о переводе нежилых помещений и (или) нежилых домов в жилые на территории Приднестровской Молдавской Республики.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2. Настоящее Положение определяет порядок перевода нежилых помещений и (или) нежилых домов в жилые, независимо от формы собственности помещения (дома).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3. Принятие решения о переводе нежилых помещений и (или) нежилых домов в жилые, либо об отказе в переводе нежилых помещений и (или) нежилых домов в жилые принимается государственной администрацией города (района) Приднестровской Молдавской Республикой (далее - государственная администрация города (района)).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2. Основные термины и понятия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5. Для целей настоящего Положения используются следующие основные термины и понятия: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заявитель - собственник нежилого помещения и (или) нежилого дома;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нежилое помещение и (или) нежилой дом - отдельно стоящие (изолированные) помещения, которые получили статус при сдаче его признаным статус нежилых помещений в эксплуатацию либо переведены в статус нежилых помещений в порядке, установленном законодательством и не предназначенное для постоянного и временного проживания граждан;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в) помещение, примыкающее к помещению, переводимому из нежилого помещения в жилое - помещение, имеющее общую с переводимым помещением стену или расположенное непосредственно над или под переводимым помещением;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г) перевод нежилого помещения и (или) нежилого дома в жилое помещение и (или) жилой дом - изменение статуса, функционального назначения помещения (дома), утвержденного в установленном порядке;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д) межведомственная комиссия - комиссия, создаваемая при государственной администрации города (района) с целью определения технической возможности использования нежилого помещения и (или) нежилого дома в жилых целях;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е) функциональное назначение помещения - функциональная предопределенность использования помещения в соответствии с проектным решением.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3. Порядок, условия и основания для перевода нежилых помещений и (или) нежилых домов в жилые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6. В соответствии с настоящим Положением допускается перевод в жилые помещения и (или) жилые дома: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нежилых помещений и (или) нежилых домов, отвечающих нормативно-техническим требованиям, установленным строительными, санитарно-эпидемиологическим, экологическими и пожарными нормами и правилами, предъявляемым к жилым помещениям;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нежилых домов с этажностью не выше 2 (двух) этажей в жилые без наличия централизованных инженерных сетей водопровода и канализированных уборных, в случае расположения этих домов на территории ведения гражданами садоводства или огородничества для собственных нужд.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7. Для целей перевода нежилых помещений и (или) нежилых домов в жилые не допускается: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объединение вентиляционных каналов кухонь и санитарных узлов (вспомогательных помещений) с жилыми комнатами, изменение местоположения санитарно-технических узлов без осуществления мероприятий по гидро-, шумо- и виброизоляции, обеспечения их системами вентиляции, а также усиления перекрытий, на которых установлено оборудование санитарно-технических узлов;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размещение жилого помещения в подвальном и цокольном этажах с отметкой пола помещения, расположенного на первом этаже, ниже планировочной отметки земли.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4. Порядок оформления документов для перевода нежилых помещений и (или) нежилых домов в жилые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8 Перевод нежилых помещений и (или) нежилых домов в жилые осуществляется решением главы государственной администрации города (района).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9. Для рассмотрения вопроса о переводе нежилых помещений и (или) нежилых домов в жилые заявитель или уполномоченное им лицо предоставляет в профильное подразделение государственной администрации города (района) (далее - профильное подразделение) следующие документы: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заявление, оформленное согласно Приложению № 1 к настоящему Положению;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копию паспорта гражданина Приднестровской молдавской Республики (иностранного гражданина) - собственника нежилого помещения и (или) нежилого дома, или доверенность на ведение дела и копию паспорта гражданина Приднестровской молдавской Республики (иностранного гражданина) - владельца доверенности (если обращается лицо, уполномоченное собственником);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в) документы, подтверждающие полномочия представителя юридического лица (если собственник жилого помещения (жилого дома) - юридическое лицо;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г) характеристику нежилого помещения и (или) нежилого дома (Приложение № 2 к настоящему Положению), копию технического паспорта нежилого помещения (нежилого дома);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д) инвентаризационный план нежилого помещения и (или) нежилого дома;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е) акт санитарного обследования нежилого помещения и (или) нежилого дома, выданный органом, в ведении которого находятся вопросы санитарно-эпидемиологического контроля;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ж) разрешение органа государственной власти, в ведении которого находятся вопросы государственного пожарного надзора;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з) выписка из Единого государственного реестра прав на недвижимое имущество и сделок с ним, содержащая, в том числе, сведения о наличии или отсутствии обременений (залога, ареста, спора) на нежилое помещение и (или) нежилой дом.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и) письменное согласие совладельцев нежилого помещения и (или) нежилого дома, если нежилое помещение или нежилой дом находятся в долевой собственности;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к) согласие собственников помещений многоквартирного жилого дома (либо уполномоченных ими лиц), примыкающих к переводимому нежилому помещению, заверенное управляющей организацией, товариществом собственников жилья или жилищным (жилищно-строительным) кооперативом, которые осуществляют управление многоквартирным жилым домом (далее - управляющая организация).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Согласие каждого собственника всех помещений, примыкающих к переводимому помещению, на перевод нежилого помещения в жилое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телефонный номер собственника примыкающего помещения, реквизиты документов, подтверждающих право собственности на указанное помещение.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Получение согласия собственников возможно, в том числе, путем направления заказного письма в их адрес (по месту регистрации) с уведомлением о вручении (далее - заказное письмо).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 случае получения извещения почтовой организации о возврате заказного письма в связи с отсутствием адресата по указанному адресу, заявителю необходимо повторно направить заказное письмо о предоставлении согласия.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 случае невозможности вручения заказного письма повторно, заявитель предоставляет 2 (два) извещения почтовой организации о возврате заказных писем в связи с отсутствием адресата по указанному адресу, с приложением данных писем. В данном случае, согласие собственников квартир считается полученным ввиду соблюдения предусмотренных условий его получения.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Заявитель или уполномоченное им лицо обязан предоставить управляющей организации согласие всех собственников квартир, примыкающих к переводимому помещению, одновременно. Управляющая организация в течение 5 (пяти) рабочих дней заверяет представленные заявителем (или уполномоченным им лицом) согласия собственников квартир (либо уполномоченных ими лиц), примыкающих к переводимому помещению.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10. Документы, представленные в профильное подразделение, принимаются по описи, копия которой вручается заявителю с отметкой о дате приема документов, и регистрируются в специальной книге приема документов.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11. Основаниями для отказа в приеме документов, необходимых для перевода нежилого помещения и (или) нежилого дома в жилое помещение (жилой дом), являются: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представление не в полном объеме перечня документов, указанных в пункте 9 настоящего Положения;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несоответствие представленных документов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 случае выявления хотя бы одного из оснований для отказа, указанных в части первой настоящего пункта, профильное подразделение не принимает такое заявление с разъяснением причин отказа и предлагает в пятидневный срок представить документы, которые отсутствуют либо оформлены ненадлежащим образом.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 случае непредставления в пятидневный срок отсутствующих и (или) надлежаще оформленных документов, заявителю возвращается пакет документов с разъяснением причин отказа в приеме документов.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Отказ в приеме документом не запрещает заявителю (или уполномоченному им лицу) повторно обратиться за выдачей решения о переводе нежилого помещения и (или) нежилого дома в жилое помещение (жилой дом) после устранения выявленных недостатков.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5. Порядок принятия решения о переводе или об отказе в переводе нежилого помещения и (или) нежилого дома в жилое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12. Решение о переводе или об отказе в переводе помещения (дома) из нежилого в жилой принимается по результатам рассмотрения представленного заявителем или уполномоченным им лицом пакета документов не позднее 1 (одного) месяца со дня регистрации полного пакета документов.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13. Профильное подразделение рассматривает представленный пакет документов и в течение 3 (трех) рабочих дней: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направляет его в Межведомственную комиссию по определению технической возможности использования нежилого помещения и (или) нежилого дома в жилых целях;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уведомляет Государственную службу регистрации и нотариата Министерства юстиции Приднестровской Молдавской Республики о прекращении регистрации каких-либо сделок с переводимым нежилым помещением и (или) нежилым домом до его перерегистрации или до получения уведомления от профильного подразделения об отзыве заявления собственником или уполномоченным им лицом, либо об отказе в переводе.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14. Межведомственная комиссия в течение 10 (десяти) календарных дней представляет в профильное подразделение Акт общего осмотра нежилого помещения и (или) нежилого дома, переводимого в жилое (далее - Акт), оформленный согласно Приложению № 3 к настоящему Положению, и протокол с выводами и предложениями, утвержденный председателем межведомственной комиссии.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15. Профильное подразделение на основании Акта в течение 9 (девяти) рабочих дней рассматривает вопрос о наличии либо отсутствии оснований для перевода нежилого помещения и (или) нежилого дома в жилое помещение (жилой дом) и принимает решение о выдаче решения о переводе или об отказе в переводе нежилого помещения и (или) нежилого дома в жилое.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16. В случае если выявлено наличие в представленных документах недостоверной или искаженной информации, наличие в заявлении и прилагаемых к нему документах исправлений, а также повреждений, не позволяющих однозначно истолковать документы, является основанием для отказа в выдаче решения о переводе нежилого помещения и (или) нежилого дома в жилое, принимается решение об отказе в выдаче решения о переводе нежилого помещения и (или) нежилого дома в жилое, при этом заявителю возвращаются все документы и письменное обоснование причин отказа.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После устранения причин, послуживших основанием для отказа в выдаче решения о переводе, заинтересованные лица могут повторно обратиться в профильное подразделение с аналогичным заявлением.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Отказ в переводе нежилого помещения и (или) нежилого дома в жилое может быть обжалован в суде.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17. В случае если оснований для отказа в выдаче решения о переводе нежилого помещения и (или) нежилого дома в жилое не выявлено, то принимается решение об оформлении и выдаче решения о переводе нежилого помещения и (или) нежилого дома в жилое.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18. Копия решения главы государственной администрации города (района) о переводе нежилого помещения и (или) нежилого дома в жилое в обязательном порядке направляется: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в адрес организации, осуществляющей технический учет и техническую инвентаризацию объектов недвижимости, по месту нахождения переводимого помещения (дома);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в адрес управляющей организации;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в) в адрес исполнительного органа государственной власти, осуществляющего функции по выработке государственной политики и нормативному правовому регулированию в сфере жилищно-коммунального хозяйства.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6. Состав и порядок работы межведомственной комиссии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19. Межведомственная комиссия рассматривает вопросы по оценке и обследованию нежилых помещений и (или) нежилых домов в целях определения технической возможности изменения функционального назначения нежилого помещения и (или) нежилого дома и использования нежилого помещения и (или) нежилого дома в жилых целях.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Персональный состав межведомственной комиссии утверждается правовым актом соответствующей государственной администрации города (района).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20. В состав межведомственной комиссии включаются: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председатель межведомственной комиссии - заместитель главы государственной администрации города (района);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представители структурных подразделений государственной администрации города (района), уполномоченных в сфере архитектуры и градостроительства;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в) представители организации, осуществляющей технический учет и техническую инвентаризацию объекта недвижимости;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г) представители органа государственной власти, в ведении которого находятся вопросы государственного пожарного надзора;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д) представители органа государственной власти, в ведении которого находятся вопросы санитарно-эпидемиологического контроля.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21. В случае необходимости, межведомственная комиссия вправе привлечь к своей работе представителей иных организаций и исполнительных органов государственной власти в пределах их компетенции.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22. Решение межведомственной комиссии оформляется Актом по форме, согласно Приложению № 3 к настоящему Положению.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23. Член межведомственной комиссии, не согласный с принятым межведомственной комиссией решением, может выразить свое особое мнение, которое прилагается к Акту и является его неотъемлемой частью.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24. Решение межведомственной комиссии может быть обжаловано заявителем путем обращения к главе государственной администрации города (района) либо в судебном порядке.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25. Члены Межведомственной комиссии несут предусмотренную законом ответственность за несоблюдение законодательства Приднестровской Молдавской Республики.</w:t>
      </w:r>
    </w:p>
    <w:p>
      <w:pPr>
        <w:pStyle w:val="Heading2"/>
        <w:spacing w:lineRule="auto"/>
        <w:ind w:firstLine="480"/>
        <w:jc w:val="center"/>
        <w:rPr/>
      </w:pPr>
      <w:r>
        <w:rPr>
          <w:b w:val="true"/>
        </w:rPr>
        <w:t>7. Порядок дальнейшего использования нежилых помещений и (или) нежилых домов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26. После получения решения о переводе нежилого помещения и (или) нежилого дома в жилое помещение (жилой дом) заявитель (или уполномоченное им лицо) должен выполнить следующие мероприятия: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обратиться в организацию, осуществляющую технический учет и техническую инвентаризацию объектов недвижимости, по месту нахождения переводимого помещения (дома) для внесения изменений в техническую документацию;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осуществить регистрацию жилого помещения (жилого дома) в Государственной службе регистрации и нотариата Министерства юстиции Приднестровской Молдавской Республики.</w:t>
      </w:r>
    </w:p>
    <w:p>
      <w:pPr>
        <w:pStyle w:val="NormalWeb"/>
        <w:spacing w:lineRule="auto"/>
        <w:jc w:val="right"/>
        <w:rPr>
          <w:sz w:val="24"/>
        </w:rPr>
      </w:pPr>
      <w:r>
        <w:fldChar w:fldCharType="begin" w:fldLock="false" w:dirty="false"/>
      </w:r>
      <w:r>
        <w:rPr/>
        <w:instrText xml:space="preserve"> HYPERLINK "https://pravopmr.ru/Content/Documents/2022/mer/2022-07-26_798_1.docx" </w:instrText>
      </w:r>
      <w:r>
        <w:fldChar w:fldCharType="separate"/>
      </w:r>
      <w:r>
        <w:rPr>
          <w:rStyle w:val="Hyperlink"/>
          <w:sz w:val="24"/>
        </w:rPr>
        <w:t>Приложение № 1</w:t>
      </w:r>
      <w:r>
        <w:fldChar w:fldCharType="end"/>
      </w:r>
      <w:r>
        <w:br/>
      </w:r>
      <w:r>
        <w:rPr>
          <w:sz w:val="24"/>
        </w:rPr>
        <w:t>к Положению о порядке перевода</w:t>
      </w:r>
      <w:r>
        <w:br/>
      </w:r>
      <w:r>
        <w:rPr>
          <w:sz w:val="24"/>
        </w:rPr>
        <w:t>нежилых помещений и (или) нежилых домов в жилые</w:t>
      </w:r>
    </w:p>
    <w:p>
      <w:pPr>
        <w:pStyle w:val="NormalWeb"/>
        <w:spacing w:lineRule="auto"/>
        <w:jc w:val="right"/>
        <w:rPr>
          <w:sz w:val="24"/>
        </w:rPr>
      </w:pPr>
      <w:r>
        <w:fldChar w:fldCharType="begin" w:fldLock="false" w:dirty="false"/>
      </w:r>
      <w:r>
        <w:rPr/>
        <w:instrText xml:space="preserve"> HYPERLINK "https://pravopmr.ru/Content/Documents/2022/mer/2022-07-26_798_2.docx" </w:instrText>
      </w:r>
      <w:r>
        <w:fldChar w:fldCharType="separate"/>
      </w:r>
      <w:r>
        <w:rPr>
          <w:rStyle w:val="Hyperlink"/>
          <w:sz w:val="24"/>
        </w:rPr>
        <w:t>Приложение № 2</w:t>
      </w:r>
      <w:r>
        <w:fldChar w:fldCharType="end"/>
      </w:r>
      <w:r>
        <w:br/>
      </w:r>
      <w:r>
        <w:rPr>
          <w:sz w:val="24"/>
        </w:rPr>
        <w:t>к Положению о порядке перевода</w:t>
      </w:r>
      <w:r>
        <w:br/>
      </w:r>
      <w:r>
        <w:rPr>
          <w:sz w:val="24"/>
        </w:rPr>
        <w:t>нежилых помещений и (или) нежилых домов в жилые</w:t>
      </w:r>
    </w:p>
    <w:p>
      <w:pPr>
        <w:pStyle w:val="NormalWeb"/>
        <w:spacing w:lineRule="auto"/>
        <w:jc w:val="right"/>
        <w:rPr>
          <w:sz w:val="24"/>
        </w:rPr>
      </w:pPr>
      <w:r>
        <w:fldChar w:fldCharType="begin" w:fldLock="false" w:dirty="false"/>
      </w:r>
      <w:r>
        <w:rPr/>
        <w:instrText xml:space="preserve"> HYPERLINK "https://pravopmr.ru/Content/Documents/2022/mer/2022-07-26_798_3.docx" </w:instrText>
      </w:r>
      <w:r>
        <w:fldChar w:fldCharType="separate"/>
      </w:r>
      <w:r>
        <w:rPr>
          <w:rStyle w:val="Hyperlink"/>
          <w:sz w:val="24"/>
        </w:rPr>
        <w:t>Приложение № 3</w:t>
      </w:r>
      <w:r>
        <w:fldChar w:fldCharType="end"/>
      </w:r>
      <w:r>
        <w:br/>
      </w:r>
      <w:r>
        <w:rPr>
          <w:sz w:val="24"/>
        </w:rPr>
        <w:t>к Положению о порядке перевода</w:t>
      </w:r>
      <w:r>
        <w:br/>
      </w:r>
      <w:r>
        <w:rPr>
          <w:sz w:val="24"/>
        </w:rPr>
        <w:t>нежилых помещений и (или) нежилых домов в жилые</w:t>
      </w:r>
    </w:p>
    <w:sectPr>
      <w:headerReference r:id="rId2" w:type="default"/>
      <w:footerReference r:id="rId3" w:type="default"/>
    </w:sectPr>
  </w:body>
</w:document>
</file>

<file path=word/footer1.xml><?xml version="1.0" encoding="utf-8"?>
<w:ftr xmlns:w="http://schemas.openxmlformats.org/wordprocessingml/2006/main">
  <w:p>
    <w:pPr>
      <w:jc w:val="right"/>
      <w:rPr/>
    </w:pPr>
    <w:r>
      <w:rPr/>
      <w:t>для внутреннего пользования</w:t>
    </w: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rPr/>
    </w:pPr>
    <w:r>
      <w:rPr>
        <w:b w:val="true"/>
      </w:rPr>
      <w:t xml:space="preserve">© Законы Приднестровья, </w:t>
    </w:r>
    <w:r>
      <w:rPr/>
      <w:t>ООО "АйСиТи"</w:t>
    </w:r>
  </w:p>
</w:hdr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head" w:type="paragraph" w:default="false" w:customStyle="false">
    <w:name w:val="head"/>
    <w:basedOn w:val="Normal"/>
    <w:pPr>
      <w:spacing w:after="100" w:before="100" w:afterAutospacing="true" w:beforeAutospacing="true"/>
      <w:jc w:val="center"/>
    </w:pPr>
    <w:rPr>
      <w:sz w:val="28"/>
    </w:rPr>
  </w:style>
  <w:style w:styleId="nolink" w:type="paragraph" w:default="false" w:customStyle="false">
    <w:name w:val="nolink"/>
    <w:basedOn w:val="Normal"/>
    <w:pPr>
      <w:spacing w:after="100" w:before="100" w:afterAutospacing="true" w:beforeAutospacing="true"/>
    </w:pPr>
    <w:rPr>
      <w:color w:val="FF0000"/>
    </w:rPr>
  </w:style>
  <w:style w:styleId="plink" w:type="paragraph" w:default="false" w:customStyle="false">
    <w:name w:val="plink"/>
    <w:basedOn w:val="Normal"/>
    <w:pPr>
      <w:spacing w:after="100" w:before="100" w:afterAutospacing="true" w:beforeAutospacing="true"/>
    </w:pPr>
    <w:rPr/>
  </w:style>
  <w:style w:styleId="repealed" w:type="paragraph" w:default="false" w:customStyle="false">
    <w:name w:val="repealed"/>
    <w:basedOn w:val="Normal"/>
    <w:pPr>
      <w:spacing w:after="100" w:before="100" w:afterAutospacing="true" w:beforeAutospacing="true"/>
    </w:pPr>
    <w:rPr>
      <w:strike w:val="true"/>
      <w:color w:val="B65843"/>
    </w:rPr>
  </w:style>
  <w:style w:styleId="textdoc" w:type="paragraph" w:default="false" w:customStyle="false">
    <w:name w:val="textdoc"/>
    <w:basedOn w:val="Normal"/>
    <w:pPr>
      <w:spacing w:after="100" w:before="100" w:afterAutospacing="true" w:beforeAutospacing="true"/>
    </w:pPr>
    <w:rPr/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outlineLvl w:val="0"/>
    </w:pPr>
    <w:rPr>
      <w:rFonts w:ascii="Cambria" w:hAnsi="Cambria" w:cs="Cambria" w:asciiTheme="majorHAnsi" w:hAnsiTheme="majorHAnsi"/>
      <w:b w:val="true"/>
      <w:color w:val="4F81BD" w:themeColor="accent1"/>
      <w:sz w:val="48"/>
    </w:rPr>
  </w:style>
  <w:style w:styleId="Heading2" w:type="paragraph" w:default="false" w:customStyle="false">
    <w:name w:val="Heading 2"/>
    <w:basedOn w:val="Normal"/>
    <w:next w:val="Normal"/>
    <w:link w:val="Heading2Char"/>
    <w:uiPriority w:val="9"/>
    <w:qFormat w:val="true"/>
    <w:pPr>
      <w:keepLines w:val="true"/>
      <w:spacing w:after="280" w:before="280" w:afterAutospacing="false" w:beforeAutospacing="false"/>
      <w:outlineLvl w:val="1"/>
    </w:pPr>
    <w:rPr>
      <w:rFonts w:ascii="Cambria" w:hAnsi="Cambria" w:cs="Cambria" w:asciiTheme="majorHAnsi" w:hAnsiTheme="majorHAnsi"/>
      <w:b w:val="true"/>
      <w:color w:val="4F81BD" w:themeColor="accent1"/>
      <w:sz w:val="36"/>
    </w:rPr>
  </w:style>
  <w:style w:styleId="Hyperlink" w:type="character" w:default="false" w:customStyle="false">
    <w:name w:val="Hyperlink"/>
    <w:uiPriority w:val="99"/>
    <w:qFormat w:val="true"/>
    <w:pPr/>
    <w:rPr>
      <w:color w:val="0066CC"/>
      <w:u w:color="0000FF" w:val="single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